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</w:p>
    <w:p>
      <w:pPr>
        <w:spacing w:after="80"/>
        <w:jc w:val="left"/>
      </w:pPr>
      <w:r>
        <w:rPr>
          <w:b/>
          <w:bCs/>
          <w:color w:val="1E293B"/>
          <w:sz w:val="40"/>
          <w:szCs w:val="40"/>
        </w:rPr>
        <w:t xml:space="preserve">WEB APPLICATION PENETRATION TEST REPORT</w:t>
      </w:r>
    </w:p>
    <w:p>
      <w:pPr>
        <w:pBdr>
          <w:bottom w:val="single" w:color="2563EB" w:sz="12" w:space="2"/>
        </w:pBdr>
        <w:spacing w:after="200"/>
      </w:pPr>
      <w:r>
        <w:rPr>
          <w:color w:val="6B7280"/>
          <w:sz w:val="24"/>
          <w:szCs w:val="24"/>
        </w:rPr>
        <w:t xml:space="preserve">WAR + Tomcat + Nginx + MySQL Stack</w:t>
      </w:r>
    </w:p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Target</w:t>
            </w:r>
          </w:p>
        </w:tc>
        <w:tc>
          <w:tcPr>
            <w:tcW w:type="dxa" w:w="6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https://intra.cbi-platform.com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IP Address</w:t>
            </w:r>
          </w:p>
        </w:tc>
        <w:tc>
          <w:tcPr>
            <w:tcW w:type="dxa" w:w="6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159.138.253.91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Stack</w:t>
            </w:r>
          </w:p>
        </w:tc>
        <w:tc>
          <w:tcPr>
            <w:tcW w:type="dxa" w:w="6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WAR/Java + Apache Tomcat + Nginx + MySQL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Scan Start</w:t>
            </w:r>
          </w:p>
        </w:tc>
        <w:tc>
          <w:tcPr>
            <w:tcW w:type="dxa" w:w="6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2026-06-03 00:17:51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Scan End</w:t>
            </w:r>
          </w:p>
        </w:tc>
        <w:tc>
          <w:tcPr>
            <w:tcW w:type="dxa" w:w="6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2026-06-03 00:27:20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Tester</w:t>
            </w:r>
          </w:p>
        </w:tc>
        <w:tc>
          <w:tcPr>
            <w:tcW w:type="dxa" w:w="6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kali@kali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Toolkit</w:t>
            </w:r>
          </w:p>
        </w:tc>
        <w:tc>
          <w:tcPr>
            <w:tcW w:type="dxa" w:w="6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WebPentest Toolkit v2.2.1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E293B"/>
                <w:sz w:val="18"/>
                <w:szCs w:val="18"/>
              </w:rPr>
              <w:t xml:space="preserve">Report Date</w:t>
            </w:r>
          </w:p>
        </w:tc>
        <w:tc>
          <w:tcPr>
            <w:tcW w:type="dxa" w:w="6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2026-06-03</w:t>
            </w:r>
          </w:p>
        </w:tc>
      </w:tr>
    </w:tbl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OVERALL RISK</w:t>
            </w:r>
          </w:p>
        </w:tc>
        <w:tc>
          <w:tcPr>
            <w:tcW w:type="dxa" w:w="6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0EA5E9"/>
                <w:sz w:val="24"/>
                <w:szCs w:val="24"/>
              </w:rPr>
              <w:t xml:space="preserve">INFORMATIONAL</w:t>
            </w:r>
          </w:p>
        </w:tc>
      </w:tr>
    </w:tbl>
    <w:p>
      <w:pPr>
        <w:spacing w:after="0"/>
      </w:pPr>
      <w:r>
        <w:br w:type="page"/>
      </w:r>
    </w:p>
    <w:p>
      <w:pPr>
        <w:pStyle w:val="Heading1"/>
        <w:pBdr>
          <w:bottom w:val="single" w:color="2563EB" w:sz="6" w:space="1"/>
        </w:pBdr>
        <w:spacing w:after="120" w:before="280"/>
      </w:pPr>
      <w:r>
        <w:t xml:space="preserve">1. Executive Summary</w:t>
      </w:r>
    </w:p>
    <w:p>
      <w:pPr>
        <w:spacing w:after="80"/>
      </w:pPr>
      <w:r>
        <w:rPr>
          <w:sz w:val="18"/>
          <w:szCs w:val="18"/>
        </w:rPr>
        <w:t xml:space="preserve">A penetration test was conducted against the target stack (WAR/Java + Tomcat + Nginx + MySQL). No Critical, High, Medium, or Low severity vulnerabilities were identified. The server demonstrates a well-hardened TLS configuration (Grade A+), proper security headers, no exposed administrative interfaces, and correctly disabled legacy protocols. One informational finding was recorded requiring out-of-band verification for Log4Shell (CVE-2021-44228).</w:t>
      </w:r>
    </w:p>
    <w:p>
      <w:pPr>
        <w:spacing w:after="120"/>
      </w:pPr>
    </w:p>
    <w:tbl>
      <w:tblPr>
        <w:tblW w:type="dxa" w:w="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</w:tblGrid>
      <w:tr>
        <w:tc>
          <w:tcPr>
            <w:tcW w:type="dxa" w:w="2500"/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500"/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Count</w:t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DC2626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EA580C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CA8A04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Low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2563EB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Info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0EA5E9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Total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1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2563EB" w:sz="6" w:space="1"/>
        </w:pBdr>
        <w:spacing w:after="120" w:before="280"/>
      </w:pPr>
      <w:r>
        <w:t xml:space="preserve">2. Security Controls — Passed Checks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326"/>
        <w:gridCol w:w="1700"/>
      </w:tblGrid>
      <w:tr>
        <w:tc>
          <w:tcPr>
            <w:tcW w:type="dxa" w:w="3000"/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Control</w:t>
            </w:r>
          </w:p>
        </w:tc>
        <w:tc>
          <w:tcPr>
            <w:tcW w:type="dxa" w:w="4326"/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1700"/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TLS 1.0 / 1.1</w:t>
            </w:r>
          </w:p>
        </w:tc>
        <w:tc>
          <w:tcPr>
            <w:tcW w:type="dxa" w:w="43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not offered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6A34A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SSLv2 / SSLv3</w:t>
            </w:r>
          </w:p>
        </w:tc>
        <w:tc>
          <w:tcPr>
            <w:tcW w:type="dxa" w:w="43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not offered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6A34A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HTTP Request Smuggling</w:t>
            </w:r>
          </w:p>
        </w:tc>
        <w:tc>
          <w:tcPr>
            <w:tcW w:type="dxa" w:w="43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server rejects malformed TE header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6A34A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Spring4Shell (CVE-2022-22965)</w:t>
            </w:r>
          </w:p>
        </w:tc>
        <w:tc>
          <w:tcPr>
            <w:tcW w:type="dxa" w:w="43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 indicators in response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6A34A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Struts2 RCE (CVE-2017-5638)</w:t>
            </w:r>
          </w:p>
        </w:tc>
        <w:tc>
          <w:tcPr>
            <w:tcW w:type="dxa" w:w="43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 indicators in response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6A34A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MySQL port 3306</w:t>
            </w:r>
          </w:p>
        </w:tc>
        <w:tc>
          <w:tcPr>
            <w:tcW w:type="dxa" w:w="43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not publicly accessible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6A34A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Tomcat Manager</w:t>
            </w:r>
          </w:p>
        </w:tc>
        <w:tc>
          <w:tcPr>
            <w:tcW w:type="dxa" w:w="43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not accessible externally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6A34A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TLS Grade (testssl)</w:t>
            </w:r>
          </w:p>
        </w:tc>
        <w:tc>
          <w:tcPr>
            <w:tcW w:type="dxa" w:w="43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A+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6A34A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HSTS</w:t>
            </w:r>
          </w:p>
        </w:tc>
        <w:tc>
          <w:tcPr>
            <w:tcW w:type="dxa" w:w="43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365 days, includeSubDomains, preload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6A34A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Content-Security-Policy</w:t>
            </w:r>
          </w:p>
        </w:tc>
        <w:tc>
          <w:tcPr>
            <w:tcW w:type="dxa" w:w="43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present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6A34A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X-Frame-Options</w:t>
            </w:r>
          </w:p>
        </w:tc>
        <w:tc>
          <w:tcPr>
            <w:tcW w:type="dxa" w:w="43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SAMEORIGIN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6A34A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Heartbleed / ROBOT / POODLE</w:t>
            </w:r>
          </w:p>
        </w:tc>
        <w:tc>
          <w:tcPr>
            <w:tcW w:type="dxa" w:w="43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not vulnerable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6A34A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BEAST / LOGJAM / SWEET32</w:t>
            </w:r>
          </w:p>
        </w:tc>
        <w:tc>
          <w:tcPr>
            <w:tcW w:type="dxa" w:w="43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not vulnerable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6A34A"/>
                <w:sz w:val="18"/>
                <w:szCs w:val="18"/>
              </w:rPr>
              <w:t xml:space="preserve">PASS</w:t>
            </w:r>
          </w:p>
        </w:tc>
      </w:tr>
    </w:tbl>
    <w:p>
      <w:pPr>
        <w:spacing w:after="0"/>
      </w:pPr>
      <w:r>
        <w:br w:type="page"/>
      </w:r>
    </w:p>
    <w:p>
      <w:pPr>
        <w:pStyle w:val="Heading1"/>
        <w:pBdr>
          <w:bottom w:val="single" w:color="2563EB" w:sz="6" w:space="1"/>
        </w:pBdr>
        <w:spacing w:after="120" w:before="280"/>
      </w:pPr>
      <w:r>
        <w:t xml:space="preserve">3. Detailed Findings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Finding #1  </w:t>
            </w:r>
            <w:r>
              <w:rPr>
                <w:b/>
                <w:bCs/>
                <w:color w:val="0EA5E9"/>
                <w:sz w:val="20"/>
                <w:szCs w:val="20"/>
              </w:rPr>
              <w:t xml:space="preserve">INFO</w:t>
            </w:r>
            <w:r>
              <w:rPr>
                <w:color w:val="AAAAAA"/>
                <w:sz w:val="18"/>
                <w:szCs w:val="18"/>
              </w:rPr>
              <w:t xml:space="preserve">   |   CVE-2021-44228   |   CVSS: 10.0 (if confirmed)</w:t>
            </w:r>
          </w:p>
        </w:tc>
      </w:tr>
    </w:tbl>
    <w:p>
      <w:pPr>
        <w:pStyle w:val="Heading2"/>
        <w:spacing w:after="80" w:before="200"/>
      </w:pPr>
      <w:r>
        <w:t xml:space="preserve">Log4Shell Payloads Sent — Out-of-Band Verification Required</w:t>
      </w:r>
    </w:p>
    <w:p>
      <w:pPr>
        <w:spacing w:after="120"/>
      </w:pPr>
      <w:r>
        <w:rPr>
          <w:color w:val="6B7280"/>
          <w:sz w:val="18"/>
          <w:szCs w:val="18"/>
        </w:rPr>
        <w:t xml:space="preserve">Component: Java Logging / Log4j</w:t>
      </w:r>
    </w:p>
    <w:p>
      <w:pPr>
        <w:spacing w:after="60"/>
      </w:pPr>
      <w:r>
        <w:rPr>
          <w:b/>
          <w:bCs/>
          <w:color w:val="1E293B"/>
          <w:sz w:val="18"/>
          <w:szCs w:val="18"/>
        </w:rPr>
        <w:t xml:space="preserve">Description</w:t>
      </w:r>
    </w:p>
    <w:p>
      <w:pPr>
        <w:spacing w:after="120"/>
      </w:pPr>
      <w:r>
        <w:rPr>
          <w:sz w:val="18"/>
          <w:szCs w:val="18"/>
        </w:rPr>
        <w:t xml:space="preserve">JNDI injection payloads were sent via HTTP headers (X-Forwarded-For, User-Agent, Referer, X-Api-Version) and POST parameters. No in-band response confirms exploitation; DNS/HTTP callback verification is required to confirm vulnerability.</w:t>
      </w:r>
    </w:p>
    <w:p>
      <w:pPr>
        <w:spacing w:after="60"/>
      </w:pPr>
      <w:r>
        <w:rPr>
          <w:b/>
          <w:bCs/>
          <w:color w:val="1E293B"/>
          <w:sz w:val="18"/>
          <w:szCs w:val="18"/>
        </w:rPr>
        <w:t xml:space="preserve">Potential Impact</w:t>
      </w:r>
    </w:p>
    <w:p>
      <w:pPr>
        <w:spacing w:after="120"/>
      </w:pPr>
      <w:r>
        <w:rPr>
          <w:sz w:val="18"/>
          <w:szCs w:val="18"/>
        </w:rPr>
        <w:t xml:space="preserve">If confirmed: unauthenticated Remote Code Execution on the server. Log4j versions 2.0-beta9 through 2.14.1 are affected.</w:t>
      </w:r>
    </w:p>
    <w:p>
      <w:pPr>
        <w:spacing w:after="60"/>
      </w:pPr>
      <w:r>
        <w:rPr>
          <w:b/>
          <w:bCs/>
          <w:color w:val="1E293B"/>
          <w:sz w:val="18"/>
          <w:szCs w:val="18"/>
        </w:rPr>
        <w:t xml:space="preserve">Remediation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18"/>
          <w:szCs w:val="18"/>
        </w:rPr>
        <w:t xml:space="preserve">Upgrade Log4j to &gt;= 2.17.1 (Java 8), &gt;= 2.12.4 (Java 7), or &gt;= 2.3.2 (Java 6)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18"/>
          <w:szCs w:val="18"/>
        </w:rPr>
        <w:t xml:space="preserve">Set JVM flag: -Dlog4j2.formatMsgNoLookups=true as temporary mitigation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18"/>
          <w:szCs w:val="18"/>
        </w:rPr>
        <w:t xml:space="preserve">Use Burp Collaborator or interactsh-client to verify OOB DNS/HTTP callbacks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18"/>
          <w:szCs w:val="18"/>
        </w:rPr>
        <w:t xml:space="preserve">Re-run the toolkit with INTERACTSH_URL set to your collaborator endpoint</w:t>
      </w:r>
    </w:p>
    <w:p>
      <w:pPr>
        <w:spacing w:after="120"/>
      </w:pPr>
    </w:p>
    <w:p>
      <w:pPr>
        <w:spacing w:after="60"/>
      </w:pPr>
      <w:r>
        <w:rPr>
          <w:b/>
          <w:bCs/>
          <w:color w:val="1E293B"/>
          <w:sz w:val="18"/>
          <w:szCs w:val="18"/>
        </w:rPr>
        <w:t xml:space="preserve">Manual Verification Command</w:t>
      </w:r>
    </w:p>
    <w:p>
      <w:pPr>
        <w:shd w:fill="F8F8F8" w:val="clear"/>
        <w:spacing w:after="200"/>
        <w:ind w:left="360"/>
      </w:pPr>
      <w:r>
        <w:rPr>
          <w:rFonts w:ascii="Courier New" w:cs="Courier New" w:eastAsia="Courier New" w:hAnsi="Courier New"/>
          <w:color w:val="16A34A"/>
          <w:sz w:val="18"/>
          <w:szCs w:val="18"/>
        </w:rPr>
        <w:t xml:space="preserve">interactsh-client -v</w:t>
      </w:r>
    </w:p>
    <w:p>
      <w:pPr>
        <w:spacing w:after="0"/>
      </w:pPr>
      <w:r>
        <w:br w:type="page"/>
      </w:r>
    </w:p>
    <w:p>
      <w:pPr>
        <w:pStyle w:val="Heading1"/>
        <w:pBdr>
          <w:bottom w:val="single" w:color="2563EB" w:sz="6" w:space="1"/>
        </w:pBdr>
        <w:spacing w:after="120" w:before="280"/>
      </w:pPr>
      <w:r>
        <w:t xml:space="preserve">4. CVEs — Manual Verification Required</w:t>
      </w:r>
    </w:p>
    <w:p>
      <w:pPr>
        <w:spacing w:after="160"/>
      </w:pPr>
      <w:r>
        <w:rPr>
          <w:sz w:val="18"/>
          <w:szCs w:val="18"/>
        </w:rPr>
        <w:t xml:space="preserve">The following CVEs were not confirmed vulnerable during automated scanning but should be manually verified given the target stack.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226"/>
        <w:gridCol w:w="2000"/>
      </w:tblGrid>
      <w:tr>
        <w:tc>
          <w:tcPr>
            <w:tcW w:type="dxa" w:w="1800"/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CVE</w:t>
            </w:r>
          </w:p>
        </w:tc>
        <w:tc>
          <w:tcPr>
            <w:tcW w:type="dxa" w:w="5226"/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6"/>
                <w:szCs w:val="16"/>
              </w:rPr>
              <w:t xml:space="preserve">CVE-2020-1938</w:t>
            </w:r>
          </w:p>
        </w:tc>
        <w:tc>
          <w:tcPr>
            <w:tcW w:type="dxa" w:w="5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Ghostcat — AJP port 8009 file inclusion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6"/>
                <w:szCs w:val="16"/>
              </w:rPr>
              <w:t xml:space="preserve">CVE-2021-44228</w:t>
            </w:r>
          </w:p>
        </w:tc>
        <w:tc>
          <w:tcPr>
            <w:tcW w:type="dxa" w:w="5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Log4Shell — JNDI RCE via Log4j (OOB check needed)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6"/>
                <w:szCs w:val="16"/>
              </w:rPr>
              <w:t xml:space="preserve">CVE-2022-22965</w:t>
            </w:r>
          </w:p>
        </w:tc>
        <w:tc>
          <w:tcPr>
            <w:tcW w:type="dxa" w:w="5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Spring4Shell — Spring Framework RCE on JDK9+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DC2626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6"/>
                <w:szCs w:val="16"/>
              </w:rPr>
              <w:t xml:space="preserve">CVE-2017-12617</w:t>
            </w:r>
          </w:p>
        </w:tc>
        <w:tc>
          <w:tcPr>
            <w:tcW w:type="dxa" w:w="5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Tomcat PUT method RCE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CA8A04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2563EB"/>
                <w:sz w:val="16"/>
                <w:szCs w:val="16"/>
              </w:rPr>
              <w:t xml:space="preserve">CVE-2017-5638</w:t>
            </w:r>
          </w:p>
        </w:tc>
        <w:tc>
          <w:tcPr>
            <w:tcW w:type="dxa" w:w="52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Apache Struts2 OGNL RCE (S2-045)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CA8A04"/>
                <w:sz w:val="18"/>
                <w:szCs w:val="18"/>
              </w:rPr>
              <w:t xml:space="preserve">MEDIUM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2563EB" w:sz="6" w:space="1"/>
        </w:pBdr>
        <w:spacing w:after="120" w:before="280"/>
      </w:pPr>
      <w:r>
        <w:t xml:space="preserve">Appendix A — TLS/SSL Configuration Detail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026"/>
        <w:gridCol w:w="1600"/>
      </w:tblGrid>
      <w:tr>
        <w:tc>
          <w:tcPr>
            <w:tcW w:type="dxa" w:w="2400"/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W w:type="dxa" w:w="5026"/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1600"/>
            <w:tcBorders>
              <w:top w:val="single" w:color="1E293B" w:sz="4"/>
              <w:left w:val="single" w:color="1E293B" w:sz="4"/>
              <w:bottom w:val="single" w:color="1E293B" w:sz="4"/>
              <w:right w:val="single" w:color="1E293B" w:sz="4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SSLv2</w:t>
            </w:r>
          </w:p>
        </w:tc>
        <w:tc>
          <w:tcPr>
            <w:tcW w:type="dxa" w:w="5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not offered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6A34A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SSLv3</w:t>
            </w:r>
          </w:p>
        </w:tc>
        <w:tc>
          <w:tcPr>
            <w:tcW w:type="dxa" w:w="5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not offered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6A34A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TLS 1.0</w:t>
            </w:r>
          </w:p>
        </w:tc>
        <w:tc>
          <w:tcPr>
            <w:tcW w:type="dxa" w:w="5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not offered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6A34A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TLS 1.1</w:t>
            </w:r>
          </w:p>
        </w:tc>
        <w:tc>
          <w:tcPr>
            <w:tcW w:type="dxa" w:w="5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not offered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6A34A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TLS 1.2</w:t>
            </w:r>
          </w:p>
        </w:tc>
        <w:tc>
          <w:tcPr>
            <w:tcW w:type="dxa" w:w="5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offered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6A34A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TLS 1.3</w:t>
            </w:r>
          </w:p>
        </w:tc>
        <w:tc>
          <w:tcPr>
            <w:tcW w:type="dxa" w:w="5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offered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6A34A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HSTS</w:t>
            </w:r>
          </w:p>
        </w:tc>
        <w:tc>
          <w:tcPr>
            <w:tcW w:type="dxa" w:w="5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365 days, includeSubDomains, preload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6A34A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Forward Secrecy</w:t>
            </w:r>
          </w:p>
        </w:tc>
        <w:tc>
          <w:tcPr>
            <w:tcW w:type="dxa" w:w="5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offered (ECDHE + DHE)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6A34A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LUCKY13 (CBC ciphers)</w:t>
            </w:r>
          </w:p>
        </w:tc>
        <w:tc>
          <w:tcPr>
            <w:tcW w:type="dxa" w:w="5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potentially vulnerable — CBC ciphers in TLS 1.2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CA8A04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Heartbleed</w:t>
            </w:r>
          </w:p>
        </w:tc>
        <w:tc>
          <w:tcPr>
            <w:tcW w:type="dxa" w:w="5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not vulnerable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6A34A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ROBOT</w:t>
            </w:r>
          </w:p>
        </w:tc>
        <w:tc>
          <w:tcPr>
            <w:tcW w:type="dxa" w:w="5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not vulnerable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6A34A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POODLE</w:t>
            </w:r>
          </w:p>
        </w:tc>
        <w:tc>
          <w:tcPr>
            <w:tcW w:type="dxa" w:w="5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not vulnerable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6A34A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BEAST</w:t>
            </w:r>
          </w:p>
        </w:tc>
        <w:tc>
          <w:tcPr>
            <w:tcW w:type="dxa" w:w="5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not vulnerable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6A34A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LOGJAM</w:t>
            </w:r>
          </w:p>
        </w:tc>
        <w:tc>
          <w:tcPr>
            <w:tcW w:type="dxa" w:w="5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not vulnerable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6A34A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SWEET32</w:t>
            </w:r>
          </w:p>
        </w:tc>
        <w:tc>
          <w:tcPr>
            <w:tcW w:type="dxa" w:w="5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not vulnerable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6A34A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Overall Grade</w:t>
            </w:r>
          </w:p>
        </w:tc>
        <w:tc>
          <w:tcPr>
            <w:tcW w:type="dxa" w:w="5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A+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6A34A"/>
                <w:sz w:val="18"/>
                <w:szCs w:val="18"/>
              </w:rPr>
              <w:t xml:space="preserve">OK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b/>
          <w:bCs/>
          <w:sz w:val="18"/>
          <w:szCs w:val="18"/>
        </w:rPr>
        <w:t xml:space="preserve">Note — LUCKY13 (CBC ciphers): </w:t>
      </w:r>
      <w:r>
        <w:rPr>
          <w:color w:val="6B7280"/>
          <w:sz w:val="18"/>
          <w:szCs w:val="18"/>
        </w:rPr>
        <w:t xml:space="preserve">TLS 1.2 currently offers CBC-mode cipher suites (e.g. ECDHE-RSA-AES256-SHA384). While testssl flags this as 'potentially vulnerable', practical exploitation requires a Man-in-the-Middle position and many millions of requests. Recommend disabling CBC suites and preferring AEAD-only (GCM/ChaCha20) in the Nginx ssl_ciphers directive.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1"/>
      </w:pBdr>
      <w:tabs>
        <w:tab w:val="right" w:pos="9026"/>
      </w:tabs>
      <w:spacing w:after="0"/>
    </w:pPr>
    <w:r>
      <w:rPr>
        <w:color w:val="6B7280"/>
        <w:sz w:val="16"/>
        <w:szCs w:val="16"/>
      </w:rPr>
      <w:t xml:space="preserve">WebPentest Toolkit v2.2.1  |  2026-06-03</w:t>
    </w:r>
    <w:r>
      <w:rPr>
        <w:color w:val="6B7280"/>
        <w:sz w:val="16"/>
        <w:szCs w:val="16"/>
      </w:rPr>
      <w:t xml:space="preserve">	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4" w:space="1"/>
      </w:pBdr>
      <w:tabs>
        <w:tab w:val="right" w:pos="9026"/>
      </w:tabs>
      <w:spacing w:after="0"/>
    </w:pPr>
    <w:r>
      <w:rPr>
        <w:color w:val="6B7280"/>
        <w:sz w:val="16"/>
        <w:szCs w:val="16"/>
      </w:rPr>
      <w:t xml:space="preserve">CONFIDENTIAL — AUTHORIZED USE ONLY</w:t>
    </w:r>
    <w:r>
      <w:rPr>
        <w:color w:val="6B7280"/>
        <w:sz w:val="16"/>
        <w:szCs w:val="16"/>
      </w:rPr>
      <w:t xml:space="preserve">		intra.cbi-platform.com  |  WAR+Tomcat+Nginx+MySQL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1E293B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563E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2026-06-03T04:35:09.207Z</dcterms:created>
  <dcterms:modified xsi:type="dcterms:W3CDTF">2026-06-03T04:35:09.208Z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