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+ Accountability – Dual Leadership Framework</w:t>
      </w:r>
    </w:p>
    <w:p>
      <w:r>
        <w:t>This worksheet provides a practical model for holding high standards while staying human. It helps leaders balance clarity and care, offering scripts and mindset shifts to lead with both empathy and firmness.</w:t>
      </w:r>
    </w:p>
    <w:p>
      <w:pPr>
        <w:pStyle w:val="Heading2"/>
      </w:pPr>
      <w:r>
        <w:t>🔹 Where Empathy and Accountability Clash</w:t>
      </w:r>
    </w:p>
    <w:p>
      <w:r>
        <w:t>• Avoiding hard conversations to protect emotional tone.</w:t>
      </w:r>
    </w:p>
    <w:p>
      <w:r>
        <w:t>• Letting poor performance slide to avoid hurting feelings.</w:t>
      </w:r>
    </w:p>
    <w:p>
      <w:r>
        <w:t>• Being overly flexible at the cost of fairness or outcomes.</w:t>
      </w:r>
    </w:p>
    <w:p>
      <w:r>
        <w:t>• Over-indexing on understanding without action.</w:t>
      </w:r>
    </w:p>
    <w:p>
      <w:pPr>
        <w:pStyle w:val="Heading2"/>
      </w:pPr>
      <w:r>
        <w:t>🔹 Balancing Prompts and Phrases</w:t>
      </w:r>
    </w:p>
    <w:p>
      <w:r>
        <w:t>• "I care about how you’re doing — and I’m also going to name what’s not working."</w:t>
      </w:r>
    </w:p>
    <w:p>
      <w:r>
        <w:t>• "We can talk about the emotional weight — and we still need to deliver."</w:t>
      </w:r>
    </w:p>
    <w:p>
      <w:r>
        <w:t>• "You matter to this team — and this pattern is impacting trust."</w:t>
      </w:r>
    </w:p>
    <w:p>
      <w:r>
        <w:t>• "Let’s make space for support, and also get really clear about expectations."</w:t>
      </w:r>
    </w:p>
    <w:p>
      <w:pPr>
        <w:pStyle w:val="Heading2"/>
      </w:pPr>
      <w:r>
        <w:t>🔹 Leadership Integration Practices</w:t>
      </w:r>
    </w:p>
    <w:p>
      <w:r>
        <w:t>• Pair feedback with forward motion: 'This is what needs to change, and here’s how I’ll support you.'</w:t>
      </w:r>
    </w:p>
    <w:p>
      <w:r>
        <w:t>• Don’t delay hard feedback — delay leaves room for assumptions.</w:t>
      </w:r>
    </w:p>
    <w:p>
      <w:r>
        <w:t>• Model emotional honesty without rescuing from responsibility.</w:t>
      </w:r>
    </w:p>
    <w:p>
      <w:r>
        <w:t>• Use accountability moments to teach, not just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