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Avoiding Empathy Burnout in DEI Work – Self-Care and Leadership Guide</w:t>
      </w:r>
    </w:p>
    <w:p>
      <w:r>
        <w:t>This worksheet equips DEI professionals, team leads, and emotionally engaged contributors with strategies to prevent empathy burnout while sustaining meaningful inclusion work. It blends personal reflection with practical boundary-setting and team-based care structures.</w:t>
      </w:r>
    </w:p>
    <w:p>
      <w:pPr>
        <w:pStyle w:val="Heading2"/>
      </w:pPr>
      <w:r>
        <w:t>🔹 Warning Signs of Empathy Burnout</w:t>
      </w:r>
    </w:p>
    <w:p>
      <w:r>
        <w:t>• Emotional numbness or detachment in DEI conversations.</w:t>
      </w:r>
    </w:p>
    <w:p>
      <w:r>
        <w:t>• Avoidance of intense topics previously engaged with.</w:t>
      </w:r>
    </w:p>
    <w:p>
      <w:r>
        <w:t>• Irritability or shortness with peers due to emotional overload.</w:t>
      </w:r>
    </w:p>
    <w:p>
      <w:r>
        <w:t>• Feeling guilty for needing rest or distance from the work.</w:t>
      </w:r>
    </w:p>
    <w:p>
      <w:pPr>
        <w:pStyle w:val="Heading2"/>
      </w:pPr>
      <w:r>
        <w:t>🔹 Reframing Boundaries as Tools for Sustainability</w:t>
      </w:r>
    </w:p>
    <w:p>
      <w:r>
        <w:t>• "I want to stay engaged, and I need a moment to reset so I can stay present."</w:t>
      </w:r>
    </w:p>
    <w:p>
      <w:r>
        <w:t>• "This matters — and I’m going to take a quick break to return with care."</w:t>
      </w:r>
    </w:p>
    <w:p>
      <w:r>
        <w:t>• Normalize micro-pauses and recovery time as leadership practices.</w:t>
      </w:r>
    </w:p>
    <w:p>
      <w:r>
        <w:t>• Model boundary language as part of inclusive team norms.</w:t>
      </w:r>
    </w:p>
    <w:p>
      <w:pPr>
        <w:pStyle w:val="Heading2"/>
      </w:pPr>
      <w:r>
        <w:t>🔹 Reset &amp; Recovery Practices for DEI Engagement</w:t>
      </w:r>
    </w:p>
    <w:p>
      <w:r>
        <w:t>• Use post-dialogue debriefs with peers to release emotional weight.</w:t>
      </w:r>
    </w:p>
    <w:p>
      <w:r>
        <w:t>• Create recovery rituals (short walks, music breaks, quiet journaling).</w:t>
      </w:r>
    </w:p>
    <w:p>
      <w:r>
        <w:t>• Schedule emotional processing time into facilitation calendars.</w:t>
      </w:r>
    </w:p>
    <w:p>
      <w:r>
        <w:t>• Encourage shared ownership: co-facilitate or rotate emotional leadership duties.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