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Pashun Sports Sales Dip Scenario Brief</w:t>
      </w:r>
    </w:p>
    <w:p>
      <w:r>
        <w:rPr>
          <w:color w:val="595959"/>
          <w:sz w:val="19"/>
        </w:rPr>
        <w:t>Pashun Sports T-Shirts · Microsoft Copilot Studio: The Complete Guide (2026) · Lecture 04</w:t>
      </w:r>
    </w:p>
    <w:p>
      <w:r>
        <w:rPr>
          <w:i/>
        </w:rPr>
        <w:t>The exact prompts Paul used in both attempts, so you can reproduce the Lecture 4 demo yourself.</w:t>
      </w:r>
    </w:p>
    <w:p>
      <w:pPr>
        <w:pStyle w:val="Heading1"/>
      </w:pPr>
      <w:r>
        <w:t>The scenario</w:t>
      </w:r>
    </w:p>
    <w:p>
      <w:r>
        <w:rPr>
          <w:b w:val="0"/>
          <w:i w:val="0"/>
        </w:rPr>
        <w:t>Jamie Jordan, the project manager at Pashun Sports T-Shirts, gets two kinds of request: (a) customers wanting to return or swap a Pashun Pro Tee - the same questions every time; and (b) Paul asking about a dip in Pro Tee sales. The same small business has two different kinds of work, and each wants a different harness.</w:t>
      </w:r>
    </w:p>
    <w:p>
      <w:pPr>
        <w:pStyle w:val="Heading1"/>
      </w:pPr>
      <w:r>
        <w:t>What you need</w:t>
      </w:r>
    </w:p>
    <w:p>
      <w:pPr>
        <w:pStyle w:val="ListBullet"/>
      </w:pPr>
      <w:r>
        <w:t>Copilot Studio signed in to your Dev environment (Lecture 3).</w:t>
      </w:r>
    </w:p>
    <w:p>
      <w:pPr>
        <w:pStyle w:val="ListBullet"/>
      </w:pPr>
      <w:r>
        <w:t>For Attempt 1: a Standard agent. If you have not built the Customer Service Agent yet, this attempt is a preview - read the expected results instead, or repeat it after Section 3.</w:t>
      </w:r>
    </w:p>
    <w:p>
      <w:pPr>
        <w:pStyle w:val="ListBullet"/>
      </w:pPr>
      <w:r>
        <w:t>For Attempt 2: the Agent card tagged GitHub Copilot on the Home page. It shows a Uses Copilot Credits label, and credits are charged from the first build action, so stop at the plan as Paul does. Check Lecture 3 for your billing position first.</w:t>
      </w:r>
    </w:p>
    <w:p>
      <w:pPr>
        <w:pStyle w:val="ListBullet"/>
      </w:pPr>
      <w:r>
        <w:t>The data the agent would need (not connected in the demo): Pashun-ProTee-US-Sales-and-Stock-Forecast.xlsx (Sales Summary tab) in the Resources folder.</w:t>
      </w:r>
    </w:p>
    <w:p>
      <w:pPr>
        <w:pStyle w:val="Heading1"/>
      </w:pPr>
      <w:r>
        <w:t>Part 1 - Pattern recognition: three requests, three harnesses</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3A5F"/>
          </w:tcPr>
          <w:p>
            <w:r/>
            <w:r>
              <w:rPr>
                <w:b/>
                <w:color w:val="FFFFFF"/>
                <w:sz w:val="19"/>
              </w:rPr>
              <w:t>Request</w:t>
            </w:r>
          </w:p>
        </w:tc>
        <w:tc>
          <w:tcPr>
            <w:tcW w:type="dxa" w:w="4320"/>
            <w:shd w:val="clear" w:color="auto" w:fill="1F3A5F"/>
          </w:tcPr>
          <w:p>
            <w:r/>
            <w:r>
              <w:rPr>
                <w:b/>
                <w:color w:val="FFFFFF"/>
                <w:sz w:val="19"/>
              </w:rPr>
              <w:t>What Paul does</w:t>
            </w:r>
          </w:p>
        </w:tc>
        <w:tc>
          <w:tcPr>
            <w:tcW w:type="dxa" w:w="3600"/>
            <w:shd w:val="clear" w:color="auto" w:fill="1F3A5F"/>
          </w:tcPr>
          <w:p>
            <w:r/>
            <w:r>
              <w:rPr>
                <w:b/>
                <w:color w:val="FFFFFF"/>
                <w:sz w:val="19"/>
              </w:rPr>
              <w:t>Exact wording</w:t>
            </w:r>
          </w:p>
        </w:tc>
      </w:tr>
      <w:tr>
        <w:tc>
          <w:tcPr>
            <w:tcW w:type="dxa" w:w="2016"/>
          </w:tcPr>
          <w:p>
            <w:r/>
            <w:r>
              <w:rPr>
                <w:sz w:val="19"/>
              </w:rPr>
              <w:t>A - Copilot Chat harness</w:t>
            </w:r>
          </w:p>
        </w:tc>
        <w:tc>
          <w:tcPr>
            <w:tcW w:type="dxa" w:w="4320"/>
          </w:tcPr>
          <w:p>
            <w:r/>
            <w:r>
              <w:rPr>
                <w:sz w:val="19"/>
              </w:rPr>
              <w:t>Opens Microsoft 365 Copilot, uses the agent builder to describe a helper in plain English, points it at the returns policy in SharePoint and shares it with the team (under five minutes)</w:t>
            </w:r>
          </w:p>
        </w:tc>
        <w:tc>
          <w:tcPr>
            <w:tcW w:type="dxa" w:w="3600"/>
          </w:tcPr>
          <w:p>
            <w:r/>
            <w:r>
              <w:rPr>
                <w:sz w:val="19"/>
              </w:rPr>
              <w:t>Suggested describe text (the lecture does not give exact words): Create an agent called Returns Rules Helper that answers colleagues' questions about where to find and how to apply the Pashun Sports returns rules. Use the US Returns and Exchanges Policy in the Customer Policies library on SharePoint as its only source. Keep answers short and friendly, and say so when the policy does not cover a question.</w:t>
            </w:r>
          </w:p>
        </w:tc>
      </w:tr>
      <w:tr>
        <w:tc>
          <w:tcPr>
            <w:tcW w:type="dxa" w:w="2016"/>
          </w:tcPr>
          <w:p>
            <w:r/>
            <w:r>
              <w:rPr>
                <w:sz w:val="19"/>
              </w:rPr>
              <w:t>B - Standard harness</w:t>
            </w:r>
          </w:p>
        </w:tc>
        <w:tc>
          <w:tcPr>
            <w:tcW w:type="dxa" w:w="4320"/>
          </w:tcPr>
          <w:p>
            <w:r/>
            <w:r>
              <w:rPr>
                <w:sz w:val="19"/>
              </w:rPr>
              <w:t>Agents, then New agent, then under Other ways to build, Agent (Standard); shows the tabs Overview, Knowledge, Tools, Agents, Topics, Activity, Evaluation, Monitor and Channels</w:t>
            </w:r>
          </w:p>
        </w:tc>
        <w:tc>
          <w:tcPr>
            <w:tcW w:type="dxa" w:w="3600"/>
          </w:tcPr>
          <w:p>
            <w:r/>
            <w:r>
              <w:rPr>
                <w:sz w:val="19"/>
              </w:rPr>
              <w:t>Request: "Customers want to return or swap a Pro Tee, and we need the order number and reason every time."</w:t>
            </w:r>
          </w:p>
        </w:tc>
      </w:tr>
      <w:tr>
        <w:tc>
          <w:tcPr>
            <w:tcW w:type="dxa" w:w="2016"/>
          </w:tcPr>
          <w:p>
            <w:r/>
            <w:r>
              <w:rPr>
                <w:sz w:val="19"/>
              </w:rPr>
              <w:t>C - GitHub Copilot harness</w:t>
            </w:r>
          </w:p>
        </w:tc>
        <w:tc>
          <w:tcPr>
            <w:tcW w:type="dxa" w:w="4320"/>
          </w:tcPr>
          <w:p>
            <w:r/>
            <w:r>
              <w:rPr>
                <w:sz w:val="19"/>
              </w:rPr>
              <w:t>Home, the Agent card tagged GitHub Copilot; enters a goal rather than a flow</w:t>
            </w:r>
          </w:p>
        </w:tc>
        <w:tc>
          <w:tcPr>
            <w:tcW w:type="dxa" w:w="3600"/>
          </w:tcPr>
          <w:p>
            <w:r/>
            <w:r>
              <w:rPr>
                <w:sz w:val="19"/>
              </w:rPr>
              <w:t>"Find out why Pro Tee sales dipped last month and tell us what to do."</w:t>
            </w:r>
          </w:p>
        </w:tc>
      </w:tr>
    </w:tbl>
    <w:p/>
    <w:p>
      <w:pPr>
        <w:pStyle w:val="Heading1"/>
      </w:pPr>
      <w:r>
        <w:t>Part 2 - Standard and GitHub Copilot side by side</w:t>
      </w:r>
    </w:p>
    <w:p>
      <w:pPr>
        <w:pStyle w:val="Heading2"/>
      </w:pPr>
      <w:r>
        <w:t>The framing request</w:t>
      </w:r>
    </w:p>
    <w:p>
      <w:r>
        <w:rPr>
          <w:b w:val="0"/>
          <w:i w:val="0"/>
        </w:rPr>
        <w:t>Jamie's two kinds of request. (a) Customers wanting to return or swap a Pro Tee. (b) Paul asking:</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t>"Pro Tee sales dipped last month — why, and what should we do about it?"</w:t>
            </w:r>
          </w:p>
        </w:tc>
      </w:tr>
    </w:tbl>
    <w:p/>
    <w:p>
      <w:pPr>
        <w:pStyle w:val="Heading2"/>
      </w:pPr>
      <w:r>
        <w:t>Attempt 1 - Standard harness (Pashun Sports Customer Service Agent, Test panel)</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color="auto" w:fill="1F3A5F"/>
          </w:tcPr>
          <w:p>
            <w:r/>
            <w:r>
              <w:rPr>
                <w:b/>
                <w:color w:val="FFFFFF"/>
                <w:sz w:val="19"/>
              </w:rPr>
              <w:t>Step</w:t>
            </w:r>
          </w:p>
        </w:tc>
        <w:tc>
          <w:tcPr>
            <w:tcW w:type="dxa" w:w="3888"/>
            <w:shd w:val="clear" w:color="auto" w:fill="1F3A5F"/>
          </w:tcPr>
          <w:p>
            <w:r/>
            <w:r>
              <w:rPr>
                <w:b/>
                <w:color w:val="FFFFFF"/>
                <w:sz w:val="19"/>
              </w:rPr>
              <w:t>Type this</w:t>
            </w:r>
          </w:p>
        </w:tc>
        <w:tc>
          <w:tcPr>
            <w:tcW w:type="dxa" w:w="5328"/>
            <w:shd w:val="clear" w:color="auto" w:fill="1F3A5F"/>
          </w:tcPr>
          <w:p>
            <w:r/>
            <w:r>
              <w:rPr>
                <w:b/>
                <w:color w:val="FFFFFF"/>
                <w:sz w:val="19"/>
              </w:rPr>
              <w:t>Expected result</w:t>
            </w:r>
          </w:p>
        </w:tc>
      </w:tr>
      <w:tr>
        <w:tc>
          <w:tcPr>
            <w:tcW w:type="dxa" w:w="720"/>
          </w:tcPr>
          <w:p>
            <w:r/>
            <w:r>
              <w:rPr>
                <w:sz w:val="19"/>
              </w:rPr>
              <w:t>1</w:t>
            </w:r>
          </w:p>
        </w:tc>
        <w:tc>
          <w:tcPr>
            <w:tcW w:type="dxa" w:w="3888"/>
          </w:tcPr>
          <w:p>
            <w:r/>
            <w:r>
              <w:rPr>
                <w:sz w:val="19"/>
              </w:rPr>
              <w:t>"Can I swap my Pro Tee for a larger size?"</w:t>
            </w:r>
          </w:p>
        </w:tc>
        <w:tc>
          <w:tcPr>
            <w:tcW w:type="dxa" w:w="5328"/>
          </w:tcPr>
          <w:p>
            <w:r/>
            <w:r>
              <w:rPr>
                <w:sz w:val="19"/>
              </w:rPr>
              <w:t>A grounded, cited answer from the US Returns and Exchanges Policy in seconds - exchanges for size or color are free within 30 days. A perfect Standard problem: the steps are known.</w:t>
            </w:r>
          </w:p>
        </w:tc>
      </w:tr>
      <w:tr>
        <w:tc>
          <w:tcPr>
            <w:tcW w:type="dxa" w:w="720"/>
          </w:tcPr>
          <w:p>
            <w:r/>
            <w:r>
              <w:rPr>
                <w:sz w:val="19"/>
              </w:rPr>
              <w:t>2</w:t>
            </w:r>
          </w:p>
        </w:tc>
        <w:tc>
          <w:tcPr>
            <w:tcW w:type="dxa" w:w="3888"/>
          </w:tcPr>
          <w:p>
            <w:r/>
            <w:r>
              <w:rPr>
                <w:sz w:val="19"/>
              </w:rPr>
              <w:t>"Why did Pro Tee sales dip last month, and what should we do about it?"</w:t>
            </w:r>
          </w:p>
        </w:tc>
        <w:tc>
          <w:tcPr>
            <w:tcW w:type="dxa" w:w="5328"/>
          </w:tcPr>
          <w:p>
            <w:r/>
            <w:r>
              <w:rPr>
                <w:sz w:val="19"/>
              </w:rPr>
              <w:t>Plausible-sounding prose, but the agent cannot look at the sales workbook, compare it with returns and customer comments, or write up findings. It has no plan for an open-ended question. This is the signal.</w:t>
            </w:r>
          </w:p>
        </w:tc>
      </w:tr>
    </w:tbl>
    <w:p/>
    <w:p>
      <w:pPr>
        <w:pStyle w:val="Heading2"/>
      </w:pPr>
      <w:r>
        <w:t>Attempt 2 - GitHub Copilot harness (demonstration only)</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color="auto" w:fill="1F3A5F"/>
          </w:tcPr>
          <w:p>
            <w:r/>
            <w:r>
              <w:rPr>
                <w:b/>
                <w:color w:val="FFFFFF"/>
                <w:sz w:val="19"/>
              </w:rPr>
              <w:t>Step</w:t>
            </w:r>
          </w:p>
        </w:tc>
        <w:tc>
          <w:tcPr>
            <w:tcW w:type="dxa" w:w="4752"/>
            <w:shd w:val="clear" w:color="auto" w:fill="1F3A5F"/>
          </w:tcPr>
          <w:p>
            <w:r/>
            <w:r>
              <w:rPr>
                <w:b/>
                <w:color w:val="FFFFFF"/>
                <w:sz w:val="19"/>
              </w:rPr>
              <w:t>Do this</w:t>
            </w:r>
          </w:p>
        </w:tc>
        <w:tc>
          <w:tcPr>
            <w:tcW w:type="dxa" w:w="4464"/>
            <w:shd w:val="clear" w:color="auto" w:fill="1F3A5F"/>
          </w:tcPr>
          <w:p>
            <w:r/>
            <w:r>
              <w:rPr>
                <w:b/>
                <w:color w:val="FFFFFF"/>
                <w:sz w:val="19"/>
              </w:rPr>
              <w:t>Expected result</w:t>
            </w:r>
          </w:p>
        </w:tc>
      </w:tr>
      <w:tr>
        <w:tc>
          <w:tcPr>
            <w:tcW w:type="dxa" w:w="720"/>
          </w:tcPr>
          <w:p>
            <w:r/>
            <w:r>
              <w:rPr>
                <w:sz w:val="19"/>
              </w:rPr>
              <w:t>1</w:t>
            </w:r>
          </w:p>
        </w:tc>
        <w:tc>
          <w:tcPr>
            <w:tcW w:type="dxa" w:w="4752"/>
          </w:tcPr>
          <w:p>
            <w:r/>
            <w:r>
              <w:rPr>
                <w:sz w:val="19"/>
              </w:rPr>
              <w:t>Home, select the Agent card tagged GitHub Copilot (note the Uses Copilot Credits label). The agent opens on a Build tab with Preview, Evaluate and Monitor beside it.</w:t>
            </w:r>
          </w:p>
        </w:tc>
        <w:tc>
          <w:tcPr>
            <w:tcW w:type="dxa" w:w="4464"/>
          </w:tcPr>
          <w:p>
            <w:r/>
            <w:r>
              <w:rPr>
                <w:sz w:val="19"/>
              </w:rPr>
              <w:t>Right panel lists Model, Channels, Skills, Tools, Knowledge, Connected agents and Memory (in preview).</w:t>
            </w:r>
          </w:p>
        </w:tc>
      </w:tr>
      <w:tr>
        <w:tc>
          <w:tcPr>
            <w:tcW w:type="dxa" w:w="720"/>
          </w:tcPr>
          <w:p>
            <w:r/>
            <w:r>
              <w:rPr>
                <w:sz w:val="19"/>
              </w:rPr>
              <w:t>2</w:t>
            </w:r>
          </w:p>
        </w:tc>
        <w:tc>
          <w:tcPr>
            <w:tcW w:type="dxa" w:w="4752"/>
          </w:tcPr>
          <w:p>
            <w:r/>
            <w:r>
              <w:rPr>
                <w:sz w:val="19"/>
              </w:rPr>
              <w:t>State the goal: "Find out why Pro Tee sales dipped last month and recommend what to do."</w:t>
            </w:r>
          </w:p>
        </w:tc>
        <w:tc>
          <w:tcPr>
            <w:tcW w:type="dxa" w:w="4464"/>
          </w:tcPr>
          <w:p>
            <w:r/>
            <w:r>
              <w:rPr>
                <w:sz w:val="19"/>
              </w:rPr>
              <w:t>The agent proposes its own plan: which sources to look at, what to compare and what to produce - instead of following steps you drew.</w:t>
            </w:r>
          </w:p>
        </w:tc>
      </w:tr>
      <w:tr>
        <w:tc>
          <w:tcPr>
            <w:tcW w:type="dxa" w:w="720"/>
          </w:tcPr>
          <w:p>
            <w:r/>
            <w:r>
              <w:rPr>
                <w:sz w:val="19"/>
              </w:rPr>
              <w:t>3</w:t>
            </w:r>
          </w:p>
        </w:tc>
        <w:tc>
          <w:tcPr>
            <w:tcW w:type="dxa" w:w="4752"/>
          </w:tcPr>
          <w:p>
            <w:r/>
            <w:r>
              <w:rPr>
                <w:sz w:val="19"/>
              </w:rPr>
              <w:t>Stop at the plan. No data is connected yet.</w:t>
            </w:r>
          </w:p>
        </w:tc>
        <w:tc>
          <w:tcPr>
            <w:tcW w:type="dxa" w:w="4464"/>
          </w:tcPr>
          <w:p>
            <w:r/>
            <w:r>
              <w:rPr>
                <w:sz w:val="19"/>
              </w:rPr>
              <w:t>The point is the shape of the difference: following a process versus working toward a goal. The full build comes in Lecture 19.</w:t>
            </w:r>
          </w:p>
        </w:tc>
      </w:tr>
    </w:tbl>
    <w:p/>
    <w:p>
      <w:pPr>
        <w:pStyle w:val="Heading1"/>
      </w:pPr>
      <w:r>
        <w:t>Debrief questions</w:t>
      </w:r>
    </w:p>
    <w:p>
      <w:pPr>
        <w:pStyle w:val="ListNumber"/>
      </w:pPr>
      <w:r>
        <w:t>Which attempt would you trust with a customer's return request, and why?</w:t>
      </w:r>
    </w:p>
    <w:p>
      <w:pPr>
        <w:pStyle w:val="ListNumber"/>
      </w:pPr>
      <w:r>
        <w:t>Which attempt could write up findings from a workbook?</w:t>
      </w:r>
    </w:p>
    <w:p>
      <w:pPr>
        <w:pStyle w:val="ListNumber"/>
      </w:pPr>
      <w:r>
        <w:t>What would you need to connect before Attempt 2 could answer for real? (Sales workbook, returns data, customer comments.)</w:t>
      </w:r>
    </w:p>
    <w:p>
      <w:pPr>
        <w:pStyle w:val="ListNumber"/>
      </w:pPr>
      <w:r>
        <w:t>Which harness should Jamie use for each of the two kinds of request?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