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Pashun Sports T-Shirts Customer Service Agent - Worked Example</w:t>
      </w:r>
    </w:p>
    <w:p>
      <w:r>
        <w:rPr>
          <w:color w:val="595959"/>
          <w:sz w:val="19"/>
        </w:rPr>
        <w:t>Pashun Sports T-Shirts · Microsoft Copilot Studio: The Complete Guide (2026) · Lecture 05</w:t>
      </w:r>
    </w:p>
    <w:p>
      <w:r>
        <w:rPr>
          <w:i/>
        </w:rPr>
        <w:t>The completed plan from Part 1 and the first-draft agent from Part 2 of Lecture 5.</w:t>
      </w:r>
    </w:p>
    <w:p>
      <w:pPr>
        <w:pStyle w:val="Heading1"/>
      </w:pPr>
      <w:r>
        <w:t>Part 1 - The plan</w:t>
      </w:r>
    </w:p>
    <w:p>
      <w:r>
        <w:rPr>
          <w:b w:val="0"/>
          <w:i w:val="0"/>
        </w:rPr>
        <w:t>Set the scene: Pashun Sports T-Shirts is a small US sports-apparel brand with a handful of staff, one fabric supplier and a launch underway - the Pashun Pro Tee. Jamie Jordan, the project manager, spends hours each week answering the same customer questions about returns, exchanges, sizing and delivery.</w:t>
      </w:r>
    </w:p>
    <w:p>
      <w:pPr>
        <w:pStyle w:val="Heading2"/>
      </w:pPr>
      <w:r>
        <w:t>Three candidate use cases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1F3A5F"/>
          </w:tcPr>
          <w:p>
            <w:r/>
            <w:r>
              <w:rPr>
                <w:b/>
                <w:color w:val="FFFFFF"/>
                <w:sz w:val="19"/>
              </w:rPr>
              <w:t>Candidate</w:t>
            </w:r>
          </w:p>
        </w:tc>
        <w:tc>
          <w:tcPr>
            <w:tcW w:type="dxa" w:w="4896"/>
            <w:shd w:val="clear" w:color="auto" w:fill="1F3A5F"/>
          </w:tcPr>
          <w:p>
            <w:r/>
            <w:r>
              <w:rPr>
                <w:b/>
                <w:color w:val="FFFFFF"/>
                <w:sz w:val="19"/>
              </w:rPr>
              <w:t>Why it scores as it does</w:t>
            </w:r>
          </w:p>
        </w:tc>
        <w:tc>
          <w:tcPr>
            <w:tcW w:type="dxa" w:w="1872"/>
            <w:shd w:val="clear" w:color="auto" w:fill="1F3A5F"/>
          </w:tcPr>
          <w:p>
            <w:r/>
            <w:r>
              <w:rPr>
                <w:b/>
                <w:color w:val="FFFFFF"/>
                <w:sz w:val="19"/>
              </w:rPr>
              <w:t>Decision</w:t>
            </w:r>
          </w:p>
        </w:tc>
      </w:tr>
      <w:tr>
        <w:tc>
          <w:tcPr>
            <w:tcW w:type="dxa" w:w="3168"/>
          </w:tcPr>
          <w:p>
            <w:r/>
            <w:r>
              <w:rPr>
                <w:sz w:val="19"/>
              </w:rPr>
              <w:t>Returns and exchanges agent for customer questions</w:t>
            </w:r>
          </w:p>
        </w:tc>
        <w:tc>
          <w:tcPr>
            <w:tcW w:type="dxa" w:w="4896"/>
          </w:tcPr>
          <w:p>
            <w:r/>
            <w:r>
              <w:rPr>
                <w:sz w:val="19"/>
              </w:rPr>
              <w:t>Knowledge already written in the returns policy; lives in one SharePoint site; pain is easy to measure; the Returns Assistant from earlier courses shows exactly what is missing</w:t>
            </w:r>
          </w:p>
        </w:tc>
        <w:tc>
          <w:tcPr>
            <w:tcW w:type="dxa" w:w="1872"/>
          </w:tcPr>
          <w:p>
            <w:r/>
            <w:r>
              <w:rPr>
                <w:sz w:val="19"/>
              </w:rPr>
              <w:t>First release</w:t>
            </w:r>
          </w:p>
        </w:tc>
      </w:tr>
      <w:tr>
        <w:tc>
          <w:tcPr>
            <w:tcW w:type="dxa" w:w="3168"/>
          </w:tcPr>
          <w:p>
            <w:r/>
            <w:r>
              <w:rPr>
                <w:sz w:val="19"/>
              </w:rPr>
              <w:t>Supplier follow-up agent for the launch</w:t>
            </w:r>
          </w:p>
        </w:tc>
        <w:tc>
          <w:tcPr>
            <w:tcW w:type="dxa" w:w="4896"/>
          </w:tcPr>
          <w:p>
            <w:r/>
            <w:r>
              <w:rPr>
                <w:sz w:val="19"/>
              </w:rPr>
              <w:t>Valuable, but needs email, the supplier agreement and tools</w:t>
            </w:r>
          </w:p>
        </w:tc>
        <w:tc>
          <w:tcPr>
            <w:tcW w:type="dxa" w:w="1872"/>
          </w:tcPr>
          <w:p>
            <w:r/>
            <w:r>
              <w:rPr>
                <w:sz w:val="19"/>
              </w:rPr>
              <w:t>Parked - returns in Section 4</w:t>
            </w:r>
          </w:p>
        </w:tc>
      </w:tr>
      <w:tr>
        <w:tc>
          <w:tcPr>
            <w:tcW w:type="dxa" w:w="3168"/>
          </w:tcPr>
          <w:p>
            <w:r/>
            <w:r>
              <w:rPr>
                <w:sz w:val="19"/>
              </w:rPr>
              <w:t>Monthly sales summary agent</w:t>
            </w:r>
          </w:p>
        </w:tc>
        <w:tc>
          <w:tcPr>
            <w:tcW w:type="dxa" w:w="4896"/>
          </w:tcPr>
          <w:p>
            <w:r/>
            <w:r>
              <w:rPr>
                <w:sz w:val="19"/>
              </w:rPr>
              <w:t>Needs the forecast workbook and reporting design</w:t>
            </w:r>
          </w:p>
        </w:tc>
        <w:tc>
          <w:tcPr>
            <w:tcW w:type="dxa" w:w="1872"/>
          </w:tcPr>
          <w:p>
            <w:r/>
            <w:r>
              <w:rPr>
                <w:sz w:val="19"/>
              </w:rPr>
              <w:t>Parked - returns in Section 4</w:t>
            </w:r>
          </w:p>
        </w:tc>
      </w:tr>
    </w:tbl>
    <w:p/>
    <w:p>
      <w:pPr>
        <w:pStyle w:val="Heading2"/>
      </w:pPr>
      <w:r>
        <w:t>The six planning questions (filled in live)</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3A5F"/>
          </w:tcPr>
          <w:p>
            <w:r/>
            <w:r>
              <w:rPr>
                <w:b/>
                <w:color w:val="FFFFFF"/>
                <w:sz w:val="20"/>
              </w:rPr>
              <w:t>Question</w:t>
            </w:r>
          </w:p>
        </w:tc>
        <w:tc>
          <w:tcPr>
            <w:tcW w:type="dxa" w:w="6768"/>
            <w:shd w:val="clear" w:color="auto" w:fill="1F3A5F"/>
          </w:tcPr>
          <w:p>
            <w:r/>
            <w:r>
              <w:rPr>
                <w:b/>
                <w:color w:val="FFFFFF"/>
                <w:sz w:val="20"/>
              </w:rPr>
              <w:t>Pashun Sports answer</w:t>
            </w:r>
          </w:p>
        </w:tc>
      </w:tr>
      <w:tr>
        <w:tc>
          <w:tcPr>
            <w:tcW w:type="dxa" w:w="3168"/>
          </w:tcPr>
          <w:p>
            <w:r/>
            <w:r>
              <w:rPr>
                <w:sz w:val="20"/>
              </w:rPr>
              <w:t>1. Who is the user?</w:t>
            </w:r>
          </w:p>
        </w:tc>
        <w:tc>
          <w:tcPr>
            <w:tcW w:type="dxa" w:w="6768"/>
          </w:tcPr>
          <w:p>
            <w:r/>
            <w:r>
              <w:rPr>
                <w:sz w:val="20"/>
              </w:rPr>
              <w:t>US customers, and the Pashun Sports team who answer them (mainly Jamie)</w:t>
            </w:r>
          </w:p>
        </w:tc>
      </w:tr>
      <w:tr>
        <w:tc>
          <w:tcPr>
            <w:tcW w:type="dxa" w:w="3168"/>
          </w:tcPr>
          <w:p>
            <w:r/>
            <w:r>
              <w:rPr>
                <w:sz w:val="20"/>
              </w:rPr>
              <w:t>2. What repetitive question or task are we removing?</w:t>
            </w:r>
          </w:p>
        </w:tc>
        <w:tc>
          <w:tcPr>
            <w:tcW w:type="dxa" w:w="6768"/>
          </w:tcPr>
          <w:p>
            <w:r/>
            <w:r>
              <w:rPr>
                <w:sz w:val="20"/>
              </w:rPr>
              <w:t>Answer returns, exchange, sizing and delivery questions for the Pro Tee; log a return or complaint request when the customer wants one; hand serious cases to a person</w:t>
            </w:r>
          </w:p>
        </w:tc>
      </w:tr>
      <w:tr>
        <w:tc>
          <w:tcPr>
            <w:tcW w:type="dxa" w:w="3168"/>
          </w:tcPr>
          <w:p>
            <w:r/>
            <w:r>
              <w:rPr>
                <w:sz w:val="20"/>
              </w:rPr>
              <w:t>3. Where does the truth live?</w:t>
            </w:r>
          </w:p>
        </w:tc>
        <w:tc>
          <w:tcPr>
            <w:tcW w:type="dxa" w:w="6768"/>
          </w:tcPr>
          <w:p>
            <w:r/>
            <w:r>
              <w:rPr>
                <w:sz w:val="20"/>
              </w:rPr>
              <w:t>The Pashun Sports T-Shirts team site in SharePoint - US Returns and Exchanges Policy, Sizing and Fabric FAQ, US Delivery Timescales</w:t>
            </w:r>
          </w:p>
        </w:tc>
      </w:tr>
      <w:tr>
        <w:tc>
          <w:tcPr>
            <w:tcW w:type="dxa" w:w="3168"/>
          </w:tcPr>
          <w:p>
            <w:r/>
            <w:r>
              <w:rPr>
                <w:sz w:val="20"/>
              </w:rPr>
              <w:t>4. What must the agent never do?</w:t>
            </w:r>
          </w:p>
        </w:tc>
        <w:tc>
          <w:tcPr>
            <w:tcW w:type="dxa" w:w="6768"/>
          </w:tcPr>
          <w:p>
            <w:r/>
            <w:r>
              <w:rPr>
                <w:sz w:val="20"/>
              </w:rPr>
              <w:t>Reveal wholesale prices, unit costs or margins; share supplier terms; promise refunds over $100 or on damaged bulk orders - those go to Morgan Reyes, Head of Finance</w:t>
            </w:r>
          </w:p>
        </w:tc>
      </w:tr>
      <w:tr>
        <w:tc>
          <w:tcPr>
            <w:tcW w:type="dxa" w:w="3168"/>
          </w:tcPr>
          <w:p>
            <w:r/>
            <w:r>
              <w:rPr>
                <w:sz w:val="20"/>
              </w:rPr>
              <w:t>5. What does the agent do when it doesn't know?</w:t>
            </w:r>
          </w:p>
        </w:tc>
        <w:tc>
          <w:tcPr>
            <w:tcW w:type="dxa" w:w="6768"/>
          </w:tcPr>
          <w:p>
            <w:r/>
            <w:r>
              <w:rPr>
                <w:sz w:val="20"/>
              </w:rPr>
              <w:t>"I can't answer that from the policy — I'll pass this to Jamie Jordan, our project manager." (Nothing built in this lecture actually forwards a case to Jamie yet, so the agent must never claim more than it can do.)</w:t>
            </w:r>
          </w:p>
        </w:tc>
      </w:tr>
      <w:tr>
        <w:tc>
          <w:tcPr>
            <w:tcW w:type="dxa" w:w="3168"/>
          </w:tcPr>
          <w:p>
            <w:r/>
            <w:r>
              <w:rPr>
                <w:sz w:val="20"/>
              </w:rPr>
              <w:t>6. How will we know it worked?</w:t>
            </w:r>
          </w:p>
        </w:tc>
        <w:tc>
          <w:tcPr>
            <w:tcW w:type="dxa" w:w="6768"/>
          </w:tcPr>
          <w:p>
            <w:r/>
            <w:r>
              <w:rPr>
                <w:sz w:val="20"/>
              </w:rPr>
              <w:t>50% fewer repeat returns emails to the shared inbox within six weeks</w:t>
            </w:r>
          </w:p>
        </w:tc>
      </w:tr>
    </w:tbl>
    <w:p/>
    <w:p>
      <w:pPr>
        <w:pStyle w:val="Heading2"/>
      </w:pPr>
      <w:r>
        <w:t>Goldilocks test</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3A5F"/>
          </w:tcPr>
          <w:p>
            <w:r/>
            <w:r>
              <w:rPr>
                <w:b/>
                <w:color w:val="FFFFFF"/>
                <w:sz w:val="19"/>
              </w:rPr>
              <w:t>Scope</w:t>
            </w:r>
          </w:p>
        </w:tc>
        <w:tc>
          <w:tcPr>
            <w:tcW w:type="dxa" w:w="5472"/>
            <w:shd w:val="clear" w:color="auto" w:fill="1F3A5F"/>
          </w:tcPr>
          <w:p>
            <w:r/>
            <w:r>
              <w:rPr>
                <w:b/>
                <w:color w:val="FFFFFF"/>
                <w:sz w:val="19"/>
              </w:rPr>
              <w:t>Example</w:t>
            </w:r>
          </w:p>
        </w:tc>
        <w:tc>
          <w:tcPr>
            <w:tcW w:type="dxa" w:w="2880"/>
            <w:shd w:val="clear" w:color="auto" w:fill="1F3A5F"/>
          </w:tcPr>
          <w:p>
            <w:r/>
            <w:r>
              <w:rPr>
                <w:b/>
                <w:color w:val="FFFFFF"/>
                <w:sz w:val="19"/>
              </w:rPr>
              <w:t>Verdict</w:t>
            </w:r>
          </w:p>
        </w:tc>
      </w:tr>
      <w:tr>
        <w:tc>
          <w:tcPr>
            <w:tcW w:type="dxa" w:w="1584"/>
          </w:tcPr>
          <w:p>
            <w:r/>
            <w:r>
              <w:rPr>
                <w:sz w:val="19"/>
              </w:rPr>
              <w:t>Too narrow</w:t>
            </w:r>
          </w:p>
        </w:tc>
        <w:tc>
          <w:tcPr>
            <w:tcW w:type="dxa" w:w="5472"/>
          </w:tcPr>
          <w:p>
            <w:r/>
            <w:r>
              <w:rPr>
                <w:sz w:val="19"/>
              </w:rPr>
              <w:t>"Tells people the office Wi-Fi password"</w:t>
            </w:r>
          </w:p>
        </w:tc>
        <w:tc>
          <w:tcPr>
            <w:tcW w:type="dxa" w:w="2880"/>
          </w:tcPr>
          <w:p>
            <w:r/>
            <w:r>
              <w:rPr>
                <w:sz w:val="19"/>
              </w:rPr>
              <w:t>Works, nobody cares</w:t>
            </w:r>
          </w:p>
        </w:tc>
      </w:tr>
      <w:tr>
        <w:tc>
          <w:tcPr>
            <w:tcW w:type="dxa" w:w="1584"/>
          </w:tcPr>
          <w:p>
            <w:r/>
            <w:r>
              <w:rPr>
                <w:sz w:val="19"/>
              </w:rPr>
              <w:t>Just right</w:t>
            </w:r>
          </w:p>
        </w:tc>
        <w:tc>
          <w:tcPr>
            <w:tcW w:type="dxa" w:w="5472"/>
          </w:tcPr>
          <w:p>
            <w:r/>
            <w:r>
              <w:rPr>
                <w:sz w:val="19"/>
              </w:rPr>
              <w:t>"Answers returns, exchange and sizing questions for the Pro Tee from the Pashun Sports returns policy"</w:t>
            </w:r>
          </w:p>
        </w:tc>
        <w:tc>
          <w:tcPr>
            <w:tcW w:type="dxa" w:w="2880"/>
          </w:tcPr>
          <w:p>
            <w:r/>
            <w:r>
              <w:rPr>
                <w:sz w:val="19"/>
              </w:rPr>
              <w:t>Chosen: clear audience, bounded knowledge, measurable deflection</w:t>
            </w:r>
          </w:p>
        </w:tc>
      </w:tr>
      <w:tr>
        <w:tc>
          <w:tcPr>
            <w:tcW w:type="dxa" w:w="1584"/>
          </w:tcPr>
          <w:p>
            <w:r/>
            <w:r>
              <w:rPr>
                <w:sz w:val="19"/>
              </w:rPr>
              <w:t>Too broad</w:t>
            </w:r>
          </w:p>
        </w:tc>
        <w:tc>
          <w:tcPr>
            <w:tcW w:type="dxa" w:w="5472"/>
          </w:tcPr>
          <w:p>
            <w:r/>
            <w:r>
              <w:rPr>
                <w:sz w:val="19"/>
              </w:rPr>
              <w:t>"Answers any question any customer or colleague has about anything at Pashun"</w:t>
            </w:r>
          </w:p>
        </w:tc>
        <w:tc>
          <w:tcPr>
            <w:tcW w:type="dxa" w:w="2880"/>
          </w:tcPr>
          <w:p>
            <w:r/>
            <w:r>
              <w:rPr>
                <w:sz w:val="19"/>
              </w:rPr>
              <w:t>Rejected</w:t>
            </w:r>
          </w:p>
        </w:tc>
      </w:tr>
    </w:tbl>
    <w:p/>
    <w:p>
      <w:r>
        <w:rPr>
          <w:b w:val="0"/>
          <w:i w:val="0"/>
        </w:rPr>
        <w:t>Type: knowledge-first with one small action bolted on. The Returns Assistant gave us the knowledge-first half; now we add the actions.</w:t>
      </w:r>
    </w:p>
    <w:p>
      <w:pPr>
        <w:pStyle w:val="Heading2"/>
      </w:pPr>
      <w:r>
        <w:t>Cost and effort check</w:t>
      </w:r>
    </w:p>
    <w:p>
      <w:r>
        <w:rPr>
          <w:b w:val="0"/>
          <w:i w:val="0"/>
        </w:rPr>
        <w:t>Roughly 300 customers a month, about half using the agent, around 2 conversations each. With most answers from topics and generative answers over the three documents, the Lecture 3 worksheet gives about 2,325 credits a month (about $23 at pay-as-you-go) - affordable for a pilot.</w:t>
      </w:r>
    </w:p>
    <w:p>
      <w:pPr>
        <w:pStyle w:val="Heading2"/>
      </w:pPr>
      <w:r>
        <w:t>Ten test questions</w:t>
      </w:r>
    </w:p>
    <w:p>
      <w:r>
        <w:rPr>
          <w:b w:val="0"/>
          <w:i w:val="0"/>
        </w:rPr>
        <w:t>See Ten-Test-Questions-Checklist.docx. Two are deliberately out of scope, including "What is our wholesale price for the Pro Tee?", to prove the boundaries hold.</w:t>
      </w:r>
    </w:p>
    <w:p>
      <w:pPr>
        <w:pStyle w:val="Heading1"/>
      </w:pPr>
      <w:r>
        <w:t>Part 2 - Creating the agent (what Paul does on screen)</w:t>
      </w:r>
    </w:p>
    <w:p>
      <w:pPr>
        <w:pStyle w:val="ListNumber"/>
      </w:pPr>
      <w:r>
        <w:t>Check the environment selector at the bottom left reads Pashun Sports – Dev, not the Default environment.</w:t>
      </w:r>
    </w:p>
    <w:p>
      <w:pPr>
        <w:pStyle w:val="ListNumber"/>
      </w:pPr>
      <w:r>
        <w:t>Select Agents, then New agent. The menu offers the GitHub Copilot agent at the top and, under Other ways to build, Agent (Standard). Choose Agent (Standard).</w:t>
      </w:r>
    </w:p>
    <w:p>
      <w:pPr>
        <w:pStyle w:val="ListNumber"/>
      </w:pPr>
      <w:r>
        <w:t>In the Name your agent box type: Pashun Sports Customer Service Agent. (A naming convention matters once an organization has fifty agents.) Open Agent settings (optional) to see language, solution and schema name, and leave the defaults.</w:t>
      </w:r>
    </w:p>
    <w:p>
      <w:pPr>
        <w:pStyle w:val="ListNumber"/>
      </w:pPr>
      <w:r>
        <w:t>Select Create. The Overview page shows the status as Loading for a moment, and the Test panel opens on the right.</w:t>
      </w:r>
    </w:p>
    <w:p>
      <w:pPr>
        <w:pStyle w:val="ListNumber"/>
      </w:pPr>
      <w:r>
        <w:t>On Overview select Edit next to Details and add the description: "Answers customer questions about returns, exchanges, sizing and delivery for the Pashun Pro Tee, and logs return requests."</w:t>
      </w:r>
    </w:p>
    <w:p>
      <w:pPr>
        <w:pStyle w:val="ListNumber"/>
      </w:pPr>
      <w:r>
        <w:t>Select Edit in the Instructions box and paste the first-draft instructions (see below).</w:t>
      </w:r>
    </w:p>
    <w:p>
      <w:pPr>
        <w:pStyle w:val="ListNumber"/>
      </w:pPr>
      <w:r>
        <w:t>Add the one explicit refund line (see below).</w:t>
      </w:r>
    </w:p>
    <w:p>
      <w:pPr>
        <w:pStyle w:val="ListNumber"/>
      </w:pPr>
      <w:r>
        <w:t>Read the instructions aloud and audit them line by line. Remove any invented promise and add the escalation line.</w:t>
      </w:r>
    </w:p>
    <w:p>
      <w:pPr>
        <w:pStyle w:val="ListNumber"/>
      </w:pPr>
      <w:r>
        <w:t>Leave the Model dropdown on its default (GPT-5.5 Chat at the time of recording).</w:t>
      </w:r>
    </w:p>
    <w:p>
      <w:pPr>
        <w:pStyle w:val="ListNumber"/>
      </w:pPr>
      <w:r>
        <w:t>Open the Test panel and ask "What's your returns window?". The agent answers from general AI knowledge, not company policy, because no knowledge source is attached yet. That sets up Section 2.</w:t>
      </w:r>
    </w:p>
    <w:p>
      <w:pPr>
        <w:pStyle w:val="ListNumber"/>
      </w:pPr>
      <w:r>
        <w:t>Open Settings, then Generative AI, and confirm content moderation is set to High (the default). Leave the agent unpublished.</w:t>
      </w:r>
    </w:p>
    <w:p>
      <w:pPr>
        <w:pStyle w:val="Heading2"/>
      </w:pPr>
      <w:r>
        <w:t>First-draft instructions (from the Prompt Pack)</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Pashun Sports T-Shirts Customer Service Agent. You help US customers, and the Pashun Sports team who answer them, with questions about returns, exchanges, sizing and delivery for the Pashun Pro Tee.</w:t>
            </w:r>
          </w:p>
          <w:p>
            <w:r>
              <w:rPr>
                <w:rFonts w:ascii="Consolas" w:hAnsi="Consolas" w:eastAsia="Consolas"/>
                <w:sz w:val="19"/>
              </w:rPr>
            </w:r>
          </w:p>
          <w:p>
            <w:r>
              <w:rPr>
                <w:rFonts w:ascii="Consolas" w:hAnsi="Consolas" w:eastAsia="Consolas"/>
                <w:sz w:val="19"/>
              </w:rPr>
              <w:t>Tone: friendly and plain English. Keep answers short and clear.</w:t>
            </w:r>
          </w:p>
          <w:p>
            <w:r>
              <w:rPr>
                <w:rFonts w:ascii="Consolas" w:hAnsi="Consolas" w:eastAsia="Consolas"/>
                <w:sz w:val="19"/>
              </w:rPr>
            </w:r>
          </w:p>
          <w:p>
            <w:r>
              <w:rPr>
                <w:rFonts w:ascii="Consolas" w:hAnsi="Consolas" w:eastAsia="Consolas"/>
                <w:sz w:val="19"/>
              </w:rPr>
              <w:t>Answer only from our returns and sizing documents: the US Returns and Exchanges Policy, the Sizing and Fabric FAQ and the US Delivery Timescales. If you don't know, say so and name who can help.</w:t>
            </w:r>
          </w:p>
          <w:p>
            <w:r>
              <w:rPr>
                <w:rFonts w:ascii="Consolas" w:hAnsi="Consolas" w:eastAsia="Consolas"/>
                <w:sz w:val="19"/>
              </w:rPr>
            </w:r>
          </w:p>
          <w:p>
            <w:r>
              <w:rPr>
                <w:rFonts w:ascii="Consolas" w:hAnsi="Consolas" w:eastAsia="Consolas"/>
                <w:sz w:val="19"/>
              </w:rPr>
              <w:t>Never reveal wholesale prices, unit costs, margins or supplier terms.</w:t>
            </w:r>
          </w:p>
        </w:tc>
      </w:tr>
    </w:tbl>
    <w:p/>
    <w:p>
      <w:pPr>
        <w:pStyle w:val="Heading2"/>
      </w:pPr>
      <w:r>
        <w:t>The explicit refund line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Remind customers that refund requests over $100 go to Morgan Reyes in Finance — never promise a refund yourself.</w:t>
            </w:r>
          </w:p>
        </w:tc>
      </w:tr>
    </w:tbl>
    <w:p/>
    <w:p>
      <w:pPr>
        <w:pStyle w:val="Heading2"/>
      </w:pPr>
      <w:r>
        <w:t>The audit - failure case and fix</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F3A5F"/>
          </w:tcPr>
          <w:p>
            <w:r/>
            <w:r>
              <w:rPr>
                <w:b/>
                <w:color w:val="FFFFFF"/>
                <w:sz w:val="19"/>
              </w:rPr>
              <w:t>Draft line</w:t>
            </w:r>
          </w:p>
        </w:tc>
        <w:tc>
          <w:tcPr>
            <w:tcW w:type="dxa" w:w="3744"/>
            <w:shd w:val="clear" w:color="auto" w:fill="1F3A5F"/>
          </w:tcPr>
          <w:p>
            <w:r/>
            <w:r>
              <w:rPr>
                <w:b/>
                <w:color w:val="FFFFFF"/>
                <w:sz w:val="19"/>
              </w:rPr>
              <w:t>Problem</w:t>
            </w:r>
          </w:p>
        </w:tc>
        <w:tc>
          <w:tcPr>
            <w:tcW w:type="dxa" w:w="3312"/>
            <w:shd w:val="clear" w:color="auto" w:fill="1F3A5F"/>
          </w:tcPr>
          <w:p>
            <w:r/>
            <w:r>
              <w:rPr>
                <w:b/>
                <w:color w:val="FFFFFF"/>
                <w:sz w:val="19"/>
              </w:rPr>
              <w:t>Fix</w:t>
            </w:r>
          </w:p>
        </w:tc>
      </w:tr>
      <w:tr>
        <w:tc>
          <w:tcPr>
            <w:tcW w:type="dxa" w:w="2880"/>
          </w:tcPr>
          <w:p>
            <w:r/>
            <w:r>
              <w:rPr>
                <w:sz w:val="19"/>
              </w:rPr>
              <w:t>Respond to every returns email within 24 hours.</w:t>
            </w:r>
          </w:p>
        </w:tc>
        <w:tc>
          <w:tcPr>
            <w:tcW w:type="dxa" w:w="3744"/>
          </w:tcPr>
          <w:p>
            <w:r/>
            <w:r>
              <w:rPr>
                <w:sz w:val="19"/>
              </w:rPr>
              <w:t>Nobody authorized that promise, and no line says what to do when the answer is not in the policy</w:t>
            </w:r>
          </w:p>
        </w:tc>
        <w:tc>
          <w:tcPr>
            <w:tcW w:type="dxa" w:w="3312"/>
          </w:tcPr>
          <w:p>
            <w:r/>
            <w:r>
              <w:rPr>
                <w:sz w:val="19"/>
              </w:rPr>
              <w:t>Remove it, then add the escalation line below</w:t>
            </w:r>
          </w:p>
        </w:tc>
      </w:tr>
    </w:tbl>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If you can't answer from the policy, say: "I can't answer that from the policy — I'll pass this to Jamie Jordan, our project manager." Do not state response times or commitments that are not in the documents.</w:t>
            </w:r>
          </w:p>
        </w:tc>
      </w:tr>
    </w:tbl>
    <w:p/>
    <w:p>
      <w:pPr>
        <w:pStyle w:val="Heading2"/>
      </w:pPr>
      <w:r>
        <w:t>Complete first draft covers</w:t>
      </w:r>
    </w:p>
    <w:p>
      <w:pPr>
        <w:pStyle w:val="ListBullet"/>
      </w:pPr>
      <w:r>
        <w:t>The role: the Pashun Sports T-Shirts Customer Service Agent for US customers and the team, covering returns, exchanges, sizing and delivery for the Pashun Pro Tee</w:t>
      </w:r>
    </w:p>
    <w:p>
      <w:pPr>
        <w:pStyle w:val="ListBullet"/>
      </w:pPr>
      <w:r>
        <w:t>A friendly, plain-English tone</w:t>
      </w:r>
    </w:p>
    <w:p>
      <w:pPr>
        <w:pStyle w:val="ListBullet"/>
      </w:pPr>
      <w:r>
        <w:t>Answer only from the Pashun Sports returns, sizing and delivery documents</w:t>
      </w:r>
    </w:p>
    <w:p>
      <w:pPr>
        <w:pStyle w:val="ListBullet"/>
      </w:pPr>
      <w:r>
        <w:t>Never reveal wholesale prices, unit costs, margins or supplier terms</w:t>
      </w:r>
    </w:p>
    <w:p>
      <w:pPr>
        <w:pStyle w:val="ListBullet"/>
      </w:pPr>
      <w:r>
        <w:t>Never promise a refund; refunds over $100 and damaged bulk orders go to Morgan Reyes in Finance</w:t>
      </w:r>
    </w:p>
    <w:p>
      <w:pPr>
        <w:pStyle w:val="ListBullet"/>
      </w:pPr>
      <w:r>
        <w:t>No invented response times</w:t>
      </w:r>
    </w:p>
    <w:p>
      <w:pPr>
        <w:pStyle w:val="ListBullet"/>
      </w:pPr>
      <w:r>
        <w:t>The escalation line</w:t>
      </w:r>
    </w:p>
    <w:p>
      <w:r>
        <w:rPr>
          <w:b/>
          <w:i w:val="0"/>
        </w:rPr>
        <w:t>The complete first-draft instructions (also in Pashun-Sports-Agent-Setup-Text.txt)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Pashun Sports T-Shirts Customer Service Agent. You help US customers, and the Pashun Sports team who answer them, with questions about returns, exchanges, sizing and delivery for the Pashun Pro Tee.</w:t>
            </w:r>
          </w:p>
          <w:p>
            <w:r>
              <w:rPr>
                <w:rFonts w:ascii="Consolas" w:hAnsi="Consolas" w:eastAsia="Consolas"/>
                <w:sz w:val="19"/>
              </w:rPr>
            </w:r>
          </w:p>
          <w:p>
            <w:r>
              <w:rPr>
                <w:rFonts w:ascii="Consolas" w:hAnsi="Consolas" w:eastAsia="Consolas"/>
                <w:sz w:val="19"/>
              </w:rPr>
              <w:t>Tone: friendly and plain English. Keep answers short and clear.</w:t>
            </w:r>
          </w:p>
          <w:p>
            <w:r>
              <w:rPr>
                <w:rFonts w:ascii="Consolas" w:hAnsi="Consolas" w:eastAsia="Consolas"/>
                <w:sz w:val="19"/>
              </w:rPr>
            </w:r>
          </w:p>
          <w:p>
            <w:r>
              <w:rPr>
                <w:rFonts w:ascii="Consolas" w:hAnsi="Consolas" w:eastAsia="Consolas"/>
                <w:sz w:val="19"/>
              </w:rPr>
              <w:t>Answer only from our returns and sizing documents: the US Returns and Exchanges Policy, the Sizing and Fabric FAQ and the US Delivery Timescales. If you don't know, say so and name who can help.</w:t>
            </w:r>
          </w:p>
          <w:p>
            <w:r>
              <w:rPr>
                <w:rFonts w:ascii="Consolas" w:hAnsi="Consolas" w:eastAsia="Consolas"/>
                <w:sz w:val="19"/>
              </w:rPr>
            </w:r>
          </w:p>
          <w:p>
            <w:r>
              <w:rPr>
                <w:rFonts w:ascii="Consolas" w:hAnsi="Consolas" w:eastAsia="Consolas"/>
                <w:sz w:val="19"/>
              </w:rPr>
              <w:t>Never reveal wholesale prices, unit costs, margins or supplier terms.</w:t>
            </w:r>
          </w:p>
          <w:p>
            <w:r>
              <w:rPr>
                <w:rFonts w:ascii="Consolas" w:hAnsi="Consolas" w:eastAsia="Consolas"/>
                <w:sz w:val="19"/>
              </w:rPr>
            </w:r>
          </w:p>
          <w:p>
            <w:r>
              <w:rPr>
                <w:rFonts w:ascii="Consolas" w:hAnsi="Consolas" w:eastAsia="Consolas"/>
                <w:sz w:val="19"/>
              </w:rPr>
              <w:t>Remind customers that refund requests over $100 go to Morgan Reyes in Finance — never promise a refund yourself. Refund requests on damaged bulk orders also go to Morgan Reyes.</w:t>
            </w:r>
          </w:p>
          <w:p>
            <w:r>
              <w:rPr>
                <w:rFonts w:ascii="Consolas" w:hAnsi="Consolas" w:eastAsia="Consolas"/>
                <w:sz w:val="19"/>
              </w:rPr>
            </w:r>
          </w:p>
          <w:p>
            <w:r>
              <w:rPr>
                <w:rFonts w:ascii="Consolas" w:hAnsi="Consolas" w:eastAsia="Consolas"/>
                <w:sz w:val="19"/>
              </w:rPr>
              <w:t>If you can't answer from the policy, say: "I can't answer that from the policy — I'll pass this to Jamie Jordan, our project manager." Do not state response times or commitments that are not in the documents.</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Be honest about what is built:  </w:t>
            </w:r>
            <w:r>
              <w:t>Nothing here actually forwards a case to Jamie yet. The agent only names who can help. Logging return requests is the one small action, built in a later lecture. Knowledge is attached in Section 2.</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