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Goals-Rules-Boundaries Instruction Template</w:t>
      </w:r>
    </w:p>
    <w:p>
      <w:r>
        <w:rPr>
          <w:color w:val="595959"/>
          <w:sz w:val="19"/>
        </w:rPr>
        <w:t>Pashun Sports T-Shirts · Microsoft Copilot Studio: The Complete Guide (2026) · Lecture 06</w:t>
      </w:r>
    </w:p>
    <w:p>
      <w:r>
        <w:rPr>
          <w:i/>
        </w:rPr>
        <w:t>Structure every agent instruction block in three parts: what it is for, how it behaves, and what it must never do.</w:t>
      </w:r>
    </w:p>
    <w:p>
      <w:pPr>
        <w:pStyle w:val="Heading1"/>
      </w:pPr>
      <w:r>
        <w:t>1. Where instructions live</w:t>
      </w:r>
    </w:p>
    <w:p>
      <w:r>
        <w:rPr>
          <w:b w:val="0"/>
          <w:i w:val="0"/>
        </w:rPr>
        <w:t>Copilot Studio → your agent → Overview tab → Instructions field (the agent's "system instructions"). These apply to every conversation. Topic-level instructions are different: they only apply inside a single topic.</w:t>
      </w:r>
    </w:p>
    <w:p>
      <w:pPr>
        <w:pStyle w:val="Heading1"/>
      </w:pPr>
      <w:r>
        <w:t>2. The three parts</w:t>
      </w:r>
    </w:p>
    <w:tbl>
      <w:tblPr>
        <w:tblStyle w:val="TableGrid"/>
        <w:tblW w:type="auto" w:w="0"/>
        <w:jc w:val="center"/>
        <w:tblLook w:firstColumn="1" w:firstRow="1" w:lastColumn="0" w:lastRow="0" w:noHBand="0" w:noVBand="1" w:val="04A0"/>
      </w:tblPr>
      <w:tblGrid>
        <w:gridCol w:w="3216"/>
        <w:gridCol w:w="3216"/>
        <w:gridCol w:w="3216"/>
      </w:tblGrid>
      <w:tr>
        <w:tc>
          <w:tcPr>
            <w:tcW w:type="dxa" w:w="1728"/>
            <w:shd w:val="clear" w:color="auto" w:fill="1F3A5F"/>
          </w:tcPr>
          <w:p>
            <w:r/>
            <w:r>
              <w:rPr>
                <w:b/>
                <w:color w:val="FFFFFF"/>
                <w:sz w:val="20"/>
              </w:rPr>
              <w:t>Part</w:t>
            </w:r>
          </w:p>
        </w:tc>
        <w:tc>
          <w:tcPr>
            <w:tcW w:type="dxa" w:w="5184"/>
            <w:shd w:val="clear" w:color="auto" w:fill="1F3A5F"/>
          </w:tcPr>
          <w:p>
            <w:r/>
            <w:r>
              <w:rPr>
                <w:b/>
                <w:color w:val="FFFFFF"/>
                <w:sz w:val="20"/>
              </w:rPr>
              <w:t>Purpose</w:t>
            </w:r>
          </w:p>
        </w:tc>
        <w:tc>
          <w:tcPr>
            <w:tcW w:type="dxa" w:w="2880"/>
            <w:shd w:val="clear" w:color="auto" w:fill="1F3A5F"/>
          </w:tcPr>
          <w:p>
            <w:r/>
            <w:r>
              <w:rPr>
                <w:b/>
                <w:color w:val="FFFFFF"/>
                <w:sz w:val="20"/>
              </w:rPr>
              <w:t>How many lines</w:t>
            </w:r>
          </w:p>
        </w:tc>
      </w:tr>
      <w:tr>
        <w:tc>
          <w:tcPr>
            <w:tcW w:type="dxa" w:w="1728"/>
          </w:tcPr>
          <w:p>
            <w:r/>
            <w:r>
              <w:rPr>
                <w:sz w:val="20"/>
              </w:rPr>
              <w:t>Goals</w:t>
            </w:r>
          </w:p>
        </w:tc>
        <w:tc>
          <w:tcPr>
            <w:tcW w:type="dxa" w:w="5184"/>
          </w:tcPr>
          <w:p>
            <w:r/>
            <w:r>
              <w:rPr>
                <w:sz w:val="20"/>
              </w:rPr>
              <w:t>What the agent is for, in business terms.</w:t>
            </w:r>
          </w:p>
        </w:tc>
        <w:tc>
          <w:tcPr>
            <w:tcW w:type="dxa" w:w="2880"/>
          </w:tcPr>
          <w:p>
            <w:r/>
            <w:r>
              <w:rPr>
                <w:sz w:val="20"/>
              </w:rPr>
              <w:t>One primary goal plus two or three supporting goals at most.</w:t>
            </w:r>
          </w:p>
        </w:tc>
      </w:tr>
      <w:tr>
        <w:tc>
          <w:tcPr>
            <w:tcW w:type="dxa" w:w="1728"/>
          </w:tcPr>
          <w:p>
            <w:r/>
            <w:r>
              <w:rPr>
                <w:sz w:val="20"/>
              </w:rPr>
              <w:t>Rules</w:t>
            </w:r>
          </w:p>
        </w:tc>
        <w:tc>
          <w:tcPr>
            <w:tcW w:type="dxa" w:w="5184"/>
          </w:tcPr>
          <w:p>
            <w:r/>
            <w:r>
              <w:rPr>
                <w:sz w:val="20"/>
              </w:rPr>
              <w:t>How it behaves while pursuing the goal: tone, format, citations, escalation path, what to do when information is missing.</w:t>
            </w:r>
          </w:p>
        </w:tc>
        <w:tc>
          <w:tcPr>
            <w:tcW w:type="dxa" w:w="2880"/>
          </w:tcPr>
          <w:p>
            <w:r/>
            <w:r>
              <w:rPr>
                <w:sz w:val="20"/>
              </w:rPr>
              <w:t>One instruction per line, written in the imperative.</w:t>
            </w:r>
          </w:p>
        </w:tc>
      </w:tr>
      <w:tr>
        <w:tc>
          <w:tcPr>
            <w:tcW w:type="dxa" w:w="1728"/>
          </w:tcPr>
          <w:p>
            <w:r/>
            <w:r>
              <w:rPr>
                <w:sz w:val="20"/>
              </w:rPr>
              <w:t>Boundaries</w:t>
            </w:r>
          </w:p>
        </w:tc>
        <w:tc>
          <w:tcPr>
            <w:tcW w:type="dxa" w:w="5184"/>
          </w:tcPr>
          <w:p>
            <w:r/>
            <w:r>
              <w:rPr>
                <w:sz w:val="20"/>
              </w:rPr>
              <w:t>What it must never do: topics it refuses, data it never invents, actions it never takes without confirmation.</w:t>
            </w:r>
          </w:p>
        </w:tc>
        <w:tc>
          <w:tcPr>
            <w:tcW w:type="dxa" w:w="2880"/>
          </w:tcPr>
          <w:p>
            <w:r/>
            <w:r>
              <w:rPr>
                <w:sz w:val="20"/>
              </w:rPr>
              <w:t>Hard stops only. Each one must be testable.</w:t>
            </w:r>
          </w:p>
        </w:tc>
      </w:tr>
    </w:tbl>
    <w:p/>
    <w:p>
      <w:pPr>
        <w:pStyle w:val="Heading1"/>
      </w:pPr>
      <w:r>
        <w:t>3. Weak versus strong instructions</w:t>
      </w:r>
    </w:p>
    <w:tbl>
      <w:tblPr>
        <w:tblStyle w:val="TableGrid"/>
        <w:tblW w:type="auto" w:w="0"/>
        <w:jc w:val="center"/>
        <w:tblLook w:firstColumn="1" w:firstRow="1" w:lastColumn="0" w:lastRow="0" w:noHBand="0" w:noVBand="1" w:val="04A0"/>
      </w:tblPr>
      <w:tblGrid>
        <w:gridCol w:w="3216"/>
        <w:gridCol w:w="3216"/>
        <w:gridCol w:w="3216"/>
      </w:tblGrid>
      <w:tr>
        <w:tc>
          <w:tcPr>
            <w:tcW w:type="dxa" w:w="2448"/>
            <w:shd w:val="clear" w:color="auto" w:fill="1F3A5F"/>
          </w:tcPr>
          <w:p>
            <w:r/>
            <w:r>
              <w:rPr>
                <w:b/>
                <w:color w:val="FFFFFF"/>
                <w:sz w:val="20"/>
              </w:rPr>
              <w:t>Weak instruction</w:t>
            </w:r>
          </w:p>
        </w:tc>
        <w:tc>
          <w:tcPr>
            <w:tcW w:type="dxa" w:w="3168"/>
            <w:shd w:val="clear" w:color="auto" w:fill="1F3A5F"/>
          </w:tcPr>
          <w:p>
            <w:r/>
            <w:r>
              <w:rPr>
                <w:b/>
                <w:color w:val="FFFFFF"/>
                <w:sz w:val="20"/>
              </w:rPr>
              <w:t>Why it fails</w:t>
            </w:r>
          </w:p>
        </w:tc>
        <w:tc>
          <w:tcPr>
            <w:tcW w:type="dxa" w:w="4320"/>
            <w:shd w:val="clear" w:color="auto" w:fill="1F3A5F"/>
          </w:tcPr>
          <w:p>
            <w:r/>
            <w:r>
              <w:rPr>
                <w:b/>
                <w:color w:val="FFFFFF"/>
                <w:sz w:val="20"/>
              </w:rPr>
              <w:t>Stronger version</w:t>
            </w:r>
          </w:p>
        </w:tc>
      </w:tr>
      <w:tr>
        <w:tc>
          <w:tcPr>
            <w:tcW w:type="dxa" w:w="2448"/>
          </w:tcPr>
          <w:p>
            <w:r/>
            <w:r>
              <w:rPr>
                <w:sz w:val="20"/>
              </w:rPr>
              <w:t>"Be helpful and friendly."</w:t>
            </w:r>
          </w:p>
        </w:tc>
        <w:tc>
          <w:tcPr>
            <w:tcW w:type="dxa" w:w="3168"/>
          </w:tcPr>
          <w:p>
            <w:r/>
            <w:r>
              <w:rPr>
                <w:sz w:val="20"/>
              </w:rPr>
              <w:t>No measurable behavior; the model was already doing this.</w:t>
            </w:r>
          </w:p>
        </w:tc>
        <w:tc>
          <w:tcPr>
            <w:tcW w:type="dxa" w:w="4320"/>
          </w:tcPr>
          <w:p>
            <w:r/>
            <w:r>
              <w:rPr>
                <w:sz w:val="20"/>
              </w:rPr>
              <w:t>"Use plain US English, second person, and keep answers under 100 words unless the user asks for detail."</w:t>
            </w:r>
          </w:p>
        </w:tc>
      </w:tr>
      <w:tr>
        <w:tc>
          <w:tcPr>
            <w:tcW w:type="dxa" w:w="2448"/>
          </w:tcPr>
          <w:p>
            <w:r/>
            <w:r>
              <w:rPr>
                <w:sz w:val="20"/>
              </w:rPr>
              <w:t>"Answer customer questions."</w:t>
            </w:r>
          </w:p>
        </w:tc>
        <w:tc>
          <w:tcPr>
            <w:tcW w:type="dxa" w:w="3168"/>
          </w:tcPr>
          <w:p>
            <w:r/>
            <w:r>
              <w:rPr>
                <w:sz w:val="20"/>
              </w:rPr>
              <w:t>No scope limit, so it answers pricing and supplier questions too.</w:t>
            </w:r>
          </w:p>
        </w:tc>
        <w:tc>
          <w:tcPr>
            <w:tcW w:type="dxa" w:w="4320"/>
          </w:tcPr>
          <w:p>
            <w:r/>
            <w:r>
              <w:rPr>
                <w:sz w:val="20"/>
              </w:rPr>
              <w:t>"Answer only questions about returns, exchanges, sizing and delivery for the Pro Tee. For wholesale pricing or supplier questions, refer the user to Morgan Reyes, Head of Finance."</w:t>
            </w:r>
          </w:p>
        </w:tc>
      </w:tr>
      <w:tr>
        <w:tc>
          <w:tcPr>
            <w:tcW w:type="dxa" w:w="2448"/>
          </w:tcPr>
          <w:p>
            <w:r/>
            <w:r>
              <w:rPr>
                <w:sz w:val="20"/>
              </w:rPr>
              <w:t>"Use the documents."</w:t>
            </w:r>
          </w:p>
        </w:tc>
        <w:tc>
          <w:tcPr>
            <w:tcW w:type="dxa" w:w="3168"/>
          </w:tcPr>
          <w:p>
            <w:r/>
            <w:r>
              <w:rPr>
                <w:sz w:val="20"/>
              </w:rPr>
              <w:t>Does not force grounding; the model still improvises.</w:t>
            </w:r>
          </w:p>
        </w:tc>
        <w:tc>
          <w:tcPr>
            <w:tcW w:type="dxa" w:w="4320"/>
          </w:tcPr>
          <w:p>
            <w:r/>
            <w:r>
              <w:rPr>
                <w:sz w:val="20"/>
              </w:rPr>
              <w:t>"Answer only from the Pashun Sports US Returns and Exchanges Policy. If the policy does not cover the question, say: 'That isn't covered in our policy — I'll pass this to Jamie Jordan.' Never infer policy."</w:t>
            </w:r>
          </w:p>
        </w:tc>
      </w:tr>
      <w:tr>
        <w:tc>
          <w:tcPr>
            <w:tcW w:type="dxa" w:w="2448"/>
          </w:tcPr>
          <w:p>
            <w:r/>
            <w:r>
              <w:rPr>
                <w:sz w:val="20"/>
              </w:rPr>
              <w:t>"Don't say anything bad."</w:t>
            </w:r>
          </w:p>
        </w:tc>
        <w:tc>
          <w:tcPr>
            <w:tcW w:type="dxa" w:w="3168"/>
          </w:tcPr>
          <w:p>
            <w:r/>
            <w:r>
              <w:rPr>
                <w:sz w:val="20"/>
              </w:rPr>
              <w:t>Unenforceable and untestable.</w:t>
            </w:r>
          </w:p>
        </w:tc>
        <w:tc>
          <w:tcPr>
            <w:tcW w:type="dxa" w:w="4320"/>
          </w:tcPr>
          <w:p>
            <w:r/>
            <w:r>
              <w:rPr>
                <w:sz w:val="20"/>
              </w:rPr>
              <w:t>"Never state a specific monetary amount, date or entitlement that does not appear verbatim in the source document."</w:t>
            </w:r>
          </w:p>
        </w:tc>
      </w:tr>
    </w:tbl>
    <w:p/>
    <w:p>
      <w:pPr>
        <w:pStyle w:val="Heading1"/>
      </w:pPr>
      <w:r>
        <w:t>4. Practical writing rules</w:t>
      </w:r>
    </w:p>
    <w:p>
      <w:pPr>
        <w:pStyle w:val="ListBullet"/>
      </w:pPr>
      <w:r>
        <w:t>Write in the imperative: "Ask for the order number before answering" beats "You might want to ask…".</w:t>
      </w:r>
    </w:p>
    <w:p>
      <w:pPr>
        <w:pStyle w:val="ListBullet"/>
      </w:pPr>
      <w:r>
        <w:t>One instruction per line, as a bulleted or numbered list. Walls of prose get partially ignored.</w:t>
      </w:r>
    </w:p>
    <w:p>
      <w:pPr>
        <w:pStyle w:val="ListBullet"/>
      </w:pPr>
      <w:r>
        <w:t>Specify the failure behavior: the exact sentence to say when the agent does not know.</w:t>
      </w:r>
    </w:p>
    <w:p>
      <w:pPr>
        <w:pStyle w:val="ListBullet"/>
      </w:pPr>
      <w:r>
        <w:t>Prefer positive framing: "Respond only about US policy" is followed more reliably than "Don't discuss non-US policy."</w:t>
      </w:r>
    </w:p>
    <w:p>
      <w:pPr>
        <w:pStyle w:val="ListBullet"/>
      </w:pPr>
      <w:r>
        <w:t>Name your sources and tools explicitly, for example "the US Returns and Exchanges Policy".</w:t>
      </w:r>
    </w:p>
    <w:p>
      <w:pPr>
        <w:pStyle w:val="ListBullet"/>
      </w:pPr>
      <w:r>
        <w:t>Give one worked example (a sample question and ideal answer) when behavior is still drifting.</w:t>
      </w:r>
    </w:p>
    <w:p>
      <w:pPr>
        <w:pStyle w:val="Heading1"/>
      </w:pPr>
      <w:r>
        <w:t>5. The Pashun worked version (what Paul types live)</w:t>
      </w:r>
    </w:p>
    <w:p>
      <w:r>
        <w:rPr>
          <w:b w:val="0"/>
          <w:i w:val="0"/>
        </w:rPr>
        <w:t>Paul clears the weak first draft and rebuilds the field with the three headings. Copy it from the matching .txt file (Customer-Service-Agent-Instructions-Final.txt) or from the block below.</w:t>
      </w:r>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Goals</w:t>
            </w:r>
          </w:p>
          <w:p>
            <w:r>
              <w:rPr>
                <w:rFonts w:ascii="Consolas" w:hAnsi="Consolas" w:eastAsia="Consolas"/>
                <w:sz w:val="19"/>
              </w:rPr>
              <w:t>Help customers and colleagues get accurate answers about returns, exchanges, sizing and delivery for the Pashun Pro Tee.</w:t>
            </w:r>
          </w:p>
          <w:p>
            <w:r>
              <w:rPr>
                <w:rFonts w:ascii="Consolas" w:hAnsi="Consolas" w:eastAsia="Consolas"/>
                <w:sz w:val="19"/>
              </w:rPr>
              <w:t>Reduce the number of routine questions reaching Jamie's inbox.</w:t>
            </w:r>
          </w:p>
          <w:p>
            <w:r>
              <w:rPr>
                <w:rFonts w:ascii="Consolas" w:hAnsi="Consolas" w:eastAsia="Consolas"/>
                <w:sz w:val="19"/>
              </w:rPr>
            </w:r>
          </w:p>
          <w:p>
            <w:r>
              <w:rPr>
                <w:rFonts w:ascii="Consolas" w:hAnsi="Consolas" w:eastAsia="Consolas"/>
                <w:sz w:val="19"/>
              </w:rPr>
              <w:t>Rules</w:t>
            </w:r>
          </w:p>
          <w:p>
            <w:r>
              <w:rPr>
                <w:rFonts w:ascii="Consolas" w:hAnsi="Consolas" w:eastAsia="Consolas"/>
                <w:sz w:val="19"/>
              </w:rPr>
              <w:t>Answer only using the Pashun Sports US Returns and Exchanges Policy and the Pro Tee Sizing and Fabric FAQ.</w:t>
            </w:r>
          </w:p>
          <w:p>
            <w:r>
              <w:rPr>
                <w:rFonts w:ascii="Consolas" w:hAnsi="Consolas" w:eastAsia="Consolas"/>
                <w:sz w:val="19"/>
              </w:rPr>
              <w:t>Use plain US English, second person. Keep answers under 100 words unless the user asks for more detail.</w:t>
            </w:r>
          </w:p>
          <w:p>
            <w:r>
              <w:rPr>
                <w:rFonts w:ascii="Consolas" w:hAnsi="Consolas" w:eastAsia="Consolas"/>
                <w:sz w:val="19"/>
              </w:rPr>
              <w:t>Always name the document you used, e.g. "(Returns Policy, Section 3 — Exchanges)".</w:t>
            </w:r>
          </w:p>
          <w:p>
            <w:r>
              <w:rPr>
                <w:rFonts w:ascii="Consolas" w:hAnsi="Consolas" w:eastAsia="Consolas"/>
                <w:sz w:val="19"/>
              </w:rPr>
              <w:t>If the answer depends on the type of order (for example a bulk order or a washed item), ask for the order type before answering.</w:t>
            </w:r>
          </w:p>
          <w:p>
            <w:r>
              <w:rPr>
                <w:rFonts w:ascii="Consolas" w:hAnsi="Consolas" w:eastAsia="Consolas"/>
                <w:sz w:val="19"/>
              </w:rPr>
              <w:t>If the policy does not cover the question, reply: "That isn't covered in our policy — I'll pass this to Jamie Jordan, our project manager."</w:t>
            </w:r>
          </w:p>
          <w:p>
            <w:r>
              <w:rPr>
                <w:rFonts w:ascii="Consolas" w:hAnsi="Consolas" w:eastAsia="Consolas"/>
                <w:sz w:val="19"/>
              </w:rPr>
            </w:r>
          </w:p>
          <w:p>
            <w:r>
              <w:rPr>
                <w:rFonts w:ascii="Consolas" w:hAnsi="Consolas" w:eastAsia="Consolas"/>
                <w:sz w:val="19"/>
              </w:rPr>
              <w:t>Boundaries</w:t>
            </w:r>
          </w:p>
          <w:p>
            <w:r>
              <w:rPr>
                <w:rFonts w:ascii="Consolas" w:hAnsi="Consolas" w:eastAsia="Consolas"/>
                <w:sz w:val="19"/>
              </w:rPr>
              <w:t>Never state a refund amount, date, figure or deadline that does not appear in the policy.</w:t>
            </w:r>
          </w:p>
          <w:p>
            <w:r>
              <w:rPr>
                <w:rFonts w:ascii="Consolas" w:hAnsi="Consolas" w:eastAsia="Consolas"/>
                <w:sz w:val="19"/>
              </w:rPr>
              <w:t>Never reveal wholesale prices, unit costs, margins or supplier terms; refer those to Morgan Reyes, Head of Finance.</w:t>
            </w:r>
          </w:p>
          <w:p>
            <w:r>
              <w:rPr>
                <w:rFonts w:ascii="Consolas" w:hAnsi="Consolas" w:eastAsia="Consolas"/>
                <w:sz w:val="19"/>
              </w:rPr>
              <w:t>Never promise a refund or exchange yourself; refunds over $100, or on damaged bulk orders, go to Morgan Reyes.</w:t>
            </w:r>
          </w:p>
          <w:p>
            <w:r>
              <w:rPr>
                <w:rFonts w:ascii="Consolas" w:hAnsi="Consolas" w:eastAsia="Consolas"/>
                <w:sz w:val="19"/>
              </w:rPr>
              <w:t>Never ask for or repeat card numbers, bank details or home addresses.</w:t>
            </w:r>
          </w:p>
        </w:tc>
      </w:tr>
    </w:tbl>
    <w:p/>
    <w:p>
      <w:pPr>
        <w:pStyle w:val="Heading2"/>
      </w:pPr>
      <w:r>
        <w:t>Two additions Paul makes in Part 2 (one at a time)</w:t>
      </w:r>
    </w:p>
    <w:tbl>
      <w:tblPr>
        <w:tblStyle w:val="TableGrid"/>
        <w:tblW w:type="auto" w:w="0"/>
        <w:jc w:val="center"/>
        <w:tblLook w:firstColumn="1" w:firstRow="1" w:lastColumn="0" w:lastRow="0" w:noHBand="0" w:noVBand="1" w:val="04A0"/>
      </w:tblPr>
      <w:tblGrid>
        <w:gridCol w:w="3216"/>
        <w:gridCol w:w="3216"/>
        <w:gridCol w:w="3216"/>
      </w:tblGrid>
      <w:tr>
        <w:tc>
          <w:tcPr>
            <w:tcW w:type="dxa" w:w="1440"/>
            <w:shd w:val="clear" w:color="auto" w:fill="1F3A5F"/>
          </w:tcPr>
          <w:p>
            <w:r/>
            <w:r>
              <w:rPr>
                <w:b/>
                <w:color w:val="FFFFFF"/>
                <w:sz w:val="20"/>
              </w:rPr>
              <w:t>Add under</w:t>
            </w:r>
          </w:p>
        </w:tc>
        <w:tc>
          <w:tcPr>
            <w:tcW w:type="dxa" w:w="5616"/>
            <w:shd w:val="clear" w:color="auto" w:fill="1F3A5F"/>
          </w:tcPr>
          <w:p>
            <w:r/>
            <w:r>
              <w:rPr>
                <w:b/>
                <w:color w:val="FFFFFF"/>
                <w:sz w:val="20"/>
              </w:rPr>
              <w:t>Line</w:t>
            </w:r>
          </w:p>
        </w:tc>
        <w:tc>
          <w:tcPr>
            <w:tcW w:type="dxa" w:w="2880"/>
            <w:shd w:val="clear" w:color="auto" w:fill="1F3A5F"/>
          </w:tcPr>
          <w:p>
            <w:r/>
            <w:r>
              <w:rPr>
                <w:b/>
                <w:color w:val="FFFFFF"/>
                <w:sz w:val="20"/>
              </w:rPr>
              <w:t>Fixes</w:t>
            </w:r>
          </w:p>
        </w:tc>
      </w:tr>
      <w:tr>
        <w:tc>
          <w:tcPr>
            <w:tcW w:type="dxa" w:w="1440"/>
          </w:tcPr>
          <w:p>
            <w:r/>
            <w:r>
              <w:rPr>
                <w:sz w:val="20"/>
              </w:rPr>
              <w:t>Rules</w:t>
            </w:r>
          </w:p>
        </w:tc>
        <w:tc>
          <w:tcPr>
            <w:tcW w:type="dxa" w:w="5616"/>
          </w:tcPr>
          <w:p>
            <w:r/>
            <w:r>
              <w:rPr>
                <w:sz w:val="20"/>
              </w:rPr>
              <w:t>When a question could relate to more than one request type (return, exchange or refund), ask a clarifying question before answering.</w:t>
            </w:r>
          </w:p>
        </w:tc>
        <w:tc>
          <w:tcPr>
            <w:tcW w:type="dxa" w:w="2880"/>
          </w:tcPr>
          <w:p>
            <w:r/>
            <w:r>
              <w:rPr>
                <w:sz w:val="20"/>
              </w:rPr>
              <w:t>Behavior failure: "Can I send it back?" returned an unstructured blend of returns, exchanges and refunds.</w:t>
            </w:r>
          </w:p>
        </w:tc>
      </w:tr>
      <w:tr>
        <w:tc>
          <w:tcPr>
            <w:tcW w:type="dxa" w:w="1440"/>
          </w:tcPr>
          <w:p>
            <w:r/>
            <w:r>
              <w:rPr>
                <w:sz w:val="20"/>
              </w:rPr>
              <w:t>Boundaries</w:t>
            </w:r>
          </w:p>
        </w:tc>
        <w:tc>
          <w:tcPr>
            <w:tcW w:type="dxa" w:w="5616"/>
          </w:tcPr>
          <w:p>
            <w:r/>
            <w:r>
              <w:rPr>
                <w:sz w:val="20"/>
              </w:rPr>
              <w:t>If the answer is not in the Pashun Sports policy documents, say so and direct the customer to Jamie Jordan.</w:t>
            </w:r>
          </w:p>
        </w:tc>
        <w:tc>
          <w:tcPr>
            <w:tcW w:type="dxa" w:w="2880"/>
          </w:tcPr>
          <w:p>
            <w:r/>
            <w:r>
              <w:rPr>
                <w:sz w:val="20"/>
              </w:rPr>
              <w:t>Grounding failure: the agent invented a wholesale price.</w:t>
            </w:r>
          </w:p>
        </w:tc>
      </w:tr>
    </w:tbl>
    <w:p/>
    <w:p>
      <w:pPr>
        <w:pStyle w:val="Heading1"/>
      </w:pPr>
      <w:r>
        <w:t>6. Blank template</w:t>
      </w:r>
    </w:p>
    <w:p>
      <w:r>
        <w:rPr>
          <w:b w:val="0"/>
          <w:i/>
        </w:rPr>
        <w:t>Fill in your own agent. One instruction per line. Include at least one explicit "if you don't know" sentence and at least one hard boundary about never inventing figures or dates.</w:t>
      </w:r>
    </w:p>
    <w:p>
      <w:pPr>
        <w:pStyle w:val="Heading3"/>
      </w:pPr>
      <w:r>
        <w:t>Goals</w:t>
      </w:r>
    </w:p>
    <w:p>
      <w:r>
        <w:rPr>
          <w:b w:val="0"/>
          <w:i/>
          <w:sz w:val="19"/>
        </w:rPr>
        <w:t>Primary goal (one sentence, business terms). Then up to two supporting goals.</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pPr>
        <w:pStyle w:val="Heading3"/>
      </w:pPr>
      <w:r>
        <w:t>Rules</w:t>
      </w:r>
    </w:p>
    <w:p>
      <w:r>
        <w:rPr>
          <w:b w:val="0"/>
          <w:i/>
          <w:sz w:val="19"/>
        </w:rPr>
        <w:t>Tone and format. Which documents to use, by name. How to cite. When to ask a clarifying question. The exact "I don't know" sentence and who to pass it to.</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pPr>
        <w:pStyle w:val="Heading3"/>
      </w:pPr>
      <w:r>
        <w:t>Boundaries</w:t>
      </w:r>
    </w:p>
    <w:p>
      <w:r>
        <w:rPr>
          <w:b w:val="0"/>
          <w:i/>
          <w:sz w:val="19"/>
        </w:rPr>
        <w:t>What you never reveal. What you never promise. What you never ask for. Figures, dates and deadlines you never state unless they appear in the source.</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r>
        <w:t>______________________________________________________________________________</w:t>
      </w:r>
    </w:p>
    <w:p>
      <w:pPr>
        <w:pStyle w:val="Heading1"/>
      </w:pPr>
      <w:r>
        <w:t>7. Your Turn checklist</w:t>
      </w:r>
    </w:p>
    <w:p>
      <w:r>
        <w:t>☐  Copy your first-draft Instructions into a scratch document so you can compare later.</w:t>
      </w:r>
    </w:p>
    <w:p>
      <w:r>
        <w:t>☐  Write three test prompts BEFORE changing anything: one in scope, one edge case, one clearly out of scope. Run them and note the answers.</w:t>
      </w:r>
    </w:p>
    <w:p>
      <w:r>
        <w:t>☐  Rewrite the field using Goals, Rules, Boundaries with one instruction per bulleted line.</w:t>
      </w:r>
    </w:p>
    <w:p>
      <w:r>
        <w:t>☐  Include an explicit "if you don't know" sentence and a boundary against inventing figures or dates.</w:t>
      </w:r>
    </w:p>
    <w:p>
      <w:r>
        <w:t>☐  Save, then re-run the same three prompts and record what changed.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