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Work Context Routing Instruction Template</w:t>
      </w:r>
    </w:p>
    <w:p>
      <w:r>
        <w:rPr>
          <w:color w:val="595959"/>
          <w:sz w:val="19"/>
        </w:rPr>
        <w:t>Pashun Sports T-Shirts · Microsoft Copilot Studio: The Complete Guide (2026) · Lecture 08</w:t>
      </w:r>
    </w:p>
    <w:p>
      <w:r>
        <w:rPr>
          <w:i/>
        </w:rPr>
        <w:t>Four lines that tell the agent when to reach for Microsoft 365 work context and when to use documents.</w:t>
      </w:r>
    </w:p>
    <w:p>
      <w:pPr>
        <w:pStyle w:val="Heading1"/>
      </w:pPr>
      <w:r>
        <w:t>What this does</w:t>
      </w:r>
    </w:p>
    <w:p>
      <w:r>
        <w:rPr>
          <w:b w:val="0"/>
          <w:i w:val="0"/>
        </w:rPr>
        <w:t>Work IQ (or the equivalent Microsoft 365 Copilot connections or Graph option in your account) gives the agent live, permission-trimmed email and calendar context. Without routing instructions the agent can pick the wrong source. These four lines fix that. Add them to the agent Instructions (Overview → Instructions).</w:t>
      </w:r>
    </w:p>
    <w:p>
      <w:pPr>
        <w:pStyle w:val="Heading1"/>
      </w:pPr>
      <w:r>
        <w:t>Pashun worked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When the user asks about a decision, commitment, deadline or meeting, use their Microsoft 365 email and calendar context.</w:t>
            </w:r>
          </w:p>
          <w:p>
            <w:r>
              <w:rPr>
                <w:rFonts w:ascii="Consolas" w:hAnsi="Consolas" w:eastAsia="Consolas"/>
                <w:sz w:val="19"/>
              </w:rPr>
              <w:t>When the user asks about policy, process or entitlements, use the returns policy and the Pashun Sports team site.</w:t>
            </w:r>
          </w:p>
          <w:p>
            <w:r>
              <w:rPr>
                <w:rFonts w:ascii="Consolas" w:hAnsi="Consolas" w:eastAsia="Consolas"/>
                <w:sz w:val="19"/>
              </w:rPr>
              <w:t>Always state the source — name the sender and date for email, or the meeting title and date for calendar items.</w:t>
            </w:r>
          </w:p>
          <w:p>
            <w:r>
              <w:rPr>
                <w:rFonts w:ascii="Consolas" w:hAnsi="Consolas" w:eastAsia="Consolas"/>
                <w:sz w:val="19"/>
              </w:rPr>
              <w:t>If you cannot find relevant work context, say so plainly. Never infer a decision that was not written down.</w:t>
            </w:r>
          </w:p>
        </w:tc>
      </w:tr>
    </w:tbl>
    <w:p/>
    <w:p>
      <w:pPr>
        <w:pStyle w:val="Heading1"/>
      </w:pPr>
      <w:r>
        <w:t>Blank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90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wording (replace the bracketed parts with your own sources)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9072"/>
          </w:tcPr>
          <w:p>
            <w:r/>
            <w:r>
              <w:rPr>
                <w:sz w:val="20"/>
              </w:rPr>
              <w:t>When the user asks about [a decision, commitment, deadline or meeting], use their Microsoft 365 [email and calendar] context.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9072"/>
          </w:tcPr>
          <w:p>
            <w:r/>
            <w:r>
              <w:rPr>
                <w:sz w:val="20"/>
              </w:rPr>
              <w:t>When the user asks about [policy, process or entitlements], use [your document source names].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9072"/>
          </w:tcPr>
          <w:p>
            <w:r/>
            <w:r>
              <w:rPr>
                <w:sz w:val="20"/>
              </w:rPr>
              <w:t>Always state the source — name the sender and date for email, or the meeting title and date for calendar items.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9072"/>
          </w:tcPr>
          <w:p>
            <w:r/>
            <w:r>
              <w:rPr>
                <w:sz w:val="20"/>
              </w:rPr>
              <w:t>If you cannot find relevant work context, say so plainly. Never infer a decision that was not written down.</w:t>
            </w:r>
          </w:p>
        </w:tc>
      </w:tr>
    </w:tbl>
    <w:p/>
    <w:p>
      <w:pPr>
        <w:pStyle w:val="Heading1"/>
      </w:pPr>
      <w:r>
        <w:t>Source choice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Knowledge source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Permission model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Uploaded files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Fixed policies and FAQs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Agent-level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SharePoint / OneDrive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Living document libraries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Trimmed to user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Public URLs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Published product and help pages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Work IQ — email and chat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Decisions, commitments, threads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Trimmed to user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Work IQ — calendar and meetings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Schedules, attendees, recaps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Trimmed to user</w:t>
            </w:r>
          </w:p>
        </w:tc>
      </w:tr>
    </w:tbl>
    <w:p/>
    <w:p>
      <w:pPr>
        <w:pStyle w:val="Heading1"/>
      </w:pPr>
      <w:r>
        <w:t>Setup checklist</w:t>
      </w:r>
    </w:p>
    <w:p>
      <w:r>
        <w:t>☐  Settings → Security → Authentication = Authenticate with Microsoft (no sign-in means no personal work context).</w:t>
      </w:r>
    </w:p>
    <w:p>
      <w:r>
        <w:t>☐  Add the Microsoft 365 work context source; enable email and calendar only; leave chat off for the first pass.</w:t>
      </w:r>
    </w:p>
    <w:p>
      <w:r>
        <w:t>☐  Paste the four routing lines into the Instructions.</w:t>
      </w:r>
    </w:p>
    <w:p>
      <w:r>
        <w:t>☐  Write three test questions from your real week: one email, one calendar, one document.</w:t>
      </w:r>
    </w:p>
    <w:p>
      <w:r>
        <w:t>☐  Run them and record which source the agent actually used. If it picked the wrong source, tighten the instruction wording first; do not change the knowledge sources yet.</w:t>
      </w:r>
    </w:p>
    <w:p>
      <w:pPr>
        <w:pStyle w:val="Heading1"/>
      </w:pPr>
      <w:r>
        <w:t>Availability caveat</w:t>
      </w:r>
    </w:p>
    <w:p>
      <w:r>
        <w:rPr>
          <w:b w:val="0"/>
          <w:i/>
        </w:rPr>
        <w:t>Work IQ is a newer capability and its name, features and licensing in Copilot Studio vary between organizations. If you do not see it, use the Microsoft 365 Copilot connections or a Graph connector.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