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Work IQ Instruction Block and Test Prompts</w:t>
      </w:r>
    </w:p>
    <w:p>
      <w:r>
        <w:rPr>
          <w:color w:val="595959"/>
          <w:sz w:val="19"/>
        </w:rPr>
        <w:t>Pashun Sports T-Shirts · Microsoft Copilot Studio: The Complete Guide (2026) · Lecture 08</w:t>
      </w:r>
    </w:p>
    <w:p>
      <w:r>
        <w:rPr>
          <w:i/>
        </w:rPr>
        <w:t>Routing instructions and the demo probes for connecting email, calendar and Microsoft 365 context to the Pashun Sports Customer Service Agent.</w:t>
      </w:r>
    </w:p>
    <w:p>
      <w:pPr>
        <w:pStyle w:val="Heading1"/>
      </w:pPr>
      <w:r>
        <w:t>1. Scenario</w:t>
      </w:r>
    </w:p>
    <w:p>
      <w:r>
        <w:rPr>
          <w:b w:val="0"/>
          <w:i w:val="0"/>
        </w:rPr>
        <w:t>Jamie Jordan, Project Manager, is drowning in supplier threads and back-to-back meetings. The agent must answer questions about decisions and meetings from Jamie's own Microsoft 365 email and calendar, and answer policy questions from the returns policy and the team site. Supplier: Ridgeline Apparel Supply (account manager Casey Brooks). Morgan Reyes (Head of Finance) is on the Finance side of any refund approvals.</w:t>
      </w:r>
    </w:p>
    <w:p>
      <w:pPr>
        <w:pStyle w:val="Heading1"/>
      </w:pPr>
      <w:r>
        <w:t>2. Settings to change</w:t>
      </w:r>
    </w:p>
    <w:p>
      <w:r>
        <w:t>☐  Settings → Security → Authentication → Authenticate with Microsoft.</w:t>
      </w:r>
    </w:p>
    <w:p>
      <w:r>
        <w:t>☐  Knowledge tab: existing sources stay (returns policy, sizing FAQ, the Pashun Sports T-Shirts team site in SharePoint, the public returns page).</w:t>
      </w:r>
    </w:p>
    <w:p>
      <w:r>
        <w:t>☐  Add the Microsoft 365 work context source (Work IQ where available, otherwise Microsoft 365 Copilot connections or Graph). Select email and calendar signals. Leave chat signals off for now to keep exposure small.</w:t>
      </w:r>
    </w:p>
    <w:p>
      <w:pPr>
        <w:pStyle w:val="Heading1"/>
      </w:pPr>
      <w:r>
        <w:t>3. Routing instruction block (paste into Instructions)</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When the user asks about a decision, commitment, deadline or meeting, use their Microsoft 365 email and calendar context.</w:t>
            </w:r>
          </w:p>
          <w:p>
            <w:r>
              <w:rPr>
                <w:rFonts w:ascii="Consolas" w:hAnsi="Consolas" w:eastAsia="Consolas"/>
                <w:sz w:val="19"/>
              </w:rPr>
              <w:t>When the user asks about policy, process or entitlements, use the returns policy and the Pashun Sports team site.</w:t>
            </w:r>
          </w:p>
          <w:p>
            <w:r>
              <w:rPr>
                <w:rFonts w:ascii="Consolas" w:hAnsi="Consolas" w:eastAsia="Consolas"/>
                <w:sz w:val="19"/>
              </w:rPr>
              <w:t>Always state the source — name the sender and date for email, or the meeting title and date for calendar items.</w:t>
            </w:r>
          </w:p>
          <w:p>
            <w:r>
              <w:rPr>
                <w:rFonts w:ascii="Consolas" w:hAnsi="Consolas" w:eastAsia="Consolas"/>
                <w:sz w:val="19"/>
              </w:rPr>
              <w:t>If you cannot find relevant work context, say so plainly. Never infer a decision that was not written down.</w:t>
            </w:r>
          </w:p>
        </w:tc>
      </w:tr>
    </w:tbl>
    <w:p/>
    <w:p>
      <w:pPr>
        <w:pStyle w:val="Heading1"/>
      </w:pPr>
      <w:r>
        <w:t>4. Test prompts (run signed in as Jamie Jordan)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1F3A5F"/>
          </w:tcPr>
          <w:p>
            <w:r/>
            <w:r>
              <w:rPr>
                <w:b/>
                <w:color w:val="FFFFFF"/>
                <w:sz w:val="18"/>
              </w:rPr>
              <w:t>No.</w:t>
            </w:r>
          </w:p>
        </w:tc>
        <w:tc>
          <w:tcPr>
            <w:tcW w:type="dxa" w:w="3600"/>
            <w:shd w:val="clear" w:color="auto" w:fill="1F3A5F"/>
          </w:tcPr>
          <w:p>
            <w:r/>
            <w:r>
              <w:rPr>
                <w:b/>
                <w:color w:val="FFFFFF"/>
                <w:sz w:val="18"/>
              </w:rPr>
              <w:t>Prompt (type exactly)</w:t>
            </w:r>
          </w:p>
        </w:tc>
        <w:tc>
          <w:tcPr>
            <w:tcW w:type="dxa" w:w="1728"/>
            <w:shd w:val="clear" w:color="auto" w:fill="1F3A5F"/>
          </w:tcPr>
          <w:p>
            <w:r/>
            <w:r>
              <w:rPr>
                <w:b/>
                <w:color w:val="FFFFFF"/>
                <w:sz w:val="18"/>
              </w:rPr>
              <w:t>Should use</w:t>
            </w:r>
          </w:p>
        </w:tc>
        <w:tc>
          <w:tcPr>
            <w:tcW w:type="dxa" w:w="4032"/>
            <w:shd w:val="clear" w:color="auto" w:fill="1F3A5F"/>
          </w:tcPr>
          <w:p>
            <w:r/>
            <w:r>
              <w:rPr>
                <w:b/>
                <w:color w:val="FFFFFF"/>
                <w:sz w:val="18"/>
              </w:rPr>
              <w:t>Expected result</w:t>
            </w:r>
          </w:p>
        </w:tc>
      </w:tr>
      <w:tr>
        <w:tc>
          <w:tcPr>
            <w:tcW w:type="dxa" w:w="576"/>
          </w:tcPr>
          <w:p>
            <w:r/>
            <w:r>
              <w:rPr>
                <w:sz w:val="18"/>
              </w:rPr>
              <w:t>1</w:t>
            </w:r>
          </w:p>
        </w:tc>
        <w:tc>
          <w:tcPr>
            <w:tcW w:type="dxa" w:w="3600"/>
          </w:tcPr>
          <w:p>
            <w:r/>
            <w:r>
              <w:rPr>
                <w:sz w:val="18"/>
              </w:rPr>
              <w:t>What did I agree with our fulfillment supplier about the October delivery window?</w:t>
            </w:r>
          </w:p>
        </w:tc>
        <w:tc>
          <w:tcPr>
            <w:tcW w:type="dxa" w:w="1728"/>
          </w:tcPr>
          <w:p>
            <w:r/>
            <w:r>
              <w:rPr>
                <w:sz w:val="18"/>
              </w:rPr>
              <w:t>Email (work context)</w:t>
            </w:r>
          </w:p>
        </w:tc>
        <w:tc>
          <w:tcPr>
            <w:tcW w:type="dxa" w:w="4032"/>
          </w:tcPr>
          <w:p>
            <w:r/>
            <w:r>
              <w:rPr>
                <w:sz w:val="18"/>
              </w:rPr>
              <w:t>Cites a specific email thread and date, naming the sender (for example Casey Brooks at Ridgeline Apparel Supply). Adapt the question to the thread in your own sample mailbox (see the Ridgeline sample emails in the Resources folder).</w:t>
            </w:r>
          </w:p>
        </w:tc>
      </w:tr>
      <w:tr>
        <w:tc>
          <w:tcPr>
            <w:tcW w:type="dxa" w:w="576"/>
          </w:tcPr>
          <w:p>
            <w:r/>
            <w:r>
              <w:rPr>
                <w:sz w:val="18"/>
              </w:rPr>
              <w:t>2</w:t>
            </w:r>
          </w:p>
        </w:tc>
        <w:tc>
          <w:tcPr>
            <w:tcW w:type="dxa" w:w="3600"/>
          </w:tcPr>
          <w:p>
            <w:r/>
            <w:r>
              <w:rPr>
                <w:sz w:val="18"/>
              </w:rPr>
              <w:t>Which meetings do I have this week about returns?</w:t>
            </w:r>
          </w:p>
        </w:tc>
        <w:tc>
          <w:tcPr>
            <w:tcW w:type="dxa" w:w="1728"/>
          </w:tcPr>
          <w:p>
            <w:r/>
            <w:r>
              <w:rPr>
                <w:sz w:val="18"/>
              </w:rPr>
              <w:t>Calendar (work context)</w:t>
            </w:r>
          </w:p>
        </w:tc>
        <w:tc>
          <w:tcPr>
            <w:tcW w:type="dxa" w:w="4032"/>
          </w:tcPr>
          <w:p>
            <w:r/>
            <w:r>
              <w:rPr>
                <w:sz w:val="18"/>
              </w:rPr>
              <w:t>Lists calendar items with title, date and attendees.</w:t>
            </w:r>
          </w:p>
        </w:tc>
      </w:tr>
      <w:tr>
        <w:tc>
          <w:tcPr>
            <w:tcW w:type="dxa" w:w="576"/>
          </w:tcPr>
          <w:p>
            <w:r/>
            <w:r>
              <w:rPr>
                <w:sz w:val="18"/>
              </w:rPr>
              <w:t>3</w:t>
            </w:r>
          </w:p>
        </w:tc>
        <w:tc>
          <w:tcPr>
            <w:tcW w:type="dxa" w:w="3600"/>
          </w:tcPr>
          <w:p>
            <w:r/>
            <w:r>
              <w:rPr>
                <w:sz w:val="18"/>
              </w:rPr>
              <w:t>What is our returns policy for faulty items?</w:t>
            </w:r>
          </w:p>
        </w:tc>
        <w:tc>
          <w:tcPr>
            <w:tcW w:type="dxa" w:w="1728"/>
          </w:tcPr>
          <w:p>
            <w:r/>
            <w:r>
              <w:rPr>
                <w:sz w:val="18"/>
              </w:rPr>
              <w:t>Documents</w:t>
            </w:r>
          </w:p>
        </w:tc>
        <w:tc>
          <w:tcPr>
            <w:tcW w:type="dxa" w:w="4032"/>
          </w:tcPr>
          <w:p>
            <w:r/>
            <w:r>
              <w:rPr>
                <w:sz w:val="18"/>
              </w:rPr>
              <w:t>Falls back to the returns policy and answers from it (damaged or defective items: report within 7 days of delivery with a photo), proving the routing instruction works. Cites the document.</w:t>
            </w:r>
          </w:p>
        </w:tc>
      </w:tr>
    </w:tbl>
    <w:p/>
    <w:p>
      <w:pPr>
        <w:pStyle w:val="Heading2"/>
      </w:pPr>
      <w:r>
        <w:t>Negative test (the one most people skip)</w:t>
      </w:r>
    </w:p>
    <w:p>
      <w:r>
        <w:rPr>
          <w:b w:val="0"/>
          <w:i w:val="0"/>
        </w:rPr>
        <w:t>Sign in as a different, unrelated test user and ask prompt 1 again. Expected: nothing found, with no content from Jamie's mailbox. This is permission trimming and the evidence your security team will ask for. Record it in the Permission-Trimming-Test-Log.</w:t>
      </w:r>
    </w:p>
    <w:p>
      <w:pPr>
        <w:pStyle w:val="Heading2"/>
      </w:pPr>
      <w:r>
        <w:t>Audit</w:t>
      </w:r>
    </w:p>
    <w:p>
      <w:r>
        <w:rPr>
          <w:b w:val="0"/>
          <w:i w:val="0"/>
        </w:rPr>
        <w:t>Open the Activity tab to see how answers are logged so you can audit which source a given answer came from.</w:t>
      </w:r>
    </w:p>
    <w:p>
      <w:pPr>
        <w:pStyle w:val="Heading1"/>
      </w:pPr>
      <w:r>
        <w:t>5. Your own version</w:t>
      </w:r>
    </w:p>
    <w:p>
      <w:r>
        <w:t>☐  Replace "returns policy" and "Pashun Sports team site" with your own document sources.</w:t>
      </w:r>
    </w:p>
    <w:p>
      <w:r>
        <w:t>☐  One question that must use email.</w:t>
      </w:r>
    </w:p>
    <w:p>
      <w:r>
        <w:t>☐  One question that must use calendar.</w:t>
      </w:r>
    </w:p>
    <w:p>
      <w:r>
        <w:t>☐  One question that must use documents.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