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Orchestrator Routing Description Template</w:t>
      </w:r>
    </w:p>
    <w:p>
      <w:r>
        <w:rPr>
          <w:color w:val="595959"/>
          <w:sz w:val="19"/>
        </w:rPr>
        <w:t>Pashun Sports T-Shirts · Microsoft Copilot Studio: The Complete Guide (2026) · Lecture 17</w:t>
      </w:r>
    </w:p>
    <w:p>
      <w:r>
        <w:rPr>
          <w:i/>
        </w:rPr>
        <w:t>Name + description is the routing logic. Write what each agent does AND what it does not do.</w:t>
      </w:r>
    </w:p>
    <w:p>
      <w:pPr>
        <w:pStyle w:val="Heading1"/>
      </w:pPr>
      <w:r>
        <w:t>1. The pattern</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Pattern  </w:t>
            </w:r>
            <w:r>
              <w:t>Handles [topics]. Does not handle [topics] — those go to [other agent].</w:t>
            </w:r>
          </w:p>
        </w:tc>
      </w:tr>
    </w:tbl>
    <w:p/>
    <w:p>
      <w:pPr>
        <w:pStyle w:val="ListBullet"/>
      </w:pPr>
      <w:r>
        <w:t>Vague: "Handles customer things" or "Handles supplier stuff" produces vague routing.</w:t>
      </w:r>
    </w:p>
    <w:p>
      <w:pPr>
        <w:pStyle w:val="ListBullet"/>
      </w:pPr>
      <w:r>
        <w:t>Sharp: state the topics owned and name the exclusions. Exclusions are the most effective fix when two specialists fight over the same request.</w:t>
      </w:r>
    </w:p>
    <w:p>
      <w:pPr>
        <w:pStyle w:val="Heading1"/>
      </w:pPr>
      <w:r>
        <w:t>2. Pashun Sports routing descriptions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1F3A5F"/>
          </w:tcPr>
          <w:p>
            <w:r/>
            <w:r>
              <w:rPr>
                <w:b/>
                <w:color w:val="FFFFFF"/>
                <w:sz w:val="20"/>
              </w:rPr>
              <w:t>Agent</w:t>
            </w:r>
          </w:p>
        </w:tc>
        <w:tc>
          <w:tcPr>
            <w:tcW w:type="dxa" w:w="2592"/>
            <w:shd w:val="clear" w:color="auto" w:fill="1F3A5F"/>
          </w:tcPr>
          <w:p>
            <w:r/>
            <w:r>
              <w:rPr>
                <w:b/>
                <w:color w:val="FFFFFF"/>
                <w:sz w:val="20"/>
              </w:rPr>
              <w:t>Type</w:t>
            </w:r>
          </w:p>
        </w:tc>
        <w:tc>
          <w:tcPr>
            <w:tcW w:type="dxa" w:w="4752"/>
            <w:shd w:val="clear" w:color="auto" w:fill="1F3A5F"/>
          </w:tcPr>
          <w:p>
            <w:r/>
            <w:r>
              <w:rPr>
                <w:b/>
                <w:color w:val="FFFFFF"/>
                <w:sz w:val="20"/>
              </w:rPr>
              <w:t>Routing description</w:t>
            </w:r>
          </w:p>
        </w:tc>
      </w:tr>
      <w:tr>
        <w:tc>
          <w:tcPr>
            <w:tcW w:type="dxa" w:w="2304"/>
          </w:tcPr>
          <w:p>
            <w:r/>
            <w:r>
              <w:rPr>
                <w:sz w:val="20"/>
              </w:rPr>
              <w:t>Customer Service Agent</w:t>
            </w:r>
          </w:p>
        </w:tc>
        <w:tc>
          <w:tcPr>
            <w:tcW w:type="dxa" w:w="2592"/>
          </w:tcPr>
          <w:p>
            <w:r/>
            <w:r>
              <w:rPr>
                <w:sz w:val="20"/>
              </w:rPr>
              <w:t>Connected agent (built in Section 3, owned by Jamie)</w:t>
            </w:r>
          </w:p>
        </w:tc>
        <w:tc>
          <w:tcPr>
            <w:tcW w:type="dxa" w:w="4752"/>
          </w:tcPr>
          <w:p>
            <w:r/>
            <w:r>
              <w:rPr>
                <w:sz w:val="20"/>
              </w:rPr>
              <w:t>Handles returns, exchanges, sizing and delivery questions, including the 30-day Pashun returns window. Does not answer supplier or sales questions.</w:t>
            </w:r>
          </w:p>
        </w:tc>
      </w:tr>
      <w:tr>
        <w:tc>
          <w:tcPr>
            <w:tcW w:type="dxa" w:w="2304"/>
          </w:tcPr>
          <w:p>
            <w:r/>
            <w:r>
              <w:rPr>
                <w:sz w:val="20"/>
              </w:rPr>
              <w:t>Supplier Follow Up</w:t>
            </w:r>
          </w:p>
        </w:tc>
        <w:tc>
          <w:tcPr>
            <w:tcW w:type="dxa" w:w="2592"/>
          </w:tcPr>
          <w:p>
            <w:r/>
            <w:r>
              <w:rPr>
                <w:sz w:val="20"/>
              </w:rPr>
              <w:t>Child agent (inside the Project Support Helper)</w:t>
            </w:r>
          </w:p>
        </w:tc>
        <w:tc>
          <w:tcPr>
            <w:tcW w:type="dxa" w:w="4752"/>
          </w:tcPr>
          <w:p>
            <w:r/>
            <w:r>
              <w:rPr>
                <w:sz w:val="20"/>
              </w:rPr>
              <w:t>Use this agent to check whether suppliers have replied or delivered on time for the Pashun Pro Tee launch, judge the risk to the launch date, and draft follow-up emails. Does not answer customer or sales questions.</w:t>
            </w:r>
          </w:p>
        </w:tc>
      </w:tr>
      <w:tr>
        <w:tc>
          <w:tcPr>
            <w:tcW w:type="dxa" w:w="2304"/>
          </w:tcPr>
          <w:p>
            <w:r/>
            <w:r>
              <w:rPr>
                <w:sz w:val="20"/>
              </w:rPr>
              <w:t>Sales Reporter</w:t>
            </w:r>
          </w:p>
        </w:tc>
        <w:tc>
          <w:tcPr>
            <w:tcW w:type="dxa" w:w="2592"/>
          </w:tcPr>
          <w:p>
            <w:r/>
            <w:r>
              <w:rPr>
                <w:sz w:val="20"/>
              </w:rPr>
              <w:t>Connected agent (owned by Morgan)</w:t>
            </w:r>
          </w:p>
        </w:tc>
        <w:tc>
          <w:tcPr>
            <w:tcW w:type="dxa" w:w="4752"/>
          </w:tcPr>
          <w:p>
            <w:r/>
            <w:r>
              <w:rPr>
                <w:sz w:val="20"/>
              </w:rPr>
              <w:t>Use this agent to answer questions about Pashun Pro Tee sales and stock and to draft the monthly sales summary. Do not use it for customer or supplier questions.</w:t>
            </w:r>
          </w:p>
        </w:tc>
      </w:tr>
      <w:tr>
        <w:tc>
          <w:tcPr>
            <w:tcW w:type="dxa" w:w="2304"/>
          </w:tcPr>
          <w:p>
            <w:r/>
            <w:r>
              <w:rPr>
                <w:sz w:val="20"/>
              </w:rPr>
              <w:t>Project Support Helper</w:t>
            </w:r>
          </w:p>
        </w:tc>
        <w:tc>
          <w:tcPr>
            <w:tcW w:type="dxa" w:w="2592"/>
          </w:tcPr>
          <w:p>
            <w:r/>
            <w:r>
              <w:rPr>
                <w:sz w:val="20"/>
              </w:rPr>
              <w:t>Orchestrator (the front door)</w:t>
            </w:r>
          </w:p>
        </w:tc>
        <w:tc>
          <w:tcPr>
            <w:tcW w:type="dxa" w:w="4752"/>
          </w:tcPr>
          <w:p>
            <w:r/>
            <w:r>
              <w:rPr>
                <w:sz w:val="20"/>
              </w:rPr>
              <w:t>Single front door for the Pashun Sports T-Shirts team. Identifies what the user needs, delegates to the Customer Service Agent, Supplier Follow Up or Sales Reporter, and presents one clear answer. Does not answer from its own knowledge.</w:t>
            </w:r>
          </w:p>
        </w:tc>
      </w:tr>
    </w:tbl>
    <w:p/>
    <w:p>
      <w:r>
        <w:rPr>
          <w:b w:val="0"/>
          <w:i/>
        </w:rPr>
        <w:t>Alternative wording for the Customer Service Agent, as used in Part 1 of the lecture: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Answers customer questions about returns, exchanges, sizing and delivery from the Pashun Sports policy documents. Does not handle supplier or sales questions.</w:t>
            </w:r>
          </w:p>
        </w:tc>
      </w:tr>
    </w:tbl>
    <w:p/>
    <w:p>
      <w:pPr>
        <w:pStyle w:val="Heading1"/>
      </w:pPr>
      <w:r>
        <w:t>3. Orchestrator instructions (six lines)</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front door for the Pashun Sports T-Shirts team.</w:t>
            </w:r>
          </w:p>
          <w:p>
            <w:r>
              <w:rPr>
                <w:rFonts w:ascii="Consolas" w:hAnsi="Consolas" w:eastAsia="Consolas"/>
                <w:sz w:val="19"/>
              </w:rPr>
              <w:t>Identify what the user needs and delegate to the correct specialist agent.</w:t>
            </w:r>
          </w:p>
          <w:p>
            <w:r>
              <w:rPr>
                <w:rFonts w:ascii="Consolas" w:hAnsi="Consolas" w:eastAsia="Consolas"/>
                <w:sz w:val="19"/>
              </w:rPr>
              <w:t>Never answer from your own knowledge.</w:t>
            </w:r>
          </w:p>
          <w:p>
            <w:r>
              <w:rPr>
                <w:rFonts w:ascii="Consolas" w:hAnsi="Consolas" w:eastAsia="Consolas"/>
                <w:sz w:val="19"/>
              </w:rPr>
              <w:t>Present the specialist's answer clearly; if two specialists are needed, merge their answers into one reply.</w:t>
            </w:r>
          </w:p>
          <w:p>
            <w:r>
              <w:rPr>
                <w:rFonts w:ascii="Consolas" w:hAnsi="Consolas" w:eastAsia="Consolas"/>
                <w:sz w:val="19"/>
              </w:rPr>
              <w:t>If the request needs the order number and you do not have it, ask for it before delegating.</w:t>
            </w:r>
          </w:p>
          <w:p>
            <w:r>
              <w:rPr>
                <w:rFonts w:ascii="Consolas" w:hAnsi="Consolas" w:eastAsia="Consolas"/>
                <w:sz w:val="19"/>
              </w:rPr>
              <w:t>If no specialist fits, say so and suggest who to ask.</w:t>
            </w:r>
          </w:p>
        </w:tc>
      </w:tr>
    </w:tbl>
    <w:p/>
    <w:p>
      <w:pPr>
        <w:pStyle w:val="Heading1"/>
      </w:pPr>
      <w:r>
        <w:t>4. Connected agent or child agent?</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1F3A5F"/>
          </w:tcPr>
          <w:p>
            <w:r/>
            <w:r>
              <w:rPr>
                <w:b/>
                <w:color w:val="FFFFFF"/>
                <w:sz w:val="20"/>
              </w:rPr>
              <w:t>Aspect</w:t>
            </w:r>
          </w:p>
        </w:tc>
        <w:tc>
          <w:tcPr>
            <w:tcW w:type="dxa" w:w="3744"/>
            <w:shd w:val="clear" w:color="auto" w:fill="1F3A5F"/>
          </w:tcPr>
          <w:p>
            <w:r/>
            <w:r>
              <w:rPr>
                <w:b/>
                <w:color w:val="FFFFFF"/>
                <w:sz w:val="20"/>
              </w:rPr>
              <w:t>Connected Agent</w:t>
            </w:r>
          </w:p>
        </w:tc>
        <w:tc>
          <w:tcPr>
            <w:tcW w:type="dxa" w:w="3600"/>
            <w:shd w:val="clear" w:color="auto" w:fill="1F3A5F"/>
          </w:tcPr>
          <w:p>
            <w:r/>
            <w:r>
              <w:rPr>
                <w:b/>
                <w:color w:val="FFFFFF"/>
                <w:sz w:val="20"/>
              </w:rPr>
              <w:t>Child Agent</w:t>
            </w:r>
          </w:p>
        </w:tc>
      </w:tr>
      <w:tr>
        <w:tc>
          <w:tcPr>
            <w:tcW w:type="dxa" w:w="2304"/>
          </w:tcPr>
          <w:p>
            <w:r/>
            <w:r>
              <w:rPr>
                <w:sz w:val="20"/>
              </w:rPr>
              <w:t>Where it lives</w:t>
            </w:r>
          </w:p>
        </w:tc>
        <w:tc>
          <w:tcPr>
            <w:tcW w:type="dxa" w:w="3744"/>
          </w:tcPr>
          <w:p>
            <w:r/>
            <w:r>
              <w:rPr>
                <w:sz w:val="20"/>
              </w:rPr>
              <w:t>Separately in the environment</w:t>
            </w:r>
          </w:p>
        </w:tc>
        <w:tc>
          <w:tcPr>
            <w:tcW w:type="dxa" w:w="3600"/>
          </w:tcPr>
          <w:p>
            <w:r/>
            <w:r>
              <w:rPr>
                <w:sz w:val="20"/>
              </w:rPr>
              <w:t>Inside the parent agent</w:t>
            </w:r>
          </w:p>
        </w:tc>
      </w:tr>
      <w:tr>
        <w:tc>
          <w:tcPr>
            <w:tcW w:type="dxa" w:w="2304"/>
          </w:tcPr>
          <w:p>
            <w:r/>
            <w:r>
              <w:rPr>
                <w:sz w:val="20"/>
              </w:rPr>
              <w:t>Who typically owns it</w:t>
            </w:r>
          </w:p>
        </w:tc>
        <w:tc>
          <w:tcPr>
            <w:tcW w:type="dxa" w:w="3744"/>
          </w:tcPr>
          <w:p>
            <w:r/>
            <w:r>
              <w:rPr>
                <w:sz w:val="20"/>
              </w:rPr>
              <w:t>Another team or maker</w:t>
            </w:r>
          </w:p>
        </w:tc>
        <w:tc>
          <w:tcPr>
            <w:tcW w:type="dxa" w:w="3600"/>
          </w:tcPr>
          <w:p>
            <w:r/>
            <w:r>
              <w:rPr>
                <w:sz w:val="20"/>
              </w:rPr>
              <w:t>You, the orchestrator's maker</w:t>
            </w:r>
          </w:p>
        </w:tc>
      </w:tr>
      <w:tr>
        <w:tc>
          <w:tcPr>
            <w:tcW w:type="dxa" w:w="2304"/>
          </w:tcPr>
          <w:p>
            <w:r/>
            <w:r>
              <w:rPr>
                <w:sz w:val="20"/>
              </w:rPr>
              <w:t>Publishing</w:t>
            </w:r>
          </w:p>
        </w:tc>
        <w:tc>
          <w:tcPr>
            <w:tcW w:type="dxa" w:w="3744"/>
          </w:tcPr>
          <w:p>
            <w:r/>
            <w:r>
              <w:rPr>
                <w:sz w:val="20"/>
              </w:rPr>
              <w:t>Published independently</w:t>
            </w:r>
          </w:p>
        </w:tc>
        <w:tc>
          <w:tcPr>
            <w:tcW w:type="dxa" w:w="3600"/>
          </w:tcPr>
          <w:p>
            <w:r/>
            <w:r>
              <w:rPr>
                <w:sz w:val="20"/>
              </w:rPr>
              <w:t>Published with the parent</w:t>
            </w:r>
          </w:p>
        </w:tc>
      </w:tr>
      <w:tr>
        <w:tc>
          <w:tcPr>
            <w:tcW w:type="dxa" w:w="2304"/>
          </w:tcPr>
          <w:p>
            <w:r/>
            <w:r>
              <w:rPr>
                <w:sz w:val="20"/>
              </w:rPr>
              <w:t>Reuse across agents</w:t>
            </w:r>
          </w:p>
        </w:tc>
        <w:tc>
          <w:tcPr>
            <w:tcW w:type="dxa" w:w="3744"/>
          </w:tcPr>
          <w:p>
            <w:r/>
            <w:r>
              <w:rPr>
                <w:sz w:val="20"/>
              </w:rPr>
              <w:t>Yes</w:t>
            </w:r>
          </w:p>
        </w:tc>
        <w:tc>
          <w:tcPr>
            <w:tcW w:type="dxa" w:w="3600"/>
          </w:tcPr>
          <w:p>
            <w:r/>
            <w:r>
              <w:rPr>
                <w:sz w:val="20"/>
              </w:rPr>
              <w:t>No — scoped to this parent</w:t>
            </w:r>
          </w:p>
        </w:tc>
      </w:tr>
      <w:tr>
        <w:tc>
          <w:tcPr>
            <w:tcW w:type="dxa" w:w="2304"/>
          </w:tcPr>
          <w:p>
            <w:r/>
            <w:r>
              <w:rPr>
                <w:sz w:val="20"/>
              </w:rPr>
              <w:t>Best for</w:t>
            </w:r>
          </w:p>
        </w:tc>
        <w:tc>
          <w:tcPr>
            <w:tcW w:type="dxa" w:w="3744"/>
          </w:tcPr>
          <w:p>
            <w:r/>
            <w:r>
              <w:rPr>
                <w:sz w:val="20"/>
              </w:rPr>
              <w:t>Shared capability (Customer Service Agent)</w:t>
            </w:r>
          </w:p>
        </w:tc>
        <w:tc>
          <w:tcPr>
            <w:tcW w:type="dxa" w:w="3600"/>
          </w:tcPr>
          <w:p>
            <w:r/>
            <w:r>
              <w:rPr>
                <w:sz w:val="20"/>
              </w:rPr>
              <w:t>Assistant-specific capability (Supplier Follow Up)</w:t>
            </w:r>
          </w:p>
        </w:tc>
      </w:tr>
      <w:tr>
        <w:tc>
          <w:tcPr>
            <w:tcW w:type="dxa" w:w="2304"/>
          </w:tcPr>
          <w:p>
            <w:r/>
            <w:r>
              <w:rPr>
                <w:sz w:val="20"/>
              </w:rPr>
              <w:t>Editing</w:t>
            </w:r>
          </w:p>
        </w:tc>
        <w:tc>
          <w:tcPr>
            <w:tcW w:type="dxa" w:w="3744"/>
          </w:tcPr>
          <w:p>
            <w:r/>
            <w:r>
              <w:rPr>
                <w:sz w:val="20"/>
              </w:rPr>
              <w:t>Open the agent in its own workspace</w:t>
            </w:r>
          </w:p>
        </w:tc>
        <w:tc>
          <w:tcPr>
            <w:tcW w:type="dxa" w:w="3600"/>
          </w:tcPr>
          <w:p>
            <w:r/>
            <w:r>
              <w:rPr>
                <w:sz w:val="20"/>
              </w:rPr>
              <w:t>Edit from the parent's Agents tab</w:t>
            </w:r>
          </w:p>
        </w:tc>
      </w:tr>
    </w:tbl>
    <w:p/>
    <w:p>
      <w:pPr>
        <w:pStyle w:val="Heading1"/>
      </w:pPr>
      <w:r>
        <w:t>5. Inputs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color="auto" w:fill="1F3A5F"/>
          </w:tcPr>
          <w:p>
            <w:r/>
            <w:r>
              <w:rPr>
                <w:b/>
                <w:color w:val="FFFFFF"/>
                <w:sz w:val="20"/>
              </w:rPr>
              <w:t>Agent</w:t>
            </w:r>
          </w:p>
        </w:tc>
        <w:tc>
          <w:tcPr>
            <w:tcW w:type="dxa" w:w="1728"/>
            <w:shd w:val="clear" w:color="auto" w:fill="1F3A5F"/>
          </w:tcPr>
          <w:p>
            <w:r/>
            <w:r>
              <w:rPr>
                <w:b/>
                <w:color w:val="FFFFFF"/>
                <w:sz w:val="20"/>
              </w:rPr>
              <w:t>Input</w:t>
            </w:r>
          </w:p>
        </w:tc>
        <w:tc>
          <w:tcPr>
            <w:tcW w:type="dxa" w:w="1008"/>
            <w:shd w:val="clear" w:color="auto" w:fill="1F3A5F"/>
          </w:tcPr>
          <w:p>
            <w:r/>
            <w:r>
              <w:rPr>
                <w:b/>
                <w:color w:val="FFFFFF"/>
                <w:sz w:val="20"/>
              </w:rPr>
              <w:t>Type</w:t>
            </w:r>
          </w:p>
        </w:tc>
        <w:tc>
          <w:tcPr>
            <w:tcW w:type="dxa" w:w="1152"/>
            <w:shd w:val="clear" w:color="auto" w:fill="1F3A5F"/>
          </w:tcPr>
          <w:p>
            <w:r/>
            <w:r>
              <w:rPr>
                <w:b/>
                <w:color w:val="FFFFFF"/>
                <w:sz w:val="20"/>
              </w:rPr>
              <w:t>Required</w:t>
            </w:r>
          </w:p>
        </w:tc>
        <w:tc>
          <w:tcPr>
            <w:tcW w:type="dxa" w:w="3456"/>
            <w:shd w:val="clear" w:color="auto" w:fill="1F3A5F"/>
          </w:tcPr>
          <w:p>
            <w:r/>
            <w:r>
              <w:rPr>
                <w:b/>
                <w:color w:val="FFFFFF"/>
                <w:sz w:val="20"/>
              </w:rPr>
              <w:t>Effect</w:t>
            </w:r>
          </w:p>
        </w:tc>
      </w:tr>
      <w:tr>
        <w:tc>
          <w:tcPr>
            <w:tcW w:type="dxa" w:w="2304"/>
          </w:tcPr>
          <w:p>
            <w:r/>
            <w:r>
              <w:rPr>
                <w:sz w:val="20"/>
              </w:rPr>
              <w:t>Customer Service Agent</w:t>
            </w:r>
          </w:p>
        </w:tc>
        <w:tc>
          <w:tcPr>
            <w:tcW w:type="dxa" w:w="1728"/>
          </w:tcPr>
          <w:p>
            <w:r/>
            <w:r>
              <w:rPr>
                <w:sz w:val="20"/>
              </w:rPr>
              <w:t>OrderNumber</w:t>
            </w:r>
          </w:p>
        </w:tc>
        <w:tc>
          <w:tcPr>
            <w:tcW w:type="dxa" w:w="1008"/>
          </w:tcPr>
          <w:p>
            <w:r/>
            <w:r>
              <w:rPr>
                <w:sz w:val="20"/>
              </w:rPr>
              <w:t>string</w:t>
            </w:r>
          </w:p>
        </w:tc>
        <w:tc>
          <w:tcPr>
            <w:tcW w:type="dxa" w:w="1152"/>
          </w:tcPr>
          <w:p>
            <w:r/>
            <w:r>
              <w:rPr>
                <w:sz w:val="20"/>
              </w:rPr>
              <w:t>Yes</w:t>
            </w:r>
          </w:p>
        </w:tc>
        <w:tc>
          <w:tcPr>
            <w:tcW w:type="dxa" w:w="3456"/>
          </w:tcPr>
          <w:p>
            <w:r/>
            <w:r>
              <w:rPr>
                <w:sz w:val="20"/>
              </w:rPr>
              <w:t>The front door asks "What's the order number?" before delegating</w:t>
            </w:r>
          </w:p>
        </w:tc>
      </w:tr>
    </w:tbl>
    <w:p/>
    <w:p>
      <w:r>
        <w:rPr>
          <w:b w:val="0"/>
          <w:i/>
        </w:rPr>
        <w:t>Context passes, memory does not merge: specialists do not share variables. Anything two agents both need should live in the front-door agent's global variables and be passed in as an input.</w:t>
      </w:r>
    </w:p>
    <w:p>
      <w:pPr>
        <w:pStyle w:val="Heading1"/>
      </w:pPr>
      <w:r>
        <w:t>6. Blank template: your agents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20"/>
              </w:rPr>
              <w:t>Agent name</w:t>
            </w:r>
          </w:p>
        </w:tc>
        <w:tc>
          <w:tcPr>
            <w:tcW w:type="dxa" w:w="1728"/>
            <w:shd w:val="clear" w:color="auto" w:fill="1F3A5F"/>
          </w:tcPr>
          <w:p>
            <w:r/>
            <w:r>
              <w:rPr>
                <w:b/>
                <w:color w:val="FFFFFF"/>
                <w:sz w:val="20"/>
              </w:rPr>
              <w:t>Connected or child?</w:t>
            </w:r>
          </w:p>
        </w:tc>
        <w:tc>
          <w:tcPr>
            <w:tcW w:type="dxa" w:w="4608"/>
            <w:shd w:val="clear" w:color="auto" w:fill="1F3A5F"/>
          </w:tcPr>
          <w:p>
            <w:r/>
            <w:r>
              <w:rPr>
                <w:b/>
                <w:color w:val="FFFFFF"/>
                <w:sz w:val="20"/>
              </w:rPr>
              <w:t>Routing description (Handles ... Does not handle ...)</w:t>
            </w:r>
          </w:p>
        </w:tc>
        <w:tc>
          <w:tcPr>
            <w:tcW w:type="dxa" w:w="1296"/>
            <w:shd w:val="clear" w:color="auto" w:fill="1F3A5F"/>
          </w:tcPr>
          <w:p>
            <w:r/>
            <w:r>
              <w:rPr>
                <w:b/>
                <w:color w:val="FFFFFF"/>
                <w:sz w:val="20"/>
              </w:rPr>
              <w:t>Inputs</w:t>
            </w:r>
          </w:p>
        </w:tc>
      </w:tr>
      <w:tr>
        <w:tc>
          <w:tcPr>
            <w:tcW w:type="dxa" w:w="2016"/>
          </w:tcPr>
          <w:p>
            <w:r/>
            <w:r>
              <w:rPr>
                <w:sz w:val="20"/>
              </w:rPr>
            </w:r>
          </w:p>
        </w:tc>
        <w:tc>
          <w:tcPr>
            <w:tcW w:type="dxa" w:w="1728"/>
          </w:tcPr>
          <w:p>
            <w:r/>
            <w:r>
              <w:rPr>
                <w:sz w:val="20"/>
              </w:rPr>
            </w:r>
          </w:p>
        </w:tc>
        <w:tc>
          <w:tcPr>
            <w:tcW w:type="dxa" w:w="4608"/>
          </w:tcPr>
          <w:p>
            <w:r/>
            <w:r>
              <w:rPr>
                <w:sz w:val="20"/>
              </w:rPr>
            </w:r>
          </w:p>
        </w:tc>
        <w:tc>
          <w:tcPr>
            <w:tcW w:type="dxa" w:w="1296"/>
          </w:tcPr>
          <w:p>
            <w:r/>
            <w:r>
              <w:rPr>
                <w:sz w:val="20"/>
              </w:rPr>
            </w:r>
          </w:p>
        </w:tc>
      </w:tr>
      <w:tr>
        <w:tc>
          <w:tcPr>
            <w:tcW w:type="dxa" w:w="2016"/>
          </w:tcPr>
          <w:p>
            <w:r/>
            <w:r>
              <w:rPr>
                <w:sz w:val="20"/>
              </w:rPr>
            </w:r>
          </w:p>
        </w:tc>
        <w:tc>
          <w:tcPr>
            <w:tcW w:type="dxa" w:w="1728"/>
          </w:tcPr>
          <w:p>
            <w:r/>
            <w:r>
              <w:rPr>
                <w:sz w:val="20"/>
              </w:rPr>
            </w:r>
          </w:p>
        </w:tc>
        <w:tc>
          <w:tcPr>
            <w:tcW w:type="dxa" w:w="4608"/>
          </w:tcPr>
          <w:p>
            <w:r/>
            <w:r>
              <w:rPr>
                <w:sz w:val="20"/>
              </w:rPr>
            </w:r>
          </w:p>
        </w:tc>
        <w:tc>
          <w:tcPr>
            <w:tcW w:type="dxa" w:w="1296"/>
          </w:tcPr>
          <w:p>
            <w:r/>
            <w:r>
              <w:rPr>
                <w:sz w:val="20"/>
              </w:rPr>
            </w:r>
          </w:p>
        </w:tc>
      </w:tr>
      <w:tr>
        <w:tc>
          <w:tcPr>
            <w:tcW w:type="dxa" w:w="2016"/>
          </w:tcPr>
          <w:p>
            <w:r/>
            <w:r>
              <w:rPr>
                <w:sz w:val="20"/>
              </w:rPr>
            </w:r>
          </w:p>
        </w:tc>
        <w:tc>
          <w:tcPr>
            <w:tcW w:type="dxa" w:w="1728"/>
          </w:tcPr>
          <w:p>
            <w:r/>
            <w:r>
              <w:rPr>
                <w:sz w:val="20"/>
              </w:rPr>
            </w:r>
          </w:p>
        </w:tc>
        <w:tc>
          <w:tcPr>
            <w:tcW w:type="dxa" w:w="4608"/>
          </w:tcPr>
          <w:p>
            <w:r/>
            <w:r>
              <w:rPr>
                <w:sz w:val="20"/>
              </w:rPr>
            </w:r>
          </w:p>
        </w:tc>
        <w:tc>
          <w:tcPr>
            <w:tcW w:type="dxa" w:w="1296"/>
          </w:tcPr>
          <w:p>
            <w:r/>
            <w:r>
              <w:rPr>
                <w:sz w:val="20"/>
              </w:rPr>
            </w:r>
          </w:p>
        </w:tc>
      </w:tr>
      <w:tr>
        <w:tc>
          <w:tcPr>
            <w:tcW w:type="dxa" w:w="2016"/>
          </w:tcPr>
          <w:p>
            <w:r/>
            <w:r>
              <w:rPr>
                <w:sz w:val="20"/>
              </w:rPr>
            </w:r>
          </w:p>
        </w:tc>
        <w:tc>
          <w:tcPr>
            <w:tcW w:type="dxa" w:w="1728"/>
          </w:tcPr>
          <w:p>
            <w:r/>
            <w:r>
              <w:rPr>
                <w:sz w:val="20"/>
              </w:rPr>
            </w:r>
          </w:p>
        </w:tc>
        <w:tc>
          <w:tcPr>
            <w:tcW w:type="dxa" w:w="4608"/>
          </w:tcPr>
          <w:p>
            <w:r/>
            <w:r>
              <w:rPr>
                <w:sz w:val="20"/>
              </w:rPr>
            </w:r>
          </w:p>
        </w:tc>
        <w:tc>
          <w:tcPr>
            <w:tcW w:type="dxa" w:w="1296"/>
          </w:tcPr>
          <w:p>
            <w:r/>
            <w:r>
              <w:rPr>
                <w:sz w:val="20"/>
              </w:rPr>
            </w:r>
          </w:p>
        </w:tc>
      </w:tr>
      <w:tr>
        <w:tc>
          <w:tcPr>
            <w:tcW w:type="dxa" w:w="2016"/>
          </w:tcPr>
          <w:p>
            <w:r/>
            <w:r>
              <w:rPr>
                <w:sz w:val="20"/>
              </w:rPr>
            </w:r>
          </w:p>
        </w:tc>
        <w:tc>
          <w:tcPr>
            <w:tcW w:type="dxa" w:w="1728"/>
          </w:tcPr>
          <w:p>
            <w:r/>
            <w:r>
              <w:rPr>
                <w:sz w:val="20"/>
              </w:rPr>
            </w:r>
          </w:p>
        </w:tc>
        <w:tc>
          <w:tcPr>
            <w:tcW w:type="dxa" w:w="4608"/>
          </w:tcPr>
          <w:p>
            <w:r/>
            <w:r>
              <w:rPr>
                <w:sz w:val="20"/>
              </w:rPr>
            </w:r>
          </w:p>
        </w:tc>
        <w:tc>
          <w:tcPr>
            <w:tcW w:type="dxa" w:w="1296"/>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