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MCP Server Connection Checklist</w:t>
      </w:r>
    </w:p>
    <w:p>
      <w:r>
        <w:rPr>
          <w:color w:val="595959"/>
          <w:sz w:val="19"/>
        </w:rPr>
        <w:t>Pashun Sports T-Shirts · Microsoft Copilot Studio: The Complete Guide (2026) · Lecture 21</w:t>
      </w:r>
    </w:p>
    <w:p>
      <w:r>
        <w:rPr>
          <w:i/>
        </w:rPr>
        <w:t>Work through this before and while you add an MCP server to the Customer Service Agent.</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Governance first.  </w:t>
            </w:r>
            <w:r>
              <w:t>An MCP tool can write to live systems. Administrator approval, data-loss-prevention rules and a separate Dev environment are the control, not optional extras. Read the governance notes in the lecture "How to Access Microsoft Copilot Studio, Understand Licensing and Copilot Credits, and Navigate the Workspace" before you connect anything to a production system.</w:t>
            </w:r>
          </w:p>
        </w:tc>
      </w:tr>
    </w:tbl>
    <w:p/>
    <w:p>
      <w:pPr>
        <w:pStyle w:val="Heading1"/>
      </w:pPr>
      <w:r>
        <w:t>1. Before you connect</w:t>
      </w:r>
    </w:p>
    <w:p>
      <w:r>
        <w:t>☐  I am working in a Dev (non-production) environment.</w:t>
      </w:r>
    </w:p>
    <w:p>
      <w:r>
        <w:t>☐  I know the business problem: staff answer "where is order PS-1042?" by logging into a separate shop system (three systems, two logins, four minutes per query).</w:t>
      </w:r>
    </w:p>
    <w:p>
      <w:r>
        <w:t>☐  The server is reachable over the internet (Streamable HTTP; legacy SSE also works). A local desktop process will not work.</w:t>
      </w:r>
    </w:p>
    <w:p>
      <w:r>
        <w:t>☐  I have the server endpoint URL: &lt;paste the MCP server endpoint URL here&gt;</w:t>
      </w:r>
    </w:p>
    <w:p>
      <w:r>
        <w:t>☐  I know which authentication it uses: API key, OAuth 2.0 or Microsoft sign-in.</w:t>
      </w:r>
    </w:p>
    <w:p>
      <w:r>
        <w:t>☐  My administrator knows I am adding it, and the data-loss-prevention policy for the environment covers MCP connections.</w:t>
      </w:r>
    </w:p>
    <w:p>
      <w:pPr>
        <w:pStyle w:val="Heading1"/>
      </w:pPr>
      <w:r>
        <w:t>2. Add the server</w:t>
      </w:r>
    </w:p>
    <w:p>
      <w:pPr>
        <w:pStyle w:val="ListNumber"/>
      </w:pPr>
      <w:r>
        <w:t>Open the agent (Customer Service Agent), then Tools, Add a tool, Model Context Protocol.</w:t>
      </w:r>
    </w:p>
    <w:p>
      <w:pPr>
        <w:pStyle w:val="ListNumber"/>
      </w:pPr>
      <w:r>
        <w:t>Option A: select an existing MCP server from the catalog (Paul uses a public example server for the demo).</w:t>
      </w:r>
    </w:p>
    <w:p>
      <w:pPr>
        <w:pStyle w:val="ListNumber"/>
      </w:pPr>
      <w:r>
        <w:t>Option B: add a custom remote server by pasting its endpoint URL: &lt;paste the MCP server endpoint URL here&gt;</w:t>
      </w:r>
    </w:p>
    <w:p>
      <w:pPr>
        <w:pStyle w:val="ListNumber"/>
      </w:pPr>
      <w:r>
        <w:t>Create the connection.</w:t>
      </w:r>
    </w:p>
    <w:p>
      <w:pPr>
        <w:pStyle w:val="Heading1"/>
      </w:pPr>
      <w:r>
        <w:t>3. Choose the authentication</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F3A5F"/>
          </w:tcPr>
          <w:p>
            <w:r/>
            <w:r>
              <w:rPr>
                <w:b/>
                <w:color w:val="FFFFFF"/>
                <w:sz w:val="20"/>
              </w:rPr>
              <w:t>Mode</w:t>
            </w:r>
          </w:p>
        </w:tc>
        <w:tc>
          <w:tcPr>
            <w:tcW w:type="dxa" w:w="4176"/>
            <w:shd w:val="clear" w:color="auto" w:fill="1F3A5F"/>
          </w:tcPr>
          <w:p>
            <w:r/>
            <w:r>
              <w:rPr>
                <w:b/>
                <w:color w:val="FFFFFF"/>
                <w:sz w:val="20"/>
              </w:rPr>
              <w:t>Use when</w:t>
            </w:r>
          </w:p>
        </w:tc>
        <w:tc>
          <w:tcPr>
            <w:tcW w:type="dxa" w:w="3024"/>
            <w:shd w:val="clear" w:color="auto" w:fill="1F3A5F"/>
          </w:tcPr>
          <w:p>
            <w:r/>
            <w:r>
              <w:rPr>
                <w:b/>
                <w:color w:val="FFFFFF"/>
                <w:sz w:val="20"/>
              </w:rPr>
              <w:t>Pashun example</w:t>
            </w:r>
          </w:p>
        </w:tc>
      </w:tr>
      <w:tr>
        <w:tc>
          <w:tcPr>
            <w:tcW w:type="dxa" w:w="2448"/>
          </w:tcPr>
          <w:p>
            <w:r/>
            <w:r>
              <w:rPr>
                <w:sz w:val="20"/>
              </w:rPr>
              <w:t>API key</w:t>
            </w:r>
          </w:p>
        </w:tc>
        <w:tc>
          <w:tcPr>
            <w:tcW w:type="dxa" w:w="4176"/>
          </w:tcPr>
          <w:p>
            <w:r/>
            <w:r>
              <w:rPr>
                <w:sz w:val="20"/>
              </w:rPr>
              <w:t>Quick demo or a single shared service account</w:t>
            </w:r>
          </w:p>
        </w:tc>
        <w:tc>
          <w:tcPr>
            <w:tcW w:type="dxa" w:w="3024"/>
          </w:tcPr>
          <w:p>
            <w:r/>
            <w:r>
              <w:rPr>
                <w:sz w:val="20"/>
              </w:rPr>
              <w:t>Demo connection to the example server</w:t>
            </w:r>
          </w:p>
        </w:tc>
      </w:tr>
      <w:tr>
        <w:tc>
          <w:tcPr>
            <w:tcW w:type="dxa" w:w="2448"/>
          </w:tcPr>
          <w:p>
            <w:r/>
            <w:r>
              <w:rPr>
                <w:sz w:val="20"/>
              </w:rPr>
              <w:t>User authentication</w:t>
            </w:r>
          </w:p>
        </w:tc>
        <w:tc>
          <w:tcPr>
            <w:tcW w:type="dxa" w:w="4176"/>
          </w:tcPr>
          <w:p>
            <w:r/>
            <w:r>
              <w:rPr>
                <w:sz w:val="20"/>
              </w:rPr>
              <w:t>Each person should only see their own data; permissions are enforced per user</w:t>
            </w:r>
          </w:p>
        </w:tc>
        <w:tc>
          <w:tcPr>
            <w:tcW w:type="dxa" w:w="3024"/>
          </w:tcPr>
          <w:p>
            <w:r/>
            <w:r>
              <w:rPr>
                <w:sz w:val="20"/>
              </w:rPr>
              <w:t>Staff only see what they are allowed to see in the shop system</w:t>
            </w:r>
          </w:p>
        </w:tc>
      </w:tr>
      <w:tr>
        <w:tc>
          <w:tcPr>
            <w:tcW w:type="dxa" w:w="2448"/>
          </w:tcPr>
          <w:p>
            <w:r/>
            <w:r>
              <w:rPr>
                <w:sz w:val="20"/>
              </w:rPr>
              <w:t>Agent author authentication</w:t>
            </w:r>
          </w:p>
        </w:tc>
        <w:tc>
          <w:tcPr>
            <w:tcW w:type="dxa" w:w="4176"/>
          </w:tcPr>
          <w:p>
            <w:r/>
            <w:r>
              <w:rPr>
                <w:sz w:val="20"/>
              </w:rPr>
              <w:t>The agent acts as one service identity</w:t>
            </w:r>
          </w:p>
        </w:tc>
        <w:tc>
          <w:tcPr>
            <w:tcW w:type="dxa" w:w="3024"/>
          </w:tcPr>
          <w:p>
            <w:r/>
            <w:r>
              <w:rPr>
                <w:sz w:val="20"/>
              </w:rPr>
              <w:t>A read-only service identity for order lookups</w:t>
            </w:r>
          </w:p>
        </w:tc>
      </w:tr>
    </w:tbl>
    <w:p/>
    <w:p>
      <w:pPr>
        <w:pStyle w:val="Heading1"/>
      </w:pPr>
      <w:r>
        <w:t>4. Inspect and shrink the tool catalog</w:t>
      </w:r>
    </w:p>
    <w:p>
      <w:r>
        <w:t>☐  Expand the list and read each server-supplied description aloud.</w:t>
      </w:r>
    </w:p>
    <w:p>
      <w:r>
        <w:t>☐  Write down every tool name in the Tool Selection and Description Worksheet.</w:t>
      </w:r>
    </w:p>
    <w:p>
      <w:r>
        <w:t>☐  Disable everything except the two or three tools the agent needs (Paul keeps three).</w:t>
      </w:r>
    </w:p>
    <w:p>
      <w:r>
        <w:t>☐  Check that the remaining tools do not overlap.</w:t>
      </w:r>
    </w:p>
    <w:p>
      <w:pPr>
        <w:pStyle w:val="Heading1"/>
      </w:pPr>
      <w:r>
        <w:t>5. Instruct the agent</w:t>
      </w:r>
    </w:p>
    <w:p>
      <w:r>
        <w:rPr>
          <w:b w:val="0"/>
          <w:i w:val="0"/>
        </w:rPr>
        <w:t>Add explicit routing guidance to the agent instructions:</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When a customer or colleague asks about the status, shipping or contents of an order, use the order lookup tool. Never guess an order status. If the tool returns no result, say so and offer to pass the question to Jamie.</w:t>
            </w:r>
          </w:p>
        </w:tc>
      </w:tr>
    </w:tbl>
    <w:p/>
    <w:p>
      <w:pPr>
        <w:pStyle w:val="Heading1"/>
      </w:pPr>
      <w:r>
        <w:t>6. Test in the Test panel</w:t>
      </w:r>
    </w:p>
    <w:p>
      <w:r>
        <w:t>☐  Ask: "What's the status of order PS-1042?"</w:t>
      </w:r>
    </w:p>
    <w:p>
      <w:r>
        <w:t>☐  Open the activity map / tool-call trace: which tool was selected, which parameters were inferred, what the raw response was, how it was summarized.</w:t>
      </w:r>
    </w:p>
    <w:p>
      <w:r>
        <w:t>☐  Ask an ambiguous question to see a wrong tool call, then fix it by tightening the instruction and the tool scope.</w:t>
      </w:r>
    </w:p>
    <w:p>
      <w:r>
        <w:t>☐  Ask about an order that does not exist: the agent says there is no result and offers to pass it to Jamie.</w:t>
      </w:r>
    </w:p>
    <w:p>
      <w:pPr>
        <w:pStyle w:val="Heading1"/>
      </w:pPr>
      <w:r>
        <w:t>7. Write actions</w:t>
      </w:r>
    </w:p>
    <w:p>
      <w:r>
        <w:t>☐  Enable a ticket-creation tool only if the use case needs it.</w:t>
      </w:r>
    </w:p>
    <w:p>
      <w:r>
        <w:t>☐  Add a confirmation step: the agent asks "Shall I raise a support ticket for this order?" before writing to a live system.</w:t>
      </w:r>
    </w:p>
    <w:p>
      <w:pPr>
        <w:pStyle w:val="Heading1"/>
      </w:pPr>
      <w:r>
        <w:t>8. Governance pass</w:t>
      </w:r>
    </w:p>
    <w:p>
      <w:r>
        <w:t>☐  Check the connection in the Power Platform admin center.</w:t>
      </w:r>
    </w:p>
    <w:p>
      <w:r>
        <w:t>☐  Confirm the data-loss-prevention policy covers it.</w:t>
      </w:r>
    </w:p>
    <w:p>
      <w:r>
        <w:t>☐  Pilot in the Dev environment before anything touches production.</w:t>
      </w:r>
    </w:p>
    <w:p>
      <w:r>
        <w:t>☐  Record an owner for the connection.</w:t>
      </w:r>
    </w:p>
    <w:p>
      <w:r>
        <w:t>☐  Re-point any connection to a service account when promoting between environments.</w:t>
      </w:r>
    </w:p>
    <w:p>
      <w:pPr>
        <w:pStyle w:val="Heading1"/>
      </w:pPr>
      <w:r>
        <w:t>9. Sign-off</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3A5F"/>
          </w:tcPr>
          <w:p>
            <w:r/>
            <w:r>
              <w:rPr>
                <w:b/>
                <w:color w:val="FFFFFF"/>
                <w:sz w:val="20"/>
              </w:rPr>
              <w:t>Item</w:t>
            </w:r>
          </w:p>
        </w:tc>
        <w:tc>
          <w:tcPr>
            <w:tcW w:type="dxa" w:w="6480"/>
            <w:shd w:val="clear" w:color="auto" w:fill="1F3A5F"/>
          </w:tcPr>
          <w:p>
            <w:r/>
            <w:r>
              <w:rPr>
                <w:b/>
                <w:color w:val="FFFFFF"/>
                <w:sz w:val="20"/>
              </w:rPr>
              <w:t>Answer</w:t>
            </w:r>
          </w:p>
        </w:tc>
      </w:tr>
      <w:tr>
        <w:tc>
          <w:tcPr>
            <w:tcW w:type="dxa" w:w="3168"/>
          </w:tcPr>
          <w:p>
            <w:r/>
            <w:r>
              <w:rPr>
                <w:sz w:val="20"/>
              </w:rPr>
              <w:t>Environment</w:t>
            </w:r>
          </w:p>
        </w:tc>
        <w:tc>
          <w:tcPr>
            <w:tcW w:type="dxa" w:w="6480"/>
          </w:tcPr>
          <w:p>
            <w:r/>
            <w:r>
              <w:rPr>
                <w:sz w:val="20"/>
              </w:rPr>
            </w:r>
          </w:p>
        </w:tc>
      </w:tr>
      <w:tr>
        <w:tc>
          <w:tcPr>
            <w:tcW w:type="dxa" w:w="3168"/>
          </w:tcPr>
          <w:p>
            <w:r/>
            <w:r>
              <w:rPr>
                <w:sz w:val="20"/>
              </w:rPr>
              <w:t>Server name / endpoint</w:t>
            </w:r>
          </w:p>
        </w:tc>
        <w:tc>
          <w:tcPr>
            <w:tcW w:type="dxa" w:w="6480"/>
          </w:tcPr>
          <w:p>
            <w:r/>
            <w:r>
              <w:rPr>
                <w:sz w:val="20"/>
              </w:rPr>
              <w:t>&lt;paste the MCP server endpoint URL here&gt;</w:t>
            </w:r>
          </w:p>
        </w:tc>
      </w:tr>
      <w:tr>
        <w:tc>
          <w:tcPr>
            <w:tcW w:type="dxa" w:w="3168"/>
          </w:tcPr>
          <w:p>
            <w:r/>
            <w:r>
              <w:rPr>
                <w:sz w:val="20"/>
              </w:rPr>
              <w:t>Authentication mode</w:t>
            </w:r>
          </w:p>
        </w:tc>
        <w:tc>
          <w:tcPr>
            <w:tcW w:type="dxa" w:w="6480"/>
          </w:tcPr>
          <w:p>
            <w:r/>
            <w:r>
              <w:rPr>
                <w:sz w:val="20"/>
              </w:rPr>
            </w:r>
          </w:p>
        </w:tc>
      </w:tr>
      <w:tr>
        <w:tc>
          <w:tcPr>
            <w:tcW w:type="dxa" w:w="3168"/>
          </w:tcPr>
          <w:p>
            <w:r/>
            <w:r>
              <w:rPr>
                <w:sz w:val="20"/>
              </w:rPr>
              <w:t>Tools enabled</w:t>
            </w:r>
          </w:p>
        </w:tc>
        <w:tc>
          <w:tcPr>
            <w:tcW w:type="dxa" w:w="6480"/>
          </w:tcPr>
          <w:p>
            <w:r/>
            <w:r>
              <w:rPr>
                <w:sz w:val="20"/>
              </w:rPr>
            </w:r>
          </w:p>
        </w:tc>
      </w:tr>
      <w:tr>
        <w:tc>
          <w:tcPr>
            <w:tcW w:type="dxa" w:w="3168"/>
          </w:tcPr>
          <w:p>
            <w:r/>
            <w:r>
              <w:rPr>
                <w:sz w:val="20"/>
              </w:rPr>
              <w:t>Owner</w:t>
            </w:r>
          </w:p>
        </w:tc>
        <w:tc>
          <w:tcPr>
            <w:tcW w:type="dxa" w:w="6480"/>
          </w:tcPr>
          <w:p>
            <w:r/>
            <w:r>
              <w:rPr>
                <w:sz w:val="20"/>
              </w:rPr>
            </w:r>
          </w:p>
        </w:tc>
      </w:tr>
      <w:tr>
        <w:tc>
          <w:tcPr>
            <w:tcW w:type="dxa" w:w="3168"/>
          </w:tcPr>
          <w:p>
            <w:r/>
            <w:r>
              <w:rPr>
                <w:sz w:val="20"/>
              </w:rPr>
              <w:t>Date tested</w:t>
            </w:r>
          </w:p>
        </w:tc>
        <w:tc>
          <w:tcPr>
            <w:tcW w:type="dxa" w:w="6480"/>
          </w:tcPr>
          <w:p>
            <w:r/>
            <w:r>
              <w:rPr>
                <w:sz w:val="20"/>
              </w:rPr>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