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4"/>
        </w:rPr>
        <w:t>Agent Governance Record Template</w:t>
      </w:r>
    </w:p>
    <w:p>
      <w:r>
        <w:rPr>
          <w:color w:val="595959"/>
          <w:sz w:val="19"/>
        </w:rPr>
        <w:t>Pashun Sports T-Shirts · Microsoft Copilot Studio: The Complete Guide (2026) · Lecture 24</w:t>
      </w:r>
    </w:p>
    <w:p>
      <w:r>
        <w:rPr>
          <w:i/>
        </w:rPr>
        <w:t>One record per agent. Keep it next to the agent in the solution so decisions survive a staff change.</w:t>
      </w:r>
    </w:p>
    <w:p>
      <w:pPr>
        <w:pStyle w:val="Heading1"/>
      </w:pPr>
      <w:r>
        <w:t>1. Worked example: Customer Service 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59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720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Entry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Agent name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  <w:t>Pashun Sports Customer Service Agent (Teams display name: Pashun Customer Service)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Purpose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  <w:t>Answers returns, exchanges, sizing and delivery questions for customers; cannot approve refunds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Owner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  <w:t>Jamie Jordan, Project Manager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Admin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  <w:t>Paul Ashun, Founder &amp; Director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Business approver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  <w:t>Morgan Reyes, Head of Finance (refund rule)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Environments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  <w:t>PashunSports-CustomerService-DEV (Sandbox), -UAT (Sandbox), -PROD (Production, Managed)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Solution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  <w:t>Pashun Sports Customer Service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Channels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  <w:t>Microsoft 365 and Microsoft Teams (pilot group Pashun-CS-Pilot, then PashunSports-CS-AgentUsers)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Authentication and sharing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  <w:t>Authenticate with Microsoft; shared with security groups only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Knowledge sources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  <w:t>Customer Policies library: returns policy, sizing FAQ, delivery timescales. Citations on.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Tools, flows, connections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  <w:t>Log Return Request flow; Post Return Request To Teams flow; SharePoint and Outlook connections (users sign in with their own credentials)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Sensitive topics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  <w:t>Wholesale prices, unit cost, margins, supplier terms, other customers' data, refund promises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Escalation route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  <w:t>Escalate system topic posts the conversation summary to the Customer Care Teams channel. User told: "I've passed this to Jamie — someone will reply within one working day."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Four disclosures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  <w:t>Identity, scope, sourcing and handover are in the Conversation Start message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Known limitations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  <w:t>Answers only from approved documents. Cannot process refunds, change orders or see another customer's data. US delivery only.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Credit forecast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  <w:t>About 3,750 credits a month with 30% contingency (see Copilot-Credit-Cost-Estimator.xlsx)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Review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  <w:t>Monthly. Owner: Jamie Jordan. Next review Nov 30, 2026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Retirement rule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  <w:t>Zero conversations for 60 days: review and re-promote or retire</w:t>
            </w:r>
          </w:p>
        </w:tc>
      </w:tr>
    </w:tbl>
    <w:p/>
    <w:p>
      <w:pPr>
        <w:pStyle w:val="Heading2"/>
      </w:pPr>
      <w:r>
        <w:t>Change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58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489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Change</w:t>
            </w:r>
          </w:p>
        </w:tc>
        <w:tc>
          <w:tcPr>
            <w:tcW w:type="dxa" w:w="158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By</w:t>
            </w:r>
          </w:p>
        </w:tc>
        <w:tc>
          <w:tcPr>
            <w:tcW w:type="dxa" w:w="172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Approved by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20"/>
              </w:rPr>
              <w:t>Oct 15, 2026</w:t>
            </w:r>
          </w:p>
        </w:tc>
        <w:tc>
          <w:tcPr>
            <w:tcW w:type="dxa" w:w="4896"/>
          </w:tcPr>
          <w:p>
            <w:r/>
            <w:r>
              <w:rPr>
                <w:sz w:val="20"/>
              </w:rPr>
              <w:t>Added grounding rule, sensitive-topic rule and four-disclosure greeting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Paul Ashun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Jamie Jordan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489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</w:r>
          </w:p>
        </w:tc>
      </w:tr>
    </w:tbl>
    <w:p/>
    <w:p>
      <w:pPr>
        <w:pStyle w:val="Heading1"/>
      </w:pPr>
      <w:r>
        <w:t>2. Blank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59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720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Entry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Agent name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Purpose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Owner (named)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Admin (named)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Business approver (named)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Environments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Solution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Channels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Authentication and sharing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Knowledge sources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Tools, flows, connections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Sensitive topics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Escalation route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Four disclosures (where)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Known limitations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Credit forecast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Review (frequency, owner, next date)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Retirement rule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Change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58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489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Change</w:t>
            </w:r>
          </w:p>
        </w:tc>
        <w:tc>
          <w:tcPr>
            <w:tcW w:type="dxa" w:w="158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By</w:t>
            </w:r>
          </w:p>
        </w:tc>
        <w:tc>
          <w:tcPr>
            <w:tcW w:type="dxa" w:w="172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Approved by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489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489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</w:r>
          </w:p>
        </w:tc>
      </w:tr>
    </w:tbl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