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PolicySiteUrl Environment Variable Note</w:t>
      </w:r>
    </w:p>
    <w:p>
      <w:r>
        <w:rPr>
          <w:color w:val="595959"/>
          <w:sz w:val="19"/>
        </w:rPr>
        <w:t>Pashun Sports T-Shirts · Microsoft Copilot Studio: The Complete Guide (2026) · Lecture 24</w:t>
      </w:r>
    </w:p>
    <w:p>
      <w:r>
        <w:rPr>
          <w:i/>
        </w:rPr>
        <w:t>One solution, three environments, zero rebuilding: the same agent reads different data in UAT and Production.</w:t>
      </w:r>
    </w:p>
    <w:p>
      <w:pPr>
        <w:pStyle w:val="Heading1"/>
      </w:pPr>
      <w:r>
        <w:t>Why</w:t>
      </w:r>
    </w:p>
    <w:p>
      <w:r>
        <w:rPr>
          <w:b w:val="0"/>
          <w:i w:val="0"/>
        </w:rPr>
        <w:t>The Customer Service Agent reads policy documents from a SharePoint site. If that URL is typed into the agent, every environment points to the same live site. An environment variable stores the URL outside the agent so each environment supplies its own value when you import the solution.</w:t>
      </w:r>
    </w:p>
    <w:p>
      <w:pPr>
        <w:pStyle w:val="Heading1"/>
      </w:pPr>
      <w:r>
        <w:t>Values</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1F3A5F"/>
          </w:tcPr>
          <w:p>
            <w:r/>
            <w:r>
              <w:rPr>
                <w:b/>
                <w:color w:val="FFFFFF"/>
                <w:sz w:val="20"/>
              </w:rPr>
              <w:t>Environment</w:t>
            </w:r>
          </w:p>
        </w:tc>
        <w:tc>
          <w:tcPr>
            <w:tcW w:type="dxa" w:w="6048"/>
            <w:shd w:val="clear" w:color="auto" w:fill="1F3A5F"/>
          </w:tcPr>
          <w:p>
            <w:r/>
            <w:r>
              <w:rPr>
                <w:b/>
                <w:color w:val="FFFFFF"/>
                <w:sz w:val="20"/>
              </w:rPr>
              <w:t>PolicySiteUrl value</w:t>
            </w:r>
          </w:p>
        </w:tc>
      </w:tr>
      <w:tr>
        <w:tc>
          <w:tcPr>
            <w:tcW w:type="dxa" w:w="3744"/>
          </w:tcPr>
          <w:p>
            <w:r/>
            <w:r>
              <w:rPr>
                <w:sz w:val="20"/>
              </w:rPr>
              <w:t>PashunSports-CustomerService-DEV</w:t>
            </w:r>
          </w:p>
        </w:tc>
        <w:tc>
          <w:tcPr>
            <w:tcW w:type="dxa" w:w="6048"/>
          </w:tcPr>
          <w:p>
            <w:r/>
            <w:r>
              <w:rPr>
                <w:sz w:val="20"/>
              </w:rPr>
              <w:t>https://pashunsports.sharepoint.com/sites/PashunSports (development copy of the library)</w:t>
            </w:r>
          </w:p>
        </w:tc>
      </w:tr>
      <w:tr>
        <w:tc>
          <w:tcPr>
            <w:tcW w:type="dxa" w:w="3744"/>
          </w:tcPr>
          <w:p>
            <w:r/>
            <w:r>
              <w:rPr>
                <w:sz w:val="20"/>
              </w:rPr>
              <w:t>PashunSports-CustomerService-UAT</w:t>
            </w:r>
          </w:p>
        </w:tc>
        <w:tc>
          <w:tcPr>
            <w:tcW w:type="dxa" w:w="6048"/>
          </w:tcPr>
          <w:p>
            <w:r/>
            <w:r>
              <w:rPr>
                <w:sz w:val="20"/>
              </w:rPr>
              <w:t>https://pashunsports.sharepoint.com/sites/PashunSportsTest (test site with sample documents)</w:t>
            </w:r>
          </w:p>
        </w:tc>
      </w:tr>
      <w:tr>
        <w:tc>
          <w:tcPr>
            <w:tcW w:type="dxa" w:w="3744"/>
          </w:tcPr>
          <w:p>
            <w:r/>
            <w:r>
              <w:rPr>
                <w:sz w:val="20"/>
              </w:rPr>
              <w:t>PashunSports-CustomerService-PROD</w:t>
            </w:r>
          </w:p>
        </w:tc>
        <w:tc>
          <w:tcPr>
            <w:tcW w:type="dxa" w:w="6048"/>
          </w:tcPr>
          <w:p>
            <w:r/>
            <w:r>
              <w:rPr>
                <w:sz w:val="20"/>
              </w:rPr>
              <w:t>https://pashunsports.sharepoint.com/sites/PashunSports (live site, library Customer Policies)</w:t>
            </w:r>
          </w:p>
        </w:tc>
      </w:tr>
    </w:tbl>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Note  </w:t>
            </w:r>
            <w:r>
              <w:t>The UAT test site address is a training example for the course. Use the address of your own test site.</w:t>
            </w:r>
          </w:p>
        </w:tc>
      </w:tr>
    </w:tbl>
    <w:p/>
    <w:p>
      <w:pPr>
        <w:pStyle w:val="Heading1"/>
      </w:pPr>
      <w:r>
        <w:t>Steps (as shown in the demo)</w:t>
      </w:r>
    </w:p>
    <w:p>
      <w:pPr>
        <w:pStyle w:val="ListNumber"/>
      </w:pPr>
      <w:r>
        <w:t>In Copilot Studio, add the Customer Service Agent to a solution called Pashun Sports Customer Service.</w:t>
      </w:r>
    </w:p>
    <w:p>
      <w:pPr>
        <w:pStyle w:val="ListNumber"/>
      </w:pPr>
      <w:r>
        <w:t>Find the place where the SharePoint policy site URL is hard-coded (the knowledge source).</w:t>
      </w:r>
    </w:p>
    <w:p>
      <w:pPr>
        <w:pStyle w:val="ListNumber"/>
      </w:pPr>
      <w:r>
        <w:t>Create an environment variable named PolicySiteUrl (type: text) and set its default value to the live site URL.</w:t>
      </w:r>
    </w:p>
    <w:p>
      <w:pPr>
        <w:pStyle w:val="ListNumber"/>
      </w:pPr>
      <w:r>
        <w:t>Point the knowledge source at the environment variable instead of the typed URL.</w:t>
      </w:r>
    </w:p>
    <w:p>
      <w:pPr>
        <w:pStyle w:val="ListNumber"/>
      </w:pPr>
      <w:r>
        <w:t>Export the solution as managed.</w:t>
      </w:r>
    </w:p>
    <w:p>
      <w:pPr>
        <w:pStyle w:val="ListNumber"/>
      </w:pPr>
      <w:r>
        <w:t>Import it into UAT. When asked, supply the UAT value for PolicySiteUrl.</w:t>
      </w:r>
    </w:p>
    <w:p>
      <w:pPr>
        <w:pStyle w:val="ListNumber"/>
      </w:pPr>
      <w:r>
        <w:t>Ask the same question in UAT and in PROD and confirm each answer comes from its own site.</w:t>
      </w:r>
    </w:p>
    <w:p>
      <w:pPr>
        <w:pStyle w:val="ListNumber"/>
      </w:pPr>
      <w:r>
        <w:t>Add a blocked connector in UAT to show the DLP policy firing and the clear message the maker receives.</w:t>
      </w:r>
    </w:p>
    <w:p>
      <w:pPr>
        <w:pStyle w:val="Heading1"/>
      </w:pPr>
      <w:r>
        <w:t>Checklist</w:t>
      </w:r>
    </w:p>
    <w:p>
      <w:r>
        <w:t>☐  Variable name is exactly PolicySiteUrl.</w:t>
      </w:r>
    </w:p>
    <w:p>
      <w:r>
        <w:t>☐  Solution exported as managed.</w:t>
      </w:r>
    </w:p>
    <w:p>
      <w:r>
        <w:t>☐  UAT value supplied at import.</w:t>
      </w:r>
    </w:p>
    <w:p>
      <w:r>
        <w:t>☐  PROD value checked before publishing.</w:t>
      </w:r>
    </w:p>
    <w:p>
      <w:r>
        <w:t>☐  Connection references re-pointed to the target environment.</w:t>
      </w:r>
    </w:p>
    <w:p>
      <w:r>
        <w:t>☐  Variable value noted in the Agent Governance Record.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