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Responsible AI Review Checklist</w:t>
      </w:r>
    </w:p>
    <w:p>
      <w:r>
        <w:rPr>
          <w:color w:val="595959"/>
          <w:sz w:val="19"/>
        </w:rPr>
        <w:t>Pashun Sports T-Shirts · Microsoft Copilot Studio: The Complete Guide (2026) · Lecture 24</w:t>
      </w:r>
    </w:p>
    <w:p>
      <w:r>
        <w:rPr>
          <w:i/>
        </w:rPr>
        <w:t>Turn principles into settings, wording and workflow. Complete one per agent and carry it into monitoring.</w:t>
      </w:r>
    </w:p>
    <w:p>
      <w:pPr>
        <w:pStyle w:val="Heading1"/>
      </w:pPr>
      <w:r>
        <w:t>1. Principles mapped to Copilot Studio</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val="clear" w:color="auto" w:fill="1F3A5F"/>
          </w:tcPr>
          <w:p>
            <w:r/>
            <w:r>
              <w:rPr>
                <w:b/>
                <w:color w:val="FFFFFF"/>
                <w:sz w:val="18"/>
              </w:rPr>
              <w:t>Principle</w:t>
            </w:r>
          </w:p>
        </w:tc>
        <w:tc>
          <w:tcPr>
            <w:tcW w:type="dxa" w:w="2448"/>
            <w:shd w:val="clear" w:color="auto" w:fill="1F3A5F"/>
          </w:tcPr>
          <w:p>
            <w:r/>
            <w:r>
              <w:rPr>
                <w:b/>
                <w:color w:val="FFFFFF"/>
                <w:sz w:val="18"/>
              </w:rPr>
              <w:t>What it means</w:t>
            </w:r>
          </w:p>
        </w:tc>
        <w:tc>
          <w:tcPr>
            <w:tcW w:type="dxa" w:w="2448"/>
            <w:shd w:val="clear" w:color="auto" w:fill="1F3A5F"/>
          </w:tcPr>
          <w:p>
            <w:r/>
            <w:r>
              <w:rPr>
                <w:b/>
                <w:color w:val="FFFFFF"/>
                <w:sz w:val="18"/>
              </w:rPr>
              <w:t>Where you implement it</w:t>
            </w:r>
          </w:p>
        </w:tc>
        <w:tc>
          <w:tcPr>
            <w:tcW w:type="dxa" w:w="2736"/>
            <w:shd w:val="clear" w:color="auto" w:fill="1F3A5F"/>
          </w:tcPr>
          <w:p>
            <w:r/>
            <w:r>
              <w:rPr>
                <w:b/>
                <w:color w:val="FFFFFF"/>
                <w:sz w:val="18"/>
              </w:rPr>
              <w:t>Pashun Sports check</w:t>
            </w:r>
          </w:p>
        </w:tc>
        <w:tc>
          <w:tcPr>
            <w:tcW w:type="dxa" w:w="576"/>
            <w:shd w:val="clear" w:color="auto" w:fill="1F3A5F"/>
          </w:tcPr>
          <w:p>
            <w:r/>
            <w:r>
              <w:rPr>
                <w:b/>
                <w:color w:val="FFFFFF"/>
                <w:sz w:val="18"/>
              </w:rPr>
              <w:t>Done</w:t>
            </w:r>
          </w:p>
        </w:tc>
      </w:tr>
      <w:tr>
        <w:tc>
          <w:tcPr>
            <w:tcW w:type="dxa" w:w="1584"/>
          </w:tcPr>
          <w:p>
            <w:r/>
            <w:r>
              <w:rPr>
                <w:sz w:val="18"/>
              </w:rPr>
              <w:t>Transparency</w:t>
            </w:r>
          </w:p>
        </w:tc>
        <w:tc>
          <w:tcPr>
            <w:tcW w:type="dxa" w:w="2448"/>
          </w:tcPr>
          <w:p>
            <w:r/>
            <w:r>
              <w:rPr>
                <w:sz w:val="18"/>
              </w:rPr>
              <w:t>User knows it is an AI agent, who owns it and what it does</w:t>
            </w:r>
          </w:p>
        </w:tc>
        <w:tc>
          <w:tcPr>
            <w:tcW w:type="dxa" w:w="2448"/>
          </w:tcPr>
          <w:p>
            <w:r/>
            <w:r>
              <w:rPr>
                <w:sz w:val="18"/>
              </w:rPr>
              <w:t>Conversation start message, agent description, in-conversation disclosure</w:t>
            </w:r>
          </w:p>
        </w:tc>
        <w:tc>
          <w:tcPr>
            <w:tcW w:type="dxa" w:w="2736"/>
          </w:tcPr>
          <w:p>
            <w:r/>
            <w:r>
              <w:rPr>
                <w:sz w:val="18"/>
              </w:rPr>
              <w:t>Greeting uses all four disclosures</w:t>
            </w:r>
          </w:p>
        </w:tc>
        <w:tc>
          <w:tcPr>
            <w:tcW w:type="dxa" w:w="576"/>
          </w:tcPr>
          <w:p>
            <w:r/>
            <w:r>
              <w:rPr>
                <w:sz w:val="18"/>
              </w:rPr>
              <w:t>☐</w:t>
            </w:r>
          </w:p>
        </w:tc>
      </w:tr>
      <w:tr>
        <w:tc>
          <w:tcPr>
            <w:tcW w:type="dxa" w:w="1584"/>
          </w:tcPr>
          <w:p>
            <w:r/>
            <w:r>
              <w:rPr>
                <w:sz w:val="18"/>
              </w:rPr>
              <w:t>Accountability</w:t>
            </w:r>
          </w:p>
        </w:tc>
        <w:tc>
          <w:tcPr>
            <w:tcW w:type="dxa" w:w="2448"/>
          </w:tcPr>
          <w:p>
            <w:r/>
            <w:r>
              <w:rPr>
                <w:sz w:val="18"/>
              </w:rPr>
              <w:t>Every agent has a named human owner and documented purpose</w:t>
            </w:r>
          </w:p>
        </w:tc>
        <w:tc>
          <w:tcPr>
            <w:tcW w:type="dxa" w:w="2448"/>
          </w:tcPr>
          <w:p>
            <w:r/>
            <w:r>
              <w:rPr>
                <w:sz w:val="18"/>
              </w:rPr>
              <w:t>Agent description, agent register, environment ownership</w:t>
            </w:r>
          </w:p>
        </w:tc>
        <w:tc>
          <w:tcPr>
            <w:tcW w:type="dxa" w:w="2736"/>
          </w:tcPr>
          <w:p>
            <w:r/>
            <w:r>
              <w:rPr>
                <w:sz w:val="18"/>
              </w:rPr>
              <w:t>Jamie Jordan named as owner in the register</w:t>
            </w:r>
          </w:p>
        </w:tc>
        <w:tc>
          <w:tcPr>
            <w:tcW w:type="dxa" w:w="576"/>
          </w:tcPr>
          <w:p>
            <w:r/>
            <w:r>
              <w:rPr>
                <w:sz w:val="18"/>
              </w:rPr>
              <w:t>☐</w:t>
            </w:r>
          </w:p>
        </w:tc>
      </w:tr>
      <w:tr>
        <w:tc>
          <w:tcPr>
            <w:tcW w:type="dxa" w:w="1584"/>
          </w:tcPr>
          <w:p>
            <w:r/>
            <w:r>
              <w:rPr>
                <w:sz w:val="18"/>
              </w:rPr>
              <w:t>Reliability and safety</w:t>
            </w:r>
          </w:p>
        </w:tc>
        <w:tc>
          <w:tcPr>
            <w:tcW w:type="dxa" w:w="2448"/>
          </w:tcPr>
          <w:p>
            <w:r/>
            <w:r>
              <w:rPr>
                <w:sz w:val="18"/>
              </w:rPr>
              <w:t>Answers from approved sources and admits when it does not know</w:t>
            </w:r>
          </w:p>
        </w:tc>
        <w:tc>
          <w:tcPr>
            <w:tcW w:type="dxa" w:w="2448"/>
          </w:tcPr>
          <w:p>
            <w:r/>
            <w:r>
              <w:rPr>
                <w:sz w:val="18"/>
              </w:rPr>
              <w:t>Generative AI settings, knowledge scoping, "do not guess" rule</w:t>
            </w:r>
          </w:p>
        </w:tc>
        <w:tc>
          <w:tcPr>
            <w:tcW w:type="dxa" w:w="2736"/>
          </w:tcPr>
          <w:p>
            <w:r/>
            <w:r>
              <w:rPr>
                <w:sz w:val="18"/>
              </w:rPr>
              <w:t>Grounding rule added; knowledge limited to Customer Policies; citations on</w:t>
            </w:r>
          </w:p>
        </w:tc>
        <w:tc>
          <w:tcPr>
            <w:tcW w:type="dxa" w:w="576"/>
          </w:tcPr>
          <w:p>
            <w:r/>
            <w:r>
              <w:rPr>
                <w:sz w:val="18"/>
              </w:rPr>
              <w:t>☐</w:t>
            </w:r>
          </w:p>
        </w:tc>
      </w:tr>
      <w:tr>
        <w:tc>
          <w:tcPr>
            <w:tcW w:type="dxa" w:w="1584"/>
          </w:tcPr>
          <w:p>
            <w:r/>
            <w:r>
              <w:rPr>
                <w:sz w:val="18"/>
              </w:rPr>
              <w:t>Privacy and security</w:t>
            </w:r>
          </w:p>
        </w:tc>
        <w:tc>
          <w:tcPr>
            <w:tcW w:type="dxa" w:w="2448"/>
          </w:tcPr>
          <w:p>
            <w:r/>
            <w:r>
              <w:rPr>
                <w:sz w:val="18"/>
              </w:rPr>
              <w:t>Collects no more personal data than needed; does not echo sensitive data into unprotected channels</w:t>
            </w:r>
          </w:p>
        </w:tc>
        <w:tc>
          <w:tcPr>
            <w:tcW w:type="dxa" w:w="2448"/>
          </w:tcPr>
          <w:p>
            <w:r/>
            <w:r>
              <w:rPr>
                <w:sz w:val="18"/>
              </w:rPr>
              <w:t>Entity design, variable handling, DLP at environment level</w:t>
            </w:r>
          </w:p>
        </w:tc>
        <w:tc>
          <w:tcPr>
            <w:tcW w:type="dxa" w:w="2736"/>
          </w:tcPr>
          <w:p>
            <w:r/>
            <w:r>
              <w:rPr>
                <w:sz w:val="18"/>
              </w:rPr>
              <w:t>Only order number asked; DLP policy Pashun Sports — Core Business Data applied</w:t>
            </w:r>
          </w:p>
        </w:tc>
        <w:tc>
          <w:tcPr>
            <w:tcW w:type="dxa" w:w="576"/>
          </w:tcPr>
          <w:p>
            <w:r/>
            <w:r>
              <w:rPr>
                <w:sz w:val="18"/>
              </w:rPr>
              <w:t>☐</w:t>
            </w:r>
          </w:p>
        </w:tc>
      </w:tr>
      <w:tr>
        <w:tc>
          <w:tcPr>
            <w:tcW w:type="dxa" w:w="1584"/>
          </w:tcPr>
          <w:p>
            <w:r/>
            <w:r>
              <w:rPr>
                <w:sz w:val="18"/>
              </w:rPr>
              <w:t>Fairness and inclusiveness</w:t>
            </w:r>
          </w:p>
        </w:tc>
        <w:tc>
          <w:tcPr>
            <w:tcW w:type="dxa" w:w="2448"/>
          </w:tcPr>
          <w:p>
            <w:r/>
            <w:r>
              <w:rPr>
                <w:sz w:val="18"/>
              </w:rPr>
              <w:t>Tested with varied phrasing, non-native English, edge-case users</w:t>
            </w:r>
          </w:p>
        </w:tc>
        <w:tc>
          <w:tcPr>
            <w:tcW w:type="dxa" w:w="2448"/>
          </w:tcPr>
          <w:p>
            <w:r/>
            <w:r>
              <w:rPr>
                <w:sz w:val="18"/>
              </w:rPr>
              <w:t>Test panel with varied prompts</w:t>
            </w:r>
          </w:p>
        </w:tc>
        <w:tc>
          <w:tcPr>
            <w:tcW w:type="dxa" w:w="2736"/>
          </w:tcPr>
          <w:p>
            <w:r/>
            <w:r>
              <w:rPr>
                <w:sz w:val="18"/>
              </w:rPr>
              <w:t>Adversarial Test Prompt Set run; misspelled and non-native phrasing pass</w:t>
            </w:r>
          </w:p>
        </w:tc>
        <w:tc>
          <w:tcPr>
            <w:tcW w:type="dxa" w:w="576"/>
          </w:tcPr>
          <w:p>
            <w:r/>
            <w:r>
              <w:rPr>
                <w:sz w:val="18"/>
              </w:rPr>
              <w:t>☐</w:t>
            </w:r>
          </w:p>
        </w:tc>
      </w:tr>
      <w:tr>
        <w:tc>
          <w:tcPr>
            <w:tcW w:type="dxa" w:w="1584"/>
          </w:tcPr>
          <w:p>
            <w:r/>
            <w:r>
              <w:rPr>
                <w:sz w:val="18"/>
              </w:rPr>
              <w:t>Human oversight</w:t>
            </w:r>
          </w:p>
        </w:tc>
        <w:tc>
          <w:tcPr>
            <w:tcW w:type="dxa" w:w="2448"/>
          </w:tcPr>
          <w:p>
            <w:r/>
            <w:r>
              <w:rPr>
                <w:sz w:val="18"/>
              </w:rPr>
              <w:t>Always-available escape route to a person</w:t>
            </w:r>
          </w:p>
        </w:tc>
        <w:tc>
          <w:tcPr>
            <w:tcW w:type="dxa" w:w="2448"/>
          </w:tcPr>
          <w:p>
            <w:r/>
            <w:r>
              <w:rPr>
                <w:sz w:val="18"/>
              </w:rPr>
              <w:t>Escalate system topic that goes somewhere real</w:t>
            </w:r>
          </w:p>
        </w:tc>
        <w:tc>
          <w:tcPr>
            <w:tcW w:type="dxa" w:w="2736"/>
          </w:tcPr>
          <w:p>
            <w:r/>
            <w:r>
              <w:rPr>
                <w:sz w:val="18"/>
              </w:rPr>
              <w:t>Escalate posts to the Customer Care Teams channel; user told "someone will reply within one working day"</w:t>
            </w:r>
          </w:p>
        </w:tc>
        <w:tc>
          <w:tcPr>
            <w:tcW w:type="dxa" w:w="576"/>
          </w:tcPr>
          <w:p>
            <w:r/>
            <w:r>
              <w:rPr>
                <w:sz w:val="18"/>
              </w:rPr>
              <w:t>☐</w:t>
            </w:r>
          </w:p>
        </w:tc>
      </w:tr>
    </w:tbl>
    <w:p/>
    <w:p>
      <w:pPr>
        <w:pStyle w:val="Heading1"/>
      </w:pPr>
      <w:r>
        <w:t>2. Record it: worked example</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1F3A5F"/>
          </w:tcPr>
          <w:p>
            <w:r/>
            <w:r>
              <w:rPr>
                <w:b/>
                <w:color w:val="FFFFFF"/>
                <w:sz w:val="20"/>
              </w:rPr>
              <w:t>Field</w:t>
            </w:r>
          </w:p>
        </w:tc>
        <w:tc>
          <w:tcPr>
            <w:tcW w:type="dxa" w:w="7488"/>
            <w:shd w:val="clear" w:color="auto" w:fill="1F3A5F"/>
          </w:tcPr>
          <w:p>
            <w:r/>
            <w:r>
              <w:rPr>
                <w:b/>
                <w:color w:val="FFFFFF"/>
                <w:sz w:val="20"/>
              </w:rPr>
              <w:t>Entry</w:t>
            </w:r>
          </w:p>
        </w:tc>
      </w:tr>
      <w:tr>
        <w:tc>
          <w:tcPr>
            <w:tcW w:type="dxa" w:w="2304"/>
          </w:tcPr>
          <w:p>
            <w:r/>
            <w:r>
              <w:rPr>
                <w:sz w:val="20"/>
              </w:rPr>
              <w:t>Agent</w:t>
            </w:r>
          </w:p>
        </w:tc>
        <w:tc>
          <w:tcPr>
            <w:tcW w:type="dxa" w:w="7488"/>
          </w:tcPr>
          <w:p>
            <w:r/>
            <w:r>
              <w:rPr>
                <w:sz w:val="20"/>
              </w:rPr>
              <w:t>Pashun Sports Customer Service Agent (Customer Service Agent, Release 1)</w:t>
            </w:r>
          </w:p>
        </w:tc>
      </w:tr>
      <w:tr>
        <w:tc>
          <w:tcPr>
            <w:tcW w:type="dxa" w:w="2304"/>
          </w:tcPr>
          <w:p>
            <w:r/>
            <w:r>
              <w:rPr>
                <w:sz w:val="20"/>
              </w:rPr>
              <w:t>Owner</w:t>
            </w:r>
          </w:p>
        </w:tc>
        <w:tc>
          <w:tcPr>
            <w:tcW w:type="dxa" w:w="7488"/>
          </w:tcPr>
          <w:p>
            <w:r/>
            <w:r>
              <w:rPr>
                <w:sz w:val="20"/>
              </w:rPr>
              <w:t>Jamie Jordan, Project Manager</w:t>
            </w:r>
          </w:p>
        </w:tc>
      </w:tr>
      <w:tr>
        <w:tc>
          <w:tcPr>
            <w:tcW w:type="dxa" w:w="2304"/>
          </w:tcPr>
          <w:p>
            <w:r/>
            <w:r>
              <w:rPr>
                <w:sz w:val="20"/>
              </w:rPr>
              <w:t>Purpose</w:t>
            </w:r>
          </w:p>
        </w:tc>
        <w:tc>
          <w:tcPr>
            <w:tcW w:type="dxa" w:w="7488"/>
          </w:tcPr>
          <w:p>
            <w:r/>
            <w:r>
              <w:rPr>
                <w:sz w:val="20"/>
              </w:rPr>
              <w:t>Answers returns, exchanges, sizing and delivery questions for customers from approved documents. It cannot approve refunds.</w:t>
            </w:r>
          </w:p>
        </w:tc>
      </w:tr>
      <w:tr>
        <w:tc>
          <w:tcPr>
            <w:tcW w:type="dxa" w:w="2304"/>
          </w:tcPr>
          <w:p>
            <w:r/>
            <w:r>
              <w:rPr>
                <w:sz w:val="20"/>
              </w:rPr>
              <w:t>Data sources</w:t>
            </w:r>
          </w:p>
        </w:tc>
        <w:tc>
          <w:tcPr>
            <w:tcW w:type="dxa" w:w="7488"/>
          </w:tcPr>
          <w:p>
            <w:r/>
            <w:r>
              <w:rPr>
                <w:sz w:val="20"/>
              </w:rPr>
              <w:t>Customer Policies library: US Returns and Exchanges Policy, Sizing and Fabric FAQ, US Delivery Timescales</w:t>
            </w:r>
          </w:p>
        </w:tc>
      </w:tr>
      <w:tr>
        <w:tc>
          <w:tcPr>
            <w:tcW w:type="dxa" w:w="2304"/>
          </w:tcPr>
          <w:p>
            <w:r/>
            <w:r>
              <w:rPr>
                <w:sz w:val="20"/>
              </w:rPr>
              <w:t>Escalation route</w:t>
            </w:r>
          </w:p>
        </w:tc>
        <w:tc>
          <w:tcPr>
            <w:tcW w:type="dxa" w:w="7488"/>
          </w:tcPr>
          <w:p>
            <w:r/>
            <w:r>
              <w:rPr>
                <w:sz w:val="20"/>
              </w:rPr>
              <w:t>Escalate system topic &gt; flow posts conversation summary to the Customer Care channel in Teams &gt; Jamie replies within one working day</w:t>
            </w:r>
          </w:p>
        </w:tc>
      </w:tr>
      <w:tr>
        <w:tc>
          <w:tcPr>
            <w:tcW w:type="dxa" w:w="2304"/>
          </w:tcPr>
          <w:p>
            <w:r/>
            <w:r>
              <w:rPr>
                <w:sz w:val="20"/>
              </w:rPr>
              <w:t>Refund rule</w:t>
            </w:r>
          </w:p>
        </w:tc>
        <w:tc>
          <w:tcPr>
            <w:tcW w:type="dxa" w:w="7488"/>
          </w:tcPr>
          <w:p>
            <w:r/>
            <w:r>
              <w:rPr>
                <w:sz w:val="20"/>
              </w:rPr>
              <w:t>Any refund over $100, and any refund on a damaged bulk order, needs sign-off from Morgan Reyes</w:t>
            </w:r>
          </w:p>
        </w:tc>
      </w:tr>
      <w:tr>
        <w:tc>
          <w:tcPr>
            <w:tcW w:type="dxa" w:w="2304"/>
          </w:tcPr>
          <w:p>
            <w:r/>
            <w:r>
              <w:rPr>
                <w:sz w:val="20"/>
              </w:rPr>
              <w:t>Adversarial tests</w:t>
            </w:r>
          </w:p>
        </w:tc>
        <w:tc>
          <w:tcPr>
            <w:tcW w:type="dxa" w:w="7488"/>
          </w:tcPr>
          <w:p>
            <w:r/>
            <w:r>
              <w:rPr>
                <w:sz w:val="20"/>
              </w:rPr>
              <w:t>5 prompts run; results and fixes noted in Adversarial Test Prompt Set</w:t>
            </w:r>
          </w:p>
        </w:tc>
      </w:tr>
      <w:tr>
        <w:tc>
          <w:tcPr>
            <w:tcW w:type="dxa" w:w="2304"/>
          </w:tcPr>
          <w:p>
            <w:r/>
            <w:r>
              <w:rPr>
                <w:sz w:val="20"/>
              </w:rPr>
              <w:t>Review date</w:t>
            </w:r>
          </w:p>
        </w:tc>
        <w:tc>
          <w:tcPr>
            <w:tcW w:type="dxa" w:w="7488"/>
          </w:tcPr>
          <w:p>
            <w:r/>
            <w:r>
              <w:rPr>
                <w:sz w:val="20"/>
              </w:rPr>
              <w:t>Monthly. Next review: Nov 30, 2026. Reviewer: Jamie Jordan</w:t>
            </w:r>
          </w:p>
        </w:tc>
      </w:tr>
    </w:tbl>
    <w:p/>
    <w:p>
      <w:pPr>
        <w:pStyle w:val="Heading1"/>
      </w:pPr>
      <w:r>
        <w:t>3. Blank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1F3A5F"/>
          </w:tcPr>
          <w:p>
            <w:r/>
            <w:r>
              <w:rPr>
                <w:b/>
                <w:color w:val="FFFFFF"/>
                <w:sz w:val="20"/>
              </w:rPr>
              <w:t>Field</w:t>
            </w:r>
          </w:p>
        </w:tc>
        <w:tc>
          <w:tcPr>
            <w:tcW w:type="dxa" w:w="7200"/>
            <w:shd w:val="clear" w:color="auto" w:fill="1F3A5F"/>
          </w:tcPr>
          <w:p>
            <w:r/>
            <w:r>
              <w:rPr>
                <w:b/>
                <w:color w:val="FFFFFF"/>
                <w:sz w:val="20"/>
              </w:rPr>
              <w:t>Entry</w:t>
            </w:r>
          </w:p>
        </w:tc>
      </w:tr>
      <w:tr>
        <w:tc>
          <w:tcPr>
            <w:tcW w:type="dxa" w:w="2592"/>
          </w:tcPr>
          <w:p>
            <w:r/>
            <w:r>
              <w:rPr>
                <w:sz w:val="20"/>
              </w:rPr>
              <w:t>Agent</w:t>
            </w:r>
          </w:p>
        </w:tc>
        <w:tc>
          <w:tcPr>
            <w:tcW w:type="dxa" w:w="7200"/>
          </w:tcPr>
          <w:p>
            <w:r/>
            <w:r>
              <w:rPr>
                <w:sz w:val="20"/>
              </w:rPr>
            </w:r>
          </w:p>
        </w:tc>
      </w:tr>
      <w:tr>
        <w:tc>
          <w:tcPr>
            <w:tcW w:type="dxa" w:w="2592"/>
          </w:tcPr>
          <w:p>
            <w:r/>
            <w:r>
              <w:rPr>
                <w:sz w:val="20"/>
              </w:rPr>
              <w:t>Owner (named person)</w:t>
            </w:r>
          </w:p>
        </w:tc>
        <w:tc>
          <w:tcPr>
            <w:tcW w:type="dxa" w:w="7200"/>
          </w:tcPr>
          <w:p>
            <w:r/>
            <w:r>
              <w:rPr>
                <w:sz w:val="20"/>
              </w:rPr>
            </w:r>
          </w:p>
        </w:tc>
      </w:tr>
      <w:tr>
        <w:tc>
          <w:tcPr>
            <w:tcW w:type="dxa" w:w="2592"/>
          </w:tcPr>
          <w:p>
            <w:r/>
            <w:r>
              <w:rPr>
                <w:sz w:val="20"/>
              </w:rPr>
              <w:t>Purpose</w:t>
            </w:r>
          </w:p>
        </w:tc>
        <w:tc>
          <w:tcPr>
            <w:tcW w:type="dxa" w:w="7200"/>
          </w:tcPr>
          <w:p>
            <w:r/>
            <w:r>
              <w:rPr>
                <w:sz w:val="20"/>
              </w:rPr>
            </w:r>
          </w:p>
        </w:tc>
      </w:tr>
      <w:tr>
        <w:tc>
          <w:tcPr>
            <w:tcW w:type="dxa" w:w="2592"/>
          </w:tcPr>
          <w:p>
            <w:r/>
            <w:r>
              <w:rPr>
                <w:sz w:val="20"/>
              </w:rPr>
              <w:t>Data sources</w:t>
            </w:r>
          </w:p>
        </w:tc>
        <w:tc>
          <w:tcPr>
            <w:tcW w:type="dxa" w:w="7200"/>
          </w:tcPr>
          <w:p>
            <w:r/>
            <w:r>
              <w:rPr>
                <w:sz w:val="20"/>
              </w:rPr>
            </w:r>
          </w:p>
        </w:tc>
      </w:tr>
      <w:tr>
        <w:tc>
          <w:tcPr>
            <w:tcW w:type="dxa" w:w="2592"/>
          </w:tcPr>
          <w:p>
            <w:r/>
            <w:r>
              <w:rPr>
                <w:sz w:val="20"/>
              </w:rPr>
              <w:t>Escalation route</w:t>
            </w:r>
          </w:p>
        </w:tc>
        <w:tc>
          <w:tcPr>
            <w:tcW w:type="dxa" w:w="7200"/>
          </w:tcPr>
          <w:p>
            <w:r/>
            <w:r>
              <w:rPr>
                <w:sz w:val="20"/>
              </w:rPr>
            </w:r>
          </w:p>
        </w:tc>
      </w:tr>
      <w:tr>
        <w:tc>
          <w:tcPr>
            <w:tcW w:type="dxa" w:w="2592"/>
          </w:tcPr>
          <w:p>
            <w:r/>
            <w:r>
              <w:rPr>
                <w:sz w:val="20"/>
              </w:rPr>
              <w:t>Sensitive topics handled</w:t>
            </w:r>
          </w:p>
        </w:tc>
        <w:tc>
          <w:tcPr>
            <w:tcW w:type="dxa" w:w="7200"/>
          </w:tcPr>
          <w:p>
            <w:r/>
            <w:r>
              <w:rPr>
                <w:sz w:val="20"/>
              </w:rPr>
            </w:r>
          </w:p>
        </w:tc>
      </w:tr>
      <w:tr>
        <w:tc>
          <w:tcPr>
            <w:tcW w:type="dxa" w:w="2592"/>
          </w:tcPr>
          <w:p>
            <w:r/>
            <w:r>
              <w:rPr>
                <w:sz w:val="20"/>
              </w:rPr>
              <w:t>Adversarial tests run and results</w:t>
            </w:r>
          </w:p>
        </w:tc>
        <w:tc>
          <w:tcPr>
            <w:tcW w:type="dxa" w:w="7200"/>
          </w:tcPr>
          <w:p>
            <w:r/>
            <w:r>
              <w:rPr>
                <w:sz w:val="20"/>
              </w:rPr>
            </w:r>
          </w:p>
        </w:tc>
      </w:tr>
      <w:tr>
        <w:tc>
          <w:tcPr>
            <w:tcW w:type="dxa" w:w="2592"/>
          </w:tcPr>
          <w:p>
            <w:r/>
            <w:r>
              <w:rPr>
                <w:sz w:val="20"/>
              </w:rPr>
              <w:t>Review date and reviewer</w:t>
            </w:r>
          </w:p>
        </w:tc>
        <w:tc>
          <w:tcPr>
            <w:tcW w:type="dxa" w:w="7200"/>
          </w:tcPr>
          <w:p>
            <w:r/>
            <w:r>
              <w:rPr>
                <w:sz w:val="20"/>
              </w:rPr>
            </w:r>
          </w:p>
        </w:tc>
      </w:tr>
      <w:tr>
        <w:tc>
          <w:tcPr>
            <w:tcW w:type="dxa" w:w="2592"/>
          </w:tcPr>
          <w:p>
            <w:r/>
            <w:r>
              <w:rPr>
                <w:sz w:val="20"/>
              </w:rPr>
              <w:t>Changes since last review</w:t>
            </w:r>
          </w:p>
        </w:tc>
        <w:tc>
          <w:tcPr>
            <w:tcW w:type="dxa" w:w="7200"/>
          </w:tcPr>
          <w:p>
            <w:r/>
            <w:r>
              <w:rPr>
                <w:sz w:val="20"/>
              </w:rPr>
            </w:r>
          </w:p>
        </w:tc>
      </w:tr>
    </w:tbl>
    <w:p/>
    <w:p>
      <w:pPr>
        <w:pStyle w:val="Heading1"/>
      </w:pPr>
      <w:r>
        <w:t>4. Carry it forward</w:t>
      </w:r>
    </w:p>
    <w:p>
      <w:r>
        <w:rPr>
          <w:b w:val="0"/>
          <w:i w:val="0"/>
        </w:rPr>
        <w:t>Hand the completed checklist to the lecture on choosing the right model, measuring agent performance and improving an agent using usage data, so review dates and owners feed straight into monitoring.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