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Multi-Agent Architecture Blueprint (One-Page Template)</w:t>
      </w:r>
    </w:p>
    <w:p>
      <w:r>
        <w:rPr>
          <w:color w:val="595959"/>
          <w:sz w:val="19"/>
        </w:rPr>
        <w:t>Pashun Sports T-Shirts · Microsoft Copilot Studio: The Complete Guide (2026) · Lecture 25</w:t>
      </w:r>
    </w:p>
    <w:p>
      <w:r>
        <w:rPr>
          <w:i/>
        </w:rPr>
        <w:t>One orchestrator, two or three specialists. For each specialist: its goal, its single knowledge source and its one permitted action.</w:t>
      </w:r>
    </w:p>
    <w:p>
      <w:pPr>
        <w:pStyle w:val="Heading1"/>
      </w:pPr>
      <w:r>
        <w:t>1. Worked example: Pashun Sports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440"/>
            <w:shd w:val="clear" w:color="auto" w:fill="1F3A5F"/>
          </w:tcPr>
          <w:p>
            <w:r/>
            <w:r>
              <w:rPr>
                <w:b/>
                <w:color w:val="FFFFFF"/>
                <w:sz w:val="17"/>
              </w:rPr>
              <w:t>Role</w:t>
            </w:r>
          </w:p>
        </w:tc>
        <w:tc>
          <w:tcPr>
            <w:tcW w:type="dxa" w:w="1584"/>
            <w:shd w:val="clear" w:color="auto" w:fill="1F3A5F"/>
          </w:tcPr>
          <w:p>
            <w:r/>
            <w:r>
              <w:rPr>
                <w:b/>
                <w:color w:val="FFFFFF"/>
                <w:sz w:val="17"/>
              </w:rPr>
              <w:t>Agent</w:t>
            </w:r>
          </w:p>
        </w:tc>
        <w:tc>
          <w:tcPr>
            <w:tcW w:type="dxa" w:w="1728"/>
            <w:shd w:val="clear" w:color="auto" w:fill="1F3A5F"/>
          </w:tcPr>
          <w:p>
            <w:r/>
            <w:r>
              <w:rPr>
                <w:b/>
                <w:color w:val="FFFFFF"/>
                <w:sz w:val="17"/>
              </w:rPr>
              <w:t>Goal</w:t>
            </w:r>
          </w:p>
        </w:tc>
        <w:tc>
          <w:tcPr>
            <w:tcW w:type="dxa" w:w="1872"/>
            <w:shd w:val="clear" w:color="auto" w:fill="1F3A5F"/>
          </w:tcPr>
          <w:p>
            <w:r/>
            <w:r>
              <w:rPr>
                <w:b/>
                <w:color w:val="FFFFFF"/>
                <w:sz w:val="17"/>
              </w:rPr>
              <w:t>Single knowledge source</w:t>
            </w:r>
          </w:p>
        </w:tc>
        <w:tc>
          <w:tcPr>
            <w:tcW w:type="dxa" w:w="1584"/>
            <w:shd w:val="clear" w:color="auto" w:fill="1F3A5F"/>
          </w:tcPr>
          <w:p>
            <w:r/>
            <w:r>
              <w:rPr>
                <w:b/>
                <w:color w:val="FFFFFF"/>
                <w:sz w:val="17"/>
              </w:rPr>
              <w:t>One permitted action</w:t>
            </w:r>
          </w:p>
        </w:tc>
        <w:tc>
          <w:tcPr>
            <w:tcW w:type="dxa" w:w="1008"/>
            <w:shd w:val="clear" w:color="auto" w:fill="1F3A5F"/>
          </w:tcPr>
          <w:p>
            <w:r/>
            <w:r>
              <w:rPr>
                <w:b/>
                <w:color w:val="FFFFFF"/>
                <w:sz w:val="17"/>
              </w:rPr>
              <w:t>Owner</w:t>
            </w:r>
          </w:p>
        </w:tc>
        <w:tc>
          <w:tcPr>
            <w:tcW w:type="dxa" w:w="1296"/>
            <w:shd w:val="clear" w:color="auto" w:fill="1F3A5F"/>
          </w:tcPr>
          <w:p>
            <w:r/>
            <w:r>
              <w:rPr>
                <w:b/>
                <w:color w:val="FFFFFF"/>
                <w:sz w:val="17"/>
              </w:rPr>
              <w:t>Risk profile</w:t>
            </w:r>
          </w:p>
        </w:tc>
      </w:tr>
      <w:tr>
        <w:tc>
          <w:tcPr>
            <w:tcW w:type="dxa" w:w="1440"/>
          </w:tcPr>
          <w:p>
            <w:r/>
            <w:r>
              <w:rPr>
                <w:sz w:val="17"/>
              </w:rPr>
              <w:t>Front door (orchestrator)</w:t>
            </w:r>
          </w:p>
        </w:tc>
        <w:tc>
          <w:tcPr>
            <w:tcW w:type="dxa" w:w="1584"/>
          </w:tcPr>
          <w:p>
            <w:r/>
            <w:r>
              <w:rPr>
                <w:sz w:val="17"/>
              </w:rPr>
              <w:t>PS-Project-Support-Helper</w:t>
            </w:r>
          </w:p>
        </w:tc>
        <w:tc>
          <w:tcPr>
            <w:tcW w:type="dxa" w:w="1728"/>
          </w:tcPr>
          <w:p>
            <w:r/>
            <w:r>
              <w:rPr>
                <w:sz w:val="17"/>
              </w:rPr>
              <w:t>Read intent and delegate to the right specialist</w:t>
            </w:r>
          </w:p>
        </w:tc>
        <w:tc>
          <w:tcPr>
            <w:tcW w:type="dxa" w:w="1872"/>
          </w:tcPr>
          <w:p>
            <w:r/>
            <w:r>
              <w:rPr>
                <w:sz w:val="17"/>
              </w:rPr>
              <w:t>None. Routing plus a fallback ("suggest who to ask")</w:t>
            </w:r>
          </w:p>
        </w:tc>
        <w:tc>
          <w:tcPr>
            <w:tcW w:type="dxa" w:w="1584"/>
          </w:tcPr>
          <w:p>
            <w:r/>
            <w:r>
              <w:rPr>
                <w:sz w:val="17"/>
              </w:rPr>
              <w:t>Delegate to a connected agent</w:t>
            </w:r>
          </w:p>
        </w:tc>
        <w:tc>
          <w:tcPr>
            <w:tcW w:type="dxa" w:w="1008"/>
          </w:tcPr>
          <w:p>
            <w:r/>
            <w:r>
              <w:rPr>
                <w:sz w:val="17"/>
              </w:rPr>
              <w:t>Jamie Jordan</w:t>
            </w:r>
          </w:p>
        </w:tc>
        <w:tc>
          <w:tcPr>
            <w:tcW w:type="dxa" w:w="1296"/>
          </w:tcPr>
          <w:p>
            <w:r/>
            <w:r>
              <w:rPr>
                <w:sz w:val="17"/>
              </w:rPr>
              <w:t>Low: holds no data</w:t>
            </w:r>
          </w:p>
        </w:tc>
      </w:tr>
      <w:tr>
        <w:tc>
          <w:tcPr>
            <w:tcW w:type="dxa" w:w="1440"/>
          </w:tcPr>
          <w:p>
            <w:r/>
            <w:r>
              <w:rPr>
                <w:sz w:val="17"/>
              </w:rPr>
              <w:t>Specialist</w:t>
            </w:r>
          </w:p>
        </w:tc>
        <w:tc>
          <w:tcPr>
            <w:tcW w:type="dxa" w:w="1584"/>
          </w:tcPr>
          <w:p>
            <w:r/>
            <w:r>
              <w:rPr>
                <w:sz w:val="17"/>
              </w:rPr>
              <w:t>PS-Customer-Service</w:t>
            </w:r>
          </w:p>
        </w:tc>
        <w:tc>
          <w:tcPr>
            <w:tcW w:type="dxa" w:w="1728"/>
          </w:tcPr>
          <w:p>
            <w:r/>
            <w:r>
              <w:rPr>
                <w:sz w:val="17"/>
              </w:rPr>
              <w:t>Answer returns, exchanges, sizing and delivery questions</w:t>
            </w:r>
          </w:p>
        </w:tc>
        <w:tc>
          <w:tcPr>
            <w:tcW w:type="dxa" w:w="1872"/>
          </w:tcPr>
          <w:p>
            <w:r/>
            <w:r>
              <w:rPr>
                <w:sz w:val="17"/>
              </w:rPr>
              <w:t>Customer Policies library (returns, sizing, delivery)</w:t>
            </w:r>
          </w:p>
        </w:tc>
        <w:tc>
          <w:tcPr>
            <w:tcW w:type="dxa" w:w="1584"/>
          </w:tcPr>
          <w:p>
            <w:r/>
            <w:r>
              <w:rPr>
                <w:sz w:val="17"/>
              </w:rPr>
              <w:t>Log Return Request flow</w:t>
            </w:r>
          </w:p>
        </w:tc>
        <w:tc>
          <w:tcPr>
            <w:tcW w:type="dxa" w:w="1008"/>
          </w:tcPr>
          <w:p>
            <w:r/>
            <w:r>
              <w:rPr>
                <w:sz w:val="17"/>
              </w:rPr>
              <w:t>Jamie Jordan</w:t>
            </w:r>
          </w:p>
        </w:tc>
        <w:tc>
          <w:tcPr>
            <w:tcW w:type="dxa" w:w="1296"/>
          </w:tcPr>
          <w:p>
            <w:r/>
            <w:r>
              <w:rPr>
                <w:sz w:val="17"/>
              </w:rPr>
              <w:t>Medium: customer data; must never reveal wholesale prices</w:t>
            </w:r>
          </w:p>
        </w:tc>
      </w:tr>
      <w:tr>
        <w:tc>
          <w:tcPr>
            <w:tcW w:type="dxa" w:w="1440"/>
          </w:tcPr>
          <w:p>
            <w:r/>
            <w:r>
              <w:rPr>
                <w:sz w:val="17"/>
              </w:rPr>
              <w:t>Specialist</w:t>
            </w:r>
          </w:p>
        </w:tc>
        <w:tc>
          <w:tcPr>
            <w:tcW w:type="dxa" w:w="1584"/>
          </w:tcPr>
          <w:p>
            <w:r/>
            <w:r>
              <w:rPr>
                <w:sz w:val="17"/>
              </w:rPr>
              <w:t>PS-Supplier-Follow-Up</w:t>
            </w:r>
          </w:p>
        </w:tc>
        <w:tc>
          <w:tcPr>
            <w:tcW w:type="dxa" w:w="1728"/>
          </w:tcPr>
          <w:p>
            <w:r/>
            <w:r>
              <w:rPr>
                <w:sz w:val="17"/>
              </w:rPr>
              <w:t>Keep supplier replies and deliveries on track for the launch</w:t>
            </w:r>
          </w:p>
        </w:tc>
        <w:tc>
          <w:tcPr>
            <w:tcW w:type="dxa" w:w="1872"/>
          </w:tcPr>
          <w:p>
            <w:r/>
            <w:r>
              <w:rPr>
                <w:sz w:val="17"/>
              </w:rPr>
              <w:t>Ridgeline Supplier Agreement 2026 (plus launch plan folder; Outlook and Planner read-only)</w:t>
            </w:r>
          </w:p>
        </w:tc>
        <w:tc>
          <w:tcPr>
            <w:tcW w:type="dxa" w:w="1584"/>
          </w:tcPr>
          <w:p>
            <w:r/>
            <w:r>
              <w:rPr>
                <w:sz w:val="17"/>
              </w:rPr>
              <w:t>Draft a follow-up email for Jamie to approve (never send)</w:t>
            </w:r>
          </w:p>
        </w:tc>
        <w:tc>
          <w:tcPr>
            <w:tcW w:type="dxa" w:w="1008"/>
          </w:tcPr>
          <w:p>
            <w:r/>
            <w:r>
              <w:rPr>
                <w:sz w:val="17"/>
              </w:rPr>
              <w:t>Jamie Jordan</w:t>
            </w:r>
          </w:p>
        </w:tc>
        <w:tc>
          <w:tcPr>
            <w:tcW w:type="dxa" w:w="1296"/>
          </w:tcPr>
          <w:p>
            <w:r/>
            <w:r>
              <w:rPr>
                <w:sz w:val="17"/>
              </w:rPr>
              <w:t>Medium: external email drafts only</w:t>
            </w:r>
          </w:p>
        </w:tc>
      </w:tr>
      <w:tr>
        <w:tc>
          <w:tcPr>
            <w:tcW w:type="dxa" w:w="1440"/>
          </w:tcPr>
          <w:p>
            <w:r/>
            <w:r>
              <w:rPr>
                <w:sz w:val="17"/>
              </w:rPr>
              <w:t>Specialist</w:t>
            </w:r>
          </w:p>
        </w:tc>
        <w:tc>
          <w:tcPr>
            <w:tcW w:type="dxa" w:w="1584"/>
          </w:tcPr>
          <w:p>
            <w:r/>
            <w:r>
              <w:rPr>
                <w:sz w:val="17"/>
              </w:rPr>
              <w:t>PS-Sales-Reporter</w:t>
            </w:r>
          </w:p>
        </w:tc>
        <w:tc>
          <w:tcPr>
            <w:tcW w:type="dxa" w:w="1728"/>
          </w:tcPr>
          <w:p>
            <w:r/>
            <w:r>
              <w:rPr>
                <w:sz w:val="17"/>
              </w:rPr>
              <w:t>Answer sales and stock questions; draft the monthly summary</w:t>
            </w:r>
          </w:p>
        </w:tc>
        <w:tc>
          <w:tcPr>
            <w:tcW w:type="dxa" w:w="1872"/>
          </w:tcPr>
          <w:p>
            <w:r/>
            <w:r>
              <w:rPr>
                <w:sz w:val="17"/>
              </w:rPr>
              <w:t>Pashun-ProTee-US-Sales-and-Stock-Forecast.xlsx (Excel tool, live)</w:t>
            </w:r>
          </w:p>
        </w:tc>
        <w:tc>
          <w:tcPr>
            <w:tcW w:type="dxa" w:w="1584"/>
          </w:tcPr>
          <w:p>
            <w:r/>
            <w:r>
              <w:rPr>
                <w:sz w:val="17"/>
              </w:rPr>
              <w:t>Read the workbook and draft a summary for Morgan to review</w:t>
            </w:r>
          </w:p>
        </w:tc>
        <w:tc>
          <w:tcPr>
            <w:tcW w:type="dxa" w:w="1008"/>
          </w:tcPr>
          <w:p>
            <w:r/>
            <w:r>
              <w:rPr>
                <w:sz w:val="17"/>
              </w:rPr>
              <w:t>Morgan Reyes</w:t>
            </w:r>
          </w:p>
        </w:tc>
        <w:tc>
          <w:tcPr>
            <w:tcW w:type="dxa" w:w="1296"/>
          </w:tcPr>
          <w:p>
            <w:r/>
            <w:r>
              <w:rPr>
                <w:sz w:val="17"/>
              </w:rPr>
              <w:t>High: internal finance numbers</w:t>
            </w:r>
          </w:p>
        </w:tc>
      </w:tr>
    </w:tbl>
    <w:p/>
    <w:p>
      <w:r>
        <w:rPr>
          <w:b w:val="0"/>
          <w:i/>
        </w:rPr>
        <w:t>Flow: Teams user &gt; PS-Project-Support-Helper &gt; (connected agent) &gt; answer. The front door never answers from its own knowledge.</w:t>
      </w:r>
    </w:p>
    <w:p>
      <w:pPr>
        <w:pStyle w:val="Heading2"/>
      </w:pPr>
      <w:r>
        <w:t>Layers (fill one line each)</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1F3A5F"/>
          </w:tcPr>
          <w:p>
            <w:r/>
            <w:r>
              <w:rPr>
                <w:b/>
                <w:color w:val="FFFFFF"/>
                <w:sz w:val="18"/>
              </w:rPr>
              <w:t>Layer</w:t>
            </w:r>
          </w:p>
        </w:tc>
        <w:tc>
          <w:tcPr>
            <w:tcW w:type="dxa" w:w="5472"/>
            <w:shd w:val="clear" w:color="auto" w:fill="1F3A5F"/>
          </w:tcPr>
          <w:p>
            <w:r/>
            <w:r>
              <w:rPr>
                <w:b/>
                <w:color w:val="FFFFFF"/>
                <w:sz w:val="18"/>
              </w:rPr>
              <w:t>Pashun Sports answer</w:t>
            </w:r>
          </w:p>
        </w:tc>
      </w:tr>
      <w:tr>
        <w:tc>
          <w:tcPr>
            <w:tcW w:type="dxa" w:w="4320"/>
          </w:tcPr>
          <w:p>
            <w:r/>
            <w:r>
              <w:rPr>
                <w:sz w:val="18"/>
              </w:rPr>
              <w:t>Architecture: which agent handles which job?</w:t>
            </w:r>
          </w:p>
        </w:tc>
        <w:tc>
          <w:tcPr>
            <w:tcW w:type="dxa" w:w="5472"/>
          </w:tcPr>
          <w:p>
            <w:r/>
            <w:r>
              <w:rPr>
                <w:sz w:val="18"/>
              </w:rPr>
              <w:t>Agents tab &gt; connected agents on PS-Project-Support-Helper</w:t>
            </w:r>
          </w:p>
        </w:tc>
      </w:tr>
      <w:tr>
        <w:tc>
          <w:tcPr>
            <w:tcW w:type="dxa" w:w="4320"/>
          </w:tcPr>
          <w:p>
            <w:r/>
            <w:r>
              <w:rPr>
                <w:sz w:val="18"/>
              </w:rPr>
              <w:t>Knowledge: what is each agent allowed to know?</w:t>
            </w:r>
          </w:p>
        </w:tc>
        <w:tc>
          <w:tcPr>
            <w:tcW w:type="dxa" w:w="5472"/>
          </w:tcPr>
          <w:p>
            <w:r/>
            <w:r>
              <w:rPr>
                <w:sz w:val="18"/>
              </w:rPr>
              <w:t>One source per specialist (above)</w:t>
            </w:r>
          </w:p>
        </w:tc>
      </w:tr>
      <w:tr>
        <w:tc>
          <w:tcPr>
            <w:tcW w:type="dxa" w:w="4320"/>
          </w:tcPr>
          <w:p>
            <w:r/>
            <w:r>
              <w:rPr>
                <w:sz w:val="18"/>
              </w:rPr>
              <w:t>Actions: what can each agent actually do?</w:t>
            </w:r>
          </w:p>
        </w:tc>
        <w:tc>
          <w:tcPr>
            <w:tcW w:type="dxa" w:w="5472"/>
          </w:tcPr>
          <w:p>
            <w:r/>
            <w:r>
              <w:rPr>
                <w:sz w:val="18"/>
              </w:rPr>
              <w:t>One permitted action per specialist (above)</w:t>
            </w:r>
          </w:p>
        </w:tc>
      </w:tr>
      <w:tr>
        <w:tc>
          <w:tcPr>
            <w:tcW w:type="dxa" w:w="4320"/>
          </w:tcPr>
          <w:p>
            <w:r/>
            <w:r>
              <w:rPr>
                <w:sz w:val="18"/>
              </w:rPr>
              <w:t>Security: who can talk to it and what data can it touch?</w:t>
            </w:r>
          </w:p>
        </w:tc>
        <w:tc>
          <w:tcPr>
            <w:tcW w:type="dxa" w:w="5472"/>
          </w:tcPr>
          <w:p>
            <w:r/>
            <w:r>
              <w:rPr>
                <w:sz w:val="18"/>
              </w:rPr>
              <w:t>Entra security group PS-All-Employees; DLP Business / Non-Business / Blocked on Production; Authenticate with Microsoft</w:t>
            </w:r>
          </w:p>
        </w:tc>
      </w:tr>
      <w:tr>
        <w:tc>
          <w:tcPr>
            <w:tcW w:type="dxa" w:w="4320"/>
          </w:tcPr>
          <w:p>
            <w:r/>
            <w:r>
              <w:rPr>
                <w:sz w:val="18"/>
              </w:rPr>
              <w:t>Lifecycle: how does change reach production safely?</w:t>
            </w:r>
          </w:p>
        </w:tc>
        <w:tc>
          <w:tcPr>
            <w:tcW w:type="dxa" w:w="5472"/>
          </w:tcPr>
          <w:p>
            <w:r/>
            <w:r>
              <w:rPr>
                <w:sz w:val="18"/>
              </w:rPr>
              <w:t>One solution with four agents; Dev &gt; Test &gt; Production by export/import or pipeline</w:t>
            </w:r>
          </w:p>
        </w:tc>
      </w:tr>
      <w:tr>
        <w:tc>
          <w:tcPr>
            <w:tcW w:type="dxa" w:w="4320"/>
          </w:tcPr>
          <w:p>
            <w:r/>
            <w:r>
              <w:rPr>
                <w:sz w:val="18"/>
              </w:rPr>
              <w:t>Cost: what does it cost per month at scale?</w:t>
            </w:r>
          </w:p>
        </w:tc>
        <w:tc>
          <w:tcPr>
            <w:tcW w:type="dxa" w:w="5472"/>
          </w:tcPr>
          <w:p>
            <w:r/>
            <w:r>
              <w:rPr>
                <w:sz w:val="18"/>
              </w:rPr>
              <w:t>Agent Usage Estimator vs the Capacity page; pilot before scale</w:t>
            </w:r>
          </w:p>
        </w:tc>
      </w:tr>
      <w:tr>
        <w:tc>
          <w:tcPr>
            <w:tcW w:type="dxa" w:w="4320"/>
          </w:tcPr>
          <w:p>
            <w:r/>
            <w:r>
              <w:rPr>
                <w:sz w:val="18"/>
              </w:rPr>
              <w:t>Operations: is it still behaving?</w:t>
            </w:r>
          </w:p>
        </w:tc>
        <w:tc>
          <w:tcPr>
            <w:tcW w:type="dxa" w:w="5472"/>
          </w:tcPr>
          <w:p>
            <w:r/>
            <w:r>
              <w:rPr>
                <w:sz w:val="18"/>
              </w:rPr>
              <w:t>Monitor tab monthly: engagement, resolution, escalation, abandoned sessions; owner per agent</w:t>
            </w:r>
          </w:p>
        </w:tc>
      </w:tr>
    </w:tbl>
    <w:p/>
    <w:p>
      <w:r>
        <w:br w:type="page"/>
      </w:r>
    </w:p>
    <w:p>
      <w:pPr>
        <w:pStyle w:val="Heading1"/>
      </w:pPr>
      <w:r>
        <w:t>2. Blank one-page template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440"/>
            <w:shd w:val="clear" w:color="auto" w:fill="1F3A5F"/>
          </w:tcPr>
          <w:p>
            <w:r/>
            <w:r>
              <w:rPr>
                <w:b/>
                <w:color w:val="FFFFFF"/>
                <w:sz w:val="18"/>
              </w:rPr>
              <w:t>Role</w:t>
            </w:r>
          </w:p>
        </w:tc>
        <w:tc>
          <w:tcPr>
            <w:tcW w:type="dxa" w:w="1584"/>
            <w:shd w:val="clear" w:color="auto" w:fill="1F3A5F"/>
          </w:tcPr>
          <w:p>
            <w:r/>
            <w:r>
              <w:rPr>
                <w:b/>
                <w:color w:val="FFFFFF"/>
                <w:sz w:val="18"/>
              </w:rPr>
              <w:t>Agent name</w:t>
            </w:r>
          </w:p>
        </w:tc>
        <w:tc>
          <w:tcPr>
            <w:tcW w:type="dxa" w:w="2016"/>
            <w:shd w:val="clear" w:color="auto" w:fill="1F3A5F"/>
          </w:tcPr>
          <w:p>
            <w:r/>
            <w:r>
              <w:rPr>
                <w:b/>
                <w:color w:val="FFFFFF"/>
                <w:sz w:val="18"/>
              </w:rPr>
              <w:t>Goal (one sentence)</w:t>
            </w:r>
          </w:p>
        </w:tc>
        <w:tc>
          <w:tcPr>
            <w:tcW w:type="dxa" w:w="1872"/>
            <w:shd w:val="clear" w:color="auto" w:fill="1F3A5F"/>
          </w:tcPr>
          <w:p>
            <w:r/>
            <w:r>
              <w:rPr>
                <w:b/>
                <w:color w:val="FFFFFF"/>
                <w:sz w:val="18"/>
              </w:rPr>
              <w:t>Single knowledge source</w:t>
            </w:r>
          </w:p>
        </w:tc>
        <w:tc>
          <w:tcPr>
            <w:tcW w:type="dxa" w:w="1584"/>
            <w:shd w:val="clear" w:color="auto" w:fill="1F3A5F"/>
          </w:tcPr>
          <w:p>
            <w:r/>
            <w:r>
              <w:rPr>
                <w:b/>
                <w:color w:val="FFFFFF"/>
                <w:sz w:val="18"/>
              </w:rPr>
              <w:t>One permitted action</w:t>
            </w:r>
          </w:p>
        </w:tc>
        <w:tc>
          <w:tcPr>
            <w:tcW w:type="dxa" w:w="1152"/>
            <w:shd w:val="clear" w:color="auto" w:fill="1F3A5F"/>
          </w:tcPr>
          <w:p>
            <w:r/>
            <w:r>
              <w:rPr>
                <w:b/>
                <w:color w:val="FFFFFF"/>
                <w:sz w:val="18"/>
              </w:rPr>
              <w:t>Owner (named)</w:t>
            </w:r>
          </w:p>
        </w:tc>
        <w:tc>
          <w:tcPr>
            <w:tcW w:type="dxa" w:w="1008"/>
            <w:shd w:val="clear" w:color="auto" w:fill="1F3A5F"/>
          </w:tcPr>
          <w:p>
            <w:r/>
            <w:r>
              <w:rPr>
                <w:b/>
                <w:color w:val="FFFFFF"/>
                <w:sz w:val="18"/>
              </w:rPr>
              <w:t>Risk</w:t>
            </w:r>
          </w:p>
        </w:tc>
      </w:tr>
      <w:tr>
        <w:tc>
          <w:tcPr>
            <w:tcW w:type="dxa" w:w="1440"/>
          </w:tcPr>
          <w:p>
            <w:r/>
            <w:r>
              <w:rPr>
                <w:sz w:val="18"/>
              </w:rPr>
              <w:t>Front door</w:t>
            </w:r>
          </w:p>
        </w:tc>
        <w:tc>
          <w:tcPr>
            <w:tcW w:type="dxa" w:w="1584"/>
          </w:tcPr>
          <w:p>
            <w:r/>
            <w:r>
              <w:rPr>
                <w:sz w:val="18"/>
              </w:rPr>
            </w:r>
          </w:p>
        </w:tc>
        <w:tc>
          <w:tcPr>
            <w:tcW w:type="dxa" w:w="2016"/>
          </w:tcPr>
          <w:p>
            <w:r/>
            <w:r>
              <w:rPr>
                <w:sz w:val="18"/>
              </w:rPr>
              <w:t>Read intent and delegate</w:t>
            </w:r>
          </w:p>
        </w:tc>
        <w:tc>
          <w:tcPr>
            <w:tcW w:type="dxa" w:w="1872"/>
          </w:tcPr>
          <w:p>
            <w:r/>
            <w:r>
              <w:rPr>
                <w:sz w:val="18"/>
              </w:rPr>
              <w:t>None (routing + fallback)</w:t>
            </w:r>
          </w:p>
        </w:tc>
        <w:tc>
          <w:tcPr>
            <w:tcW w:type="dxa" w:w="1584"/>
          </w:tcPr>
          <w:p>
            <w:r/>
            <w:r>
              <w:rPr>
                <w:sz w:val="18"/>
              </w:rPr>
              <w:t>Delegate</w:t>
            </w:r>
          </w:p>
        </w:tc>
        <w:tc>
          <w:tcPr>
            <w:tcW w:type="dxa" w:w="1152"/>
          </w:tcPr>
          <w:p>
            <w:r/>
            <w:r>
              <w:rPr>
                <w:sz w:val="18"/>
              </w:rPr>
            </w:r>
          </w:p>
        </w:tc>
        <w:tc>
          <w:tcPr>
            <w:tcW w:type="dxa" w:w="1008"/>
          </w:tcPr>
          <w:p>
            <w:r/>
            <w:r>
              <w:rPr>
                <w:sz w:val="18"/>
              </w:rPr>
            </w:r>
          </w:p>
        </w:tc>
      </w:tr>
      <w:tr>
        <w:tc>
          <w:tcPr>
            <w:tcW w:type="dxa" w:w="1440"/>
          </w:tcPr>
          <w:p>
            <w:r/>
            <w:r>
              <w:rPr>
                <w:sz w:val="18"/>
              </w:rPr>
              <w:t>Specialist 1</w:t>
            </w:r>
          </w:p>
        </w:tc>
        <w:tc>
          <w:tcPr>
            <w:tcW w:type="dxa" w:w="1584"/>
          </w:tcPr>
          <w:p>
            <w:r/>
            <w:r>
              <w:rPr>
                <w:sz w:val="18"/>
              </w:rPr>
            </w:r>
          </w:p>
        </w:tc>
        <w:tc>
          <w:tcPr>
            <w:tcW w:type="dxa" w:w="2016"/>
          </w:tcPr>
          <w:p>
            <w:r/>
            <w:r>
              <w:rPr>
                <w:sz w:val="18"/>
              </w:rPr>
            </w:r>
          </w:p>
        </w:tc>
        <w:tc>
          <w:tcPr>
            <w:tcW w:type="dxa" w:w="1872"/>
          </w:tcPr>
          <w:p>
            <w:r/>
            <w:r>
              <w:rPr>
                <w:sz w:val="18"/>
              </w:rPr>
            </w:r>
          </w:p>
        </w:tc>
        <w:tc>
          <w:tcPr>
            <w:tcW w:type="dxa" w:w="1584"/>
          </w:tcPr>
          <w:p>
            <w:r/>
            <w:r>
              <w:rPr>
                <w:sz w:val="18"/>
              </w:rPr>
            </w:r>
          </w:p>
        </w:tc>
        <w:tc>
          <w:tcPr>
            <w:tcW w:type="dxa" w:w="1152"/>
          </w:tcPr>
          <w:p>
            <w:r/>
            <w:r>
              <w:rPr>
                <w:sz w:val="18"/>
              </w:rPr>
            </w:r>
          </w:p>
        </w:tc>
        <w:tc>
          <w:tcPr>
            <w:tcW w:type="dxa" w:w="1008"/>
          </w:tcPr>
          <w:p>
            <w:r/>
            <w:r>
              <w:rPr>
                <w:sz w:val="18"/>
              </w:rPr>
            </w:r>
          </w:p>
        </w:tc>
      </w:tr>
      <w:tr>
        <w:tc>
          <w:tcPr>
            <w:tcW w:type="dxa" w:w="1440"/>
          </w:tcPr>
          <w:p>
            <w:r/>
            <w:r>
              <w:rPr>
                <w:sz w:val="18"/>
              </w:rPr>
              <w:t>Specialist 2</w:t>
            </w:r>
          </w:p>
        </w:tc>
        <w:tc>
          <w:tcPr>
            <w:tcW w:type="dxa" w:w="1584"/>
          </w:tcPr>
          <w:p>
            <w:r/>
            <w:r>
              <w:rPr>
                <w:sz w:val="18"/>
              </w:rPr>
            </w:r>
          </w:p>
        </w:tc>
        <w:tc>
          <w:tcPr>
            <w:tcW w:type="dxa" w:w="2016"/>
          </w:tcPr>
          <w:p>
            <w:r/>
            <w:r>
              <w:rPr>
                <w:sz w:val="18"/>
              </w:rPr>
            </w:r>
          </w:p>
        </w:tc>
        <w:tc>
          <w:tcPr>
            <w:tcW w:type="dxa" w:w="1872"/>
          </w:tcPr>
          <w:p>
            <w:r/>
            <w:r>
              <w:rPr>
                <w:sz w:val="18"/>
              </w:rPr>
            </w:r>
          </w:p>
        </w:tc>
        <w:tc>
          <w:tcPr>
            <w:tcW w:type="dxa" w:w="1584"/>
          </w:tcPr>
          <w:p>
            <w:r/>
            <w:r>
              <w:rPr>
                <w:sz w:val="18"/>
              </w:rPr>
            </w:r>
          </w:p>
        </w:tc>
        <w:tc>
          <w:tcPr>
            <w:tcW w:type="dxa" w:w="1152"/>
          </w:tcPr>
          <w:p>
            <w:r/>
            <w:r>
              <w:rPr>
                <w:sz w:val="18"/>
              </w:rPr>
            </w:r>
          </w:p>
        </w:tc>
        <w:tc>
          <w:tcPr>
            <w:tcW w:type="dxa" w:w="1008"/>
          </w:tcPr>
          <w:p>
            <w:r/>
            <w:r>
              <w:rPr>
                <w:sz w:val="18"/>
              </w:rPr>
            </w:r>
          </w:p>
        </w:tc>
      </w:tr>
      <w:tr>
        <w:tc>
          <w:tcPr>
            <w:tcW w:type="dxa" w:w="1440"/>
          </w:tcPr>
          <w:p>
            <w:r/>
            <w:r>
              <w:rPr>
                <w:sz w:val="18"/>
              </w:rPr>
              <w:t>Specialist 3 (optional)</w:t>
            </w:r>
          </w:p>
        </w:tc>
        <w:tc>
          <w:tcPr>
            <w:tcW w:type="dxa" w:w="1584"/>
          </w:tcPr>
          <w:p>
            <w:r/>
            <w:r>
              <w:rPr>
                <w:sz w:val="18"/>
              </w:rPr>
            </w:r>
          </w:p>
        </w:tc>
        <w:tc>
          <w:tcPr>
            <w:tcW w:type="dxa" w:w="2016"/>
          </w:tcPr>
          <w:p>
            <w:r/>
            <w:r>
              <w:rPr>
                <w:sz w:val="18"/>
              </w:rPr>
            </w:r>
          </w:p>
        </w:tc>
        <w:tc>
          <w:tcPr>
            <w:tcW w:type="dxa" w:w="1872"/>
          </w:tcPr>
          <w:p>
            <w:r/>
            <w:r>
              <w:rPr>
                <w:sz w:val="18"/>
              </w:rPr>
            </w:r>
          </w:p>
        </w:tc>
        <w:tc>
          <w:tcPr>
            <w:tcW w:type="dxa" w:w="1584"/>
          </w:tcPr>
          <w:p>
            <w:r/>
            <w:r>
              <w:rPr>
                <w:sz w:val="18"/>
              </w:rPr>
            </w:r>
          </w:p>
        </w:tc>
        <w:tc>
          <w:tcPr>
            <w:tcW w:type="dxa" w:w="1152"/>
          </w:tcPr>
          <w:p>
            <w:r/>
            <w:r>
              <w:rPr>
                <w:sz w:val="18"/>
              </w:rPr>
            </w:r>
          </w:p>
        </w:tc>
        <w:tc>
          <w:tcPr>
            <w:tcW w:type="dxa" w:w="1008"/>
          </w:tcPr>
          <w:p>
            <w:r/>
            <w:r>
              <w:rPr>
                <w:sz w:val="18"/>
              </w:rPr>
            </w:r>
          </w:p>
        </w:tc>
      </w:tr>
    </w:tbl>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1F3A5F"/>
          </w:tcPr>
          <w:p>
            <w:r/>
            <w:r>
              <w:rPr>
                <w:b/>
                <w:color w:val="FFFFFF"/>
                <w:sz w:val="20"/>
              </w:rPr>
              <w:t>Layer</w:t>
            </w:r>
          </w:p>
        </w:tc>
        <w:tc>
          <w:tcPr>
            <w:tcW w:type="dxa" w:w="6048"/>
            <w:shd w:val="clear" w:color="auto" w:fill="1F3A5F"/>
          </w:tcPr>
          <w:p>
            <w:r/>
            <w:r>
              <w:rPr>
                <w:b/>
                <w:color w:val="FFFFFF"/>
                <w:sz w:val="20"/>
              </w:rPr>
              <w:t>Your answer</w:t>
            </w:r>
          </w:p>
        </w:tc>
      </w:tr>
      <w:tr>
        <w:tc>
          <w:tcPr>
            <w:tcW w:type="dxa" w:w="3744"/>
          </w:tcPr>
          <w:p>
            <w:r/>
            <w:r>
              <w:rPr>
                <w:sz w:val="20"/>
              </w:rPr>
              <w:t>Architecture</w:t>
            </w:r>
          </w:p>
        </w:tc>
        <w:tc>
          <w:tcPr>
            <w:tcW w:type="dxa" w:w="6048"/>
          </w:tcPr>
          <w:p>
            <w:r/>
            <w:r>
              <w:rPr>
                <w:sz w:val="20"/>
              </w:rPr>
            </w:r>
          </w:p>
        </w:tc>
      </w:tr>
      <w:tr>
        <w:tc>
          <w:tcPr>
            <w:tcW w:type="dxa" w:w="3744"/>
          </w:tcPr>
          <w:p>
            <w:r/>
            <w:r>
              <w:rPr>
                <w:sz w:val="20"/>
              </w:rPr>
              <w:t>Knowledge</w:t>
            </w:r>
          </w:p>
        </w:tc>
        <w:tc>
          <w:tcPr>
            <w:tcW w:type="dxa" w:w="6048"/>
          </w:tcPr>
          <w:p>
            <w:r/>
            <w:r>
              <w:rPr>
                <w:sz w:val="20"/>
              </w:rPr>
            </w:r>
          </w:p>
        </w:tc>
      </w:tr>
      <w:tr>
        <w:tc>
          <w:tcPr>
            <w:tcW w:type="dxa" w:w="3744"/>
          </w:tcPr>
          <w:p>
            <w:r/>
            <w:r>
              <w:rPr>
                <w:sz w:val="20"/>
              </w:rPr>
              <w:t>Actions</w:t>
            </w:r>
          </w:p>
        </w:tc>
        <w:tc>
          <w:tcPr>
            <w:tcW w:type="dxa" w:w="6048"/>
          </w:tcPr>
          <w:p>
            <w:r/>
            <w:r>
              <w:rPr>
                <w:sz w:val="20"/>
              </w:rPr>
            </w:r>
          </w:p>
        </w:tc>
      </w:tr>
      <w:tr>
        <w:tc>
          <w:tcPr>
            <w:tcW w:type="dxa" w:w="3744"/>
          </w:tcPr>
          <w:p>
            <w:r/>
            <w:r>
              <w:rPr>
                <w:sz w:val="20"/>
              </w:rPr>
              <w:t>Security (group, DLP, authentication)</w:t>
            </w:r>
          </w:p>
        </w:tc>
        <w:tc>
          <w:tcPr>
            <w:tcW w:type="dxa" w:w="6048"/>
          </w:tcPr>
          <w:p>
            <w:r/>
            <w:r>
              <w:rPr>
                <w:sz w:val="20"/>
              </w:rPr>
            </w:r>
          </w:p>
        </w:tc>
      </w:tr>
      <w:tr>
        <w:tc>
          <w:tcPr>
            <w:tcW w:type="dxa" w:w="3744"/>
          </w:tcPr>
          <w:p>
            <w:r/>
            <w:r>
              <w:rPr>
                <w:sz w:val="20"/>
              </w:rPr>
              <w:t>Lifecycle (environments, solution)</w:t>
            </w:r>
          </w:p>
        </w:tc>
        <w:tc>
          <w:tcPr>
            <w:tcW w:type="dxa" w:w="6048"/>
          </w:tcPr>
          <w:p>
            <w:r/>
            <w:r>
              <w:rPr>
                <w:sz w:val="20"/>
              </w:rPr>
            </w:r>
          </w:p>
        </w:tc>
      </w:tr>
      <w:tr>
        <w:tc>
          <w:tcPr>
            <w:tcW w:type="dxa" w:w="3744"/>
          </w:tcPr>
          <w:p>
            <w:r/>
            <w:r>
              <w:rPr>
                <w:sz w:val="20"/>
              </w:rPr>
              <w:t>Cost (monthly credit figure)</w:t>
            </w:r>
          </w:p>
        </w:tc>
        <w:tc>
          <w:tcPr>
            <w:tcW w:type="dxa" w:w="6048"/>
          </w:tcPr>
          <w:p>
            <w:r/>
            <w:r>
              <w:rPr>
                <w:sz w:val="20"/>
              </w:rPr>
            </w:r>
          </w:p>
        </w:tc>
      </w:tr>
      <w:tr>
        <w:tc>
          <w:tcPr>
            <w:tcW w:type="dxa" w:w="3744"/>
          </w:tcPr>
          <w:p>
            <w:r/>
            <w:r>
              <w:rPr>
                <w:sz w:val="20"/>
              </w:rPr>
              <w:t>Operations (metrics and monthly review owner)</w:t>
            </w:r>
          </w:p>
        </w:tc>
        <w:tc>
          <w:tcPr>
            <w:tcW w:type="dxa" w:w="6048"/>
          </w:tcPr>
          <w:p>
            <w:r/>
            <w:r>
              <w:rPr>
                <w:sz w:val="20"/>
              </w:rPr>
            </w:r>
          </w:p>
        </w:tc>
      </w:tr>
    </w:tbl>
    <w:p/>
    <w:p>
      <w:pPr>
        <w:pStyle w:val="Heading3"/>
      </w:pPr>
      <w:r>
        <w:t>Why not one agent?</w:t>
      </w:r>
    </w:p>
    <w:p>
      <w:r>
        <w:rPr>
          <w:b w:val="0"/>
          <w:i w:val="0"/>
        </w:rPr>
        <w:t>The single-agent anti-pattern: returns handling, supplier chasing and sales reporting in one agent produces long, contradictory instructions, unbounded knowledge, one shared risk profile and no way to assign ownership. Splitting gives each specialist tight instructions, bounded knowledge, its own risk profile and a named owner.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