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467" w:rsidRPr="00C9552E" w:rsidRDefault="00FF7467" w:rsidP="00FF7467">
      <w:pPr>
        <w:pStyle w:val="NormalWeb"/>
        <w:jc w:val="both"/>
        <w:rPr>
          <w:rStyle w:val="Strong"/>
          <w:rFonts w:asciiTheme="minorHAnsi" w:hAnsiTheme="minorHAnsi" w:cstheme="minorHAnsi"/>
          <w:sz w:val="72"/>
          <w:szCs w:val="72"/>
        </w:rPr>
      </w:pPr>
    </w:p>
    <w:p w:rsidR="00FF7467" w:rsidRPr="00C9552E" w:rsidRDefault="00FF7467" w:rsidP="00FF7467">
      <w:pPr>
        <w:pStyle w:val="Heading1"/>
        <w:rPr>
          <w:rStyle w:val="Strong"/>
          <w:rFonts w:asciiTheme="minorHAnsi" w:hAnsiTheme="minorHAnsi" w:cstheme="minorHAnsi"/>
          <w:color w:val="FFFFFF" w:themeColor="background1"/>
          <w:sz w:val="72"/>
          <w:szCs w:val="72"/>
        </w:rPr>
      </w:pPr>
      <w:r w:rsidRPr="00C9552E">
        <w:rPr>
          <w:rStyle w:val="Strong"/>
          <w:rFonts w:asciiTheme="minorHAnsi" w:hAnsiTheme="minorHAnsi" w:cstheme="minorHAnsi"/>
          <w:color w:val="FFFFFF" w:themeColor="background1"/>
          <w:sz w:val="72"/>
          <w:szCs w:val="72"/>
          <w:highlight w:val="magenta"/>
        </w:rPr>
        <w:t>Hemang Doshi Techassurance</w:t>
      </w:r>
      <w:r w:rsidRPr="00C9552E">
        <w:rPr>
          <w:rStyle w:val="Strong"/>
          <w:rFonts w:asciiTheme="minorHAnsi" w:hAnsiTheme="minorHAnsi" w:cstheme="minorHAnsi"/>
          <w:color w:val="FFFFFF" w:themeColor="background1"/>
          <w:sz w:val="72"/>
          <w:szCs w:val="72"/>
        </w:rPr>
        <w:t xml:space="preserve"> </w:t>
      </w:r>
    </w:p>
    <w:p w:rsidR="00FF7467" w:rsidRPr="00C9552E" w:rsidRDefault="00FF7467" w:rsidP="00FF7467">
      <w:pPr>
        <w:pStyle w:val="NormalWeb"/>
        <w:jc w:val="both"/>
        <w:rPr>
          <w:rStyle w:val="Strong"/>
          <w:rFonts w:asciiTheme="minorHAnsi" w:hAnsiTheme="minorHAnsi" w:cstheme="minorHAnsi"/>
          <w:sz w:val="72"/>
          <w:szCs w:val="72"/>
        </w:rPr>
      </w:pPr>
    </w:p>
    <w:p w:rsidR="00FF7467" w:rsidRPr="00C9552E" w:rsidRDefault="00FF7467" w:rsidP="00FF7467">
      <w:pPr>
        <w:pStyle w:val="NormalWeb"/>
        <w:jc w:val="both"/>
        <w:rPr>
          <w:rStyle w:val="Strong"/>
          <w:rFonts w:asciiTheme="minorHAnsi" w:hAnsiTheme="minorHAnsi" w:cstheme="minorHAnsi"/>
          <w:sz w:val="72"/>
          <w:szCs w:val="72"/>
        </w:rPr>
      </w:pPr>
    </w:p>
    <w:p w:rsidR="00FF7467" w:rsidRPr="00C9552E" w:rsidRDefault="00FF7467" w:rsidP="00FF7467">
      <w:pPr>
        <w:pStyle w:val="NormalWeb"/>
        <w:jc w:val="both"/>
        <w:rPr>
          <w:rStyle w:val="Strong"/>
          <w:rFonts w:asciiTheme="minorHAnsi" w:hAnsiTheme="minorHAnsi" w:cstheme="minorHAnsi"/>
          <w:sz w:val="72"/>
          <w:szCs w:val="72"/>
        </w:rPr>
      </w:pPr>
    </w:p>
    <w:p w:rsidR="00FF7467" w:rsidRPr="00C9552E" w:rsidRDefault="00FF7467" w:rsidP="00FF7467">
      <w:pPr>
        <w:pStyle w:val="NormalWeb"/>
        <w:jc w:val="both"/>
        <w:rPr>
          <w:rStyle w:val="Strong"/>
          <w:rFonts w:asciiTheme="minorHAnsi" w:hAnsiTheme="minorHAnsi" w:cstheme="minorHAnsi"/>
          <w:sz w:val="72"/>
          <w:szCs w:val="72"/>
        </w:rPr>
      </w:pPr>
    </w:p>
    <w:p w:rsidR="00FF7467" w:rsidRDefault="00FF7467" w:rsidP="00FF7467">
      <w:pPr>
        <w:pStyle w:val="NormalWeb"/>
        <w:jc w:val="center"/>
        <w:rPr>
          <w:rStyle w:val="Strong"/>
          <w:rFonts w:asciiTheme="minorHAnsi" w:eastAsiaTheme="majorEastAsia" w:hAnsiTheme="minorHAnsi" w:cstheme="minorHAnsi"/>
          <w:sz w:val="48"/>
          <w:szCs w:val="48"/>
        </w:rPr>
      </w:pPr>
      <w:r>
        <w:rPr>
          <w:rStyle w:val="Strong"/>
          <w:rFonts w:asciiTheme="minorHAnsi" w:eastAsiaTheme="majorEastAsia" w:hAnsiTheme="minorHAnsi" w:cstheme="minorHAnsi"/>
          <w:sz w:val="48"/>
          <w:szCs w:val="48"/>
        </w:rPr>
        <w:t>Artificial Intelligence (AI)</w:t>
      </w:r>
    </w:p>
    <w:p w:rsidR="00FF7467" w:rsidRPr="00C9552E" w:rsidRDefault="00FF7467" w:rsidP="00FF7467">
      <w:pPr>
        <w:pStyle w:val="NormalWeb"/>
        <w:jc w:val="center"/>
        <w:rPr>
          <w:rStyle w:val="Strong"/>
          <w:rFonts w:asciiTheme="minorHAnsi" w:hAnsiTheme="minorHAnsi" w:cstheme="minorHAnsi"/>
          <w:sz w:val="48"/>
          <w:szCs w:val="48"/>
        </w:rPr>
      </w:pPr>
      <w:r>
        <w:rPr>
          <w:rStyle w:val="Strong"/>
          <w:rFonts w:asciiTheme="minorHAnsi" w:eastAsiaTheme="majorEastAsia" w:hAnsiTheme="minorHAnsi" w:cstheme="minorHAnsi"/>
          <w:sz w:val="48"/>
          <w:szCs w:val="48"/>
        </w:rPr>
        <w:t>Governance</w:t>
      </w:r>
      <w:r w:rsidRPr="00C9552E">
        <w:rPr>
          <w:rStyle w:val="Strong"/>
          <w:rFonts w:asciiTheme="minorHAnsi" w:eastAsiaTheme="majorEastAsia" w:hAnsiTheme="minorHAnsi" w:cstheme="minorHAnsi"/>
          <w:sz w:val="48"/>
          <w:szCs w:val="48"/>
        </w:rPr>
        <w:t xml:space="preserve"> Policy</w:t>
      </w: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Paragraph1"/>
        <w:jc w:val="center"/>
        <w:rPr>
          <w:rFonts w:asciiTheme="minorHAnsi" w:hAnsiTheme="minorHAnsi" w:cstheme="minorHAnsi"/>
          <w:sz w:val="32"/>
          <w:szCs w:val="32"/>
        </w:rPr>
      </w:pPr>
      <w:r w:rsidRPr="00C9552E">
        <w:rPr>
          <w:rFonts w:asciiTheme="minorHAnsi" w:hAnsiTheme="minorHAnsi" w:cstheme="minorHAnsi"/>
          <w:sz w:val="32"/>
          <w:szCs w:val="32"/>
        </w:rPr>
        <w:t>Version 1.0</w:t>
      </w:r>
    </w:p>
    <w:p w:rsidR="00FF7467" w:rsidRPr="00C9552E" w:rsidRDefault="00FF7467" w:rsidP="00FF7467">
      <w:pPr>
        <w:pStyle w:val="Paragraph1"/>
        <w:jc w:val="center"/>
        <w:rPr>
          <w:rFonts w:asciiTheme="minorHAnsi" w:hAnsiTheme="minorHAnsi" w:cstheme="minorHAnsi"/>
          <w:sz w:val="32"/>
          <w:szCs w:val="32"/>
        </w:rPr>
      </w:pPr>
    </w:p>
    <w:p w:rsidR="00FF7467" w:rsidRPr="00C9552E" w:rsidRDefault="00FF7467" w:rsidP="00FF7467">
      <w:pPr>
        <w:pStyle w:val="Paragraph1"/>
        <w:jc w:val="center"/>
        <w:rPr>
          <w:rFonts w:asciiTheme="minorHAnsi" w:hAnsiTheme="minorHAnsi" w:cstheme="minorHAnsi"/>
          <w:sz w:val="32"/>
          <w:szCs w:val="32"/>
        </w:rPr>
      </w:pPr>
      <w:r w:rsidRPr="00C9552E">
        <w:rPr>
          <w:rFonts w:asciiTheme="minorHAnsi" w:hAnsiTheme="minorHAnsi" w:cstheme="minorHAnsi"/>
          <w:sz w:val="32"/>
          <w:szCs w:val="32"/>
        </w:rPr>
        <w:t>Jan 20</w:t>
      </w:r>
      <w:r>
        <w:rPr>
          <w:rFonts w:asciiTheme="minorHAnsi" w:hAnsiTheme="minorHAnsi" w:cstheme="minorHAnsi"/>
          <w:sz w:val="32"/>
          <w:szCs w:val="32"/>
        </w:rPr>
        <w:t>30</w:t>
      </w: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pStyle w:val="NormalWeb"/>
        <w:jc w:val="both"/>
        <w:rPr>
          <w:rStyle w:val="Strong"/>
          <w:rFonts w:asciiTheme="minorHAnsi" w:hAnsiTheme="minorHAnsi" w:cstheme="minorHAnsi"/>
          <w:sz w:val="22"/>
          <w:szCs w:val="22"/>
        </w:rPr>
      </w:pPr>
    </w:p>
    <w:p w:rsidR="00FF7467" w:rsidRPr="00C9552E" w:rsidRDefault="00FF7467" w:rsidP="00FF7467">
      <w:pPr>
        <w:rPr>
          <w:rFonts w:cstheme="minorHAnsi"/>
          <w:szCs w:val="22"/>
        </w:rPr>
      </w:pPr>
    </w:p>
    <w:tbl>
      <w:tblPr>
        <w:tblStyle w:val="TableGrid"/>
        <w:tblW w:w="0" w:type="auto"/>
        <w:tblLook w:val="04A0" w:firstRow="1" w:lastRow="0" w:firstColumn="1" w:lastColumn="0" w:noHBand="0" w:noVBand="1"/>
      </w:tblPr>
      <w:tblGrid>
        <w:gridCol w:w="2373"/>
        <w:gridCol w:w="6643"/>
      </w:tblGrid>
      <w:tr w:rsidR="00FF7467" w:rsidRPr="00C9552E" w:rsidTr="00C85731">
        <w:trPr>
          <w:trHeight w:val="432"/>
        </w:trPr>
        <w:tc>
          <w:tcPr>
            <w:tcW w:w="9350" w:type="dxa"/>
            <w:gridSpan w:val="2"/>
            <w:shd w:val="clear" w:color="auto" w:fill="F2F2F2" w:themeFill="background1" w:themeFillShade="F2"/>
            <w:vAlign w:val="center"/>
          </w:tcPr>
          <w:p w:rsidR="00FF7467" w:rsidRPr="00C9552E" w:rsidRDefault="00FF7467" w:rsidP="00C85731">
            <w:pPr>
              <w:jc w:val="center"/>
              <w:rPr>
                <w:rFonts w:cstheme="minorHAnsi"/>
                <w:b/>
                <w:bCs/>
                <w:szCs w:val="22"/>
              </w:rPr>
            </w:pPr>
            <w:r w:rsidRPr="00C9552E">
              <w:rPr>
                <w:rFonts w:cstheme="minorHAnsi"/>
                <w:b/>
                <w:bCs/>
                <w:szCs w:val="22"/>
              </w:rPr>
              <w:t>Document Properties</w:t>
            </w:r>
          </w:p>
        </w:tc>
      </w:tr>
      <w:tr w:rsidR="00FF7467" w:rsidRPr="00C9552E" w:rsidTr="00C85731">
        <w:trPr>
          <w:trHeight w:val="432"/>
        </w:trPr>
        <w:tc>
          <w:tcPr>
            <w:tcW w:w="2425" w:type="dxa"/>
            <w:shd w:val="clear" w:color="auto" w:fill="F2F2F2" w:themeFill="background1" w:themeFillShade="F2"/>
            <w:vAlign w:val="center"/>
          </w:tcPr>
          <w:p w:rsidR="00FF7467" w:rsidRPr="00C9552E" w:rsidRDefault="00FF7467" w:rsidP="00C85731">
            <w:pPr>
              <w:rPr>
                <w:rFonts w:cstheme="minorHAnsi"/>
                <w:i/>
                <w:iCs/>
                <w:szCs w:val="22"/>
              </w:rPr>
            </w:pPr>
            <w:r w:rsidRPr="00C9552E">
              <w:rPr>
                <w:rFonts w:cstheme="minorHAnsi"/>
                <w:i/>
                <w:iCs/>
                <w:szCs w:val="22"/>
              </w:rPr>
              <w:t>Property</w:t>
            </w:r>
          </w:p>
        </w:tc>
        <w:tc>
          <w:tcPr>
            <w:tcW w:w="6925" w:type="dxa"/>
            <w:shd w:val="clear" w:color="auto" w:fill="F2F2F2" w:themeFill="background1" w:themeFillShade="F2"/>
            <w:vAlign w:val="center"/>
          </w:tcPr>
          <w:p w:rsidR="00FF7467" w:rsidRPr="00C9552E" w:rsidRDefault="00FF7467" w:rsidP="00C85731">
            <w:pPr>
              <w:rPr>
                <w:rFonts w:cstheme="minorHAnsi"/>
                <w:i/>
                <w:iCs/>
                <w:szCs w:val="22"/>
              </w:rPr>
            </w:pPr>
            <w:r w:rsidRPr="00C9552E">
              <w:rPr>
                <w:rFonts w:cstheme="minorHAnsi"/>
                <w:i/>
                <w:iCs/>
                <w:szCs w:val="22"/>
              </w:rPr>
              <w:t>Description</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sidRPr="00C9552E">
              <w:rPr>
                <w:rFonts w:cstheme="minorHAnsi"/>
                <w:szCs w:val="22"/>
              </w:rPr>
              <w:t>Data Classification</w:t>
            </w:r>
          </w:p>
        </w:tc>
        <w:tc>
          <w:tcPr>
            <w:tcW w:w="6925" w:type="dxa"/>
            <w:vAlign w:val="center"/>
          </w:tcPr>
          <w:p w:rsidR="00FF7467" w:rsidRPr="00C9552E" w:rsidRDefault="00FF7467" w:rsidP="00C85731">
            <w:pPr>
              <w:rPr>
                <w:rFonts w:cstheme="minorHAnsi"/>
                <w:szCs w:val="22"/>
              </w:rPr>
            </w:pPr>
            <w:r w:rsidRPr="00C9552E">
              <w:rPr>
                <w:rFonts w:cstheme="minorHAnsi"/>
                <w:szCs w:val="22"/>
              </w:rPr>
              <w:t>Confidential</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sidRPr="00C9552E">
              <w:rPr>
                <w:rFonts w:cstheme="minorHAnsi"/>
                <w:szCs w:val="22"/>
              </w:rPr>
              <w:t>Document Owner</w:t>
            </w:r>
          </w:p>
        </w:tc>
        <w:tc>
          <w:tcPr>
            <w:tcW w:w="6925" w:type="dxa"/>
            <w:vAlign w:val="center"/>
          </w:tcPr>
          <w:p w:rsidR="00FF7467" w:rsidRPr="00C9552E" w:rsidRDefault="00FF7467" w:rsidP="00F20258">
            <w:pPr>
              <w:rPr>
                <w:rFonts w:cstheme="minorHAnsi"/>
                <w:szCs w:val="22"/>
              </w:rPr>
            </w:pPr>
            <w:r>
              <w:rPr>
                <w:rFonts w:cstheme="minorHAnsi"/>
                <w:szCs w:val="22"/>
              </w:rPr>
              <w:t xml:space="preserve">AI GRC </w:t>
            </w:r>
            <w:r w:rsidR="00F20258">
              <w:rPr>
                <w:rFonts w:cstheme="minorHAnsi"/>
                <w:szCs w:val="22"/>
              </w:rPr>
              <w:t>Lead</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sidRPr="00C9552E">
              <w:rPr>
                <w:rFonts w:cstheme="minorHAnsi"/>
                <w:szCs w:val="22"/>
              </w:rPr>
              <w:t xml:space="preserve">Document Approver </w:t>
            </w:r>
          </w:p>
        </w:tc>
        <w:tc>
          <w:tcPr>
            <w:tcW w:w="6925" w:type="dxa"/>
            <w:vAlign w:val="center"/>
          </w:tcPr>
          <w:p w:rsidR="00FF7467" w:rsidRPr="00C9552E" w:rsidRDefault="00FF7467" w:rsidP="00C85731">
            <w:pPr>
              <w:rPr>
                <w:rFonts w:cstheme="minorHAnsi"/>
                <w:szCs w:val="22"/>
              </w:rPr>
            </w:pPr>
            <w:r w:rsidRPr="00C9552E">
              <w:rPr>
                <w:rFonts w:cstheme="minorHAnsi"/>
                <w:szCs w:val="22"/>
              </w:rPr>
              <w:t xml:space="preserve">Board </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sidRPr="00C9552E">
              <w:rPr>
                <w:rFonts w:cstheme="minorHAnsi"/>
                <w:szCs w:val="22"/>
              </w:rPr>
              <w:t>Document Version</w:t>
            </w:r>
          </w:p>
        </w:tc>
        <w:tc>
          <w:tcPr>
            <w:tcW w:w="6925" w:type="dxa"/>
            <w:vAlign w:val="center"/>
          </w:tcPr>
          <w:p w:rsidR="00FF7467" w:rsidRPr="00C9552E" w:rsidRDefault="00FF7467" w:rsidP="00C85731">
            <w:pPr>
              <w:rPr>
                <w:rFonts w:cstheme="minorHAnsi"/>
                <w:szCs w:val="22"/>
              </w:rPr>
            </w:pPr>
            <w:r w:rsidRPr="00C9552E">
              <w:rPr>
                <w:rFonts w:cstheme="minorHAnsi"/>
                <w:szCs w:val="22"/>
              </w:rPr>
              <w:t>1.0</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Pr>
                <w:rFonts w:cstheme="minorHAnsi"/>
                <w:szCs w:val="22"/>
              </w:rPr>
              <w:t>Document Format</w:t>
            </w:r>
          </w:p>
        </w:tc>
        <w:tc>
          <w:tcPr>
            <w:tcW w:w="6925" w:type="dxa"/>
            <w:vAlign w:val="center"/>
          </w:tcPr>
          <w:p w:rsidR="00FF7467" w:rsidRPr="00C9552E" w:rsidRDefault="00FF7467" w:rsidP="00C85731">
            <w:pPr>
              <w:rPr>
                <w:rFonts w:cstheme="minorHAnsi"/>
                <w:szCs w:val="22"/>
              </w:rPr>
            </w:pPr>
            <w:r>
              <w:rPr>
                <w:rFonts w:cstheme="minorHAnsi"/>
                <w:szCs w:val="22"/>
              </w:rPr>
              <w:t>Digitally signed PDF</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sidRPr="00C9552E">
              <w:rPr>
                <w:rFonts w:cstheme="minorHAnsi"/>
                <w:szCs w:val="22"/>
              </w:rPr>
              <w:t xml:space="preserve">Effective Date </w:t>
            </w:r>
          </w:p>
        </w:tc>
        <w:tc>
          <w:tcPr>
            <w:tcW w:w="6925" w:type="dxa"/>
            <w:vAlign w:val="center"/>
          </w:tcPr>
          <w:p w:rsidR="00FF7467" w:rsidRPr="00C9552E" w:rsidRDefault="00FF7467" w:rsidP="00C85731">
            <w:pPr>
              <w:rPr>
                <w:rFonts w:cstheme="minorHAnsi"/>
                <w:szCs w:val="22"/>
              </w:rPr>
            </w:pPr>
            <w:r>
              <w:rPr>
                <w:rFonts w:cstheme="minorHAnsi"/>
                <w:szCs w:val="22"/>
              </w:rPr>
              <w:t>01-Jan-2030</w:t>
            </w:r>
          </w:p>
        </w:tc>
      </w:tr>
      <w:tr w:rsidR="00FF7467" w:rsidRPr="00C9552E" w:rsidTr="00C85731">
        <w:trPr>
          <w:trHeight w:val="576"/>
        </w:trPr>
        <w:tc>
          <w:tcPr>
            <w:tcW w:w="2425" w:type="dxa"/>
            <w:shd w:val="clear" w:color="auto" w:fill="F2F2F2" w:themeFill="background1" w:themeFillShade="F2"/>
            <w:vAlign w:val="center"/>
          </w:tcPr>
          <w:p w:rsidR="00FF7467" w:rsidRPr="00C9552E" w:rsidRDefault="00FF7467" w:rsidP="00C85731">
            <w:pPr>
              <w:rPr>
                <w:rFonts w:cstheme="minorHAnsi"/>
                <w:szCs w:val="22"/>
              </w:rPr>
            </w:pPr>
            <w:r w:rsidRPr="00C9552E">
              <w:rPr>
                <w:rFonts w:cstheme="minorHAnsi"/>
                <w:szCs w:val="22"/>
              </w:rPr>
              <w:t>Distribution</w:t>
            </w:r>
          </w:p>
        </w:tc>
        <w:tc>
          <w:tcPr>
            <w:tcW w:w="6925" w:type="dxa"/>
            <w:vAlign w:val="center"/>
          </w:tcPr>
          <w:p w:rsidR="00FF7467" w:rsidRPr="00C9552E" w:rsidRDefault="00FF7467" w:rsidP="00C85731">
            <w:pPr>
              <w:rPr>
                <w:rFonts w:cstheme="minorHAnsi"/>
                <w:szCs w:val="22"/>
              </w:rPr>
            </w:pPr>
            <w:r w:rsidRPr="00C9552E">
              <w:rPr>
                <w:rFonts w:cstheme="minorHAnsi"/>
                <w:szCs w:val="22"/>
              </w:rPr>
              <w:t xml:space="preserve">Internal </w:t>
            </w:r>
          </w:p>
        </w:tc>
      </w:tr>
    </w:tbl>
    <w:p w:rsidR="00FF7467" w:rsidRPr="00C9552E" w:rsidRDefault="00FF7467" w:rsidP="00FF7467">
      <w:pPr>
        <w:rPr>
          <w:rFonts w:cstheme="minorHAnsi"/>
          <w:szCs w:val="22"/>
        </w:rPr>
      </w:pPr>
    </w:p>
    <w:p w:rsidR="00FF7467" w:rsidRDefault="00FF7467" w:rsidP="00FF7467">
      <w:pPr>
        <w:rPr>
          <w:rFonts w:cstheme="minorHAnsi"/>
          <w:szCs w:val="22"/>
        </w:rPr>
      </w:pPr>
    </w:p>
    <w:p w:rsidR="00FF7467" w:rsidRPr="00C9552E" w:rsidRDefault="00FF7467" w:rsidP="00FF7467">
      <w:pPr>
        <w:rPr>
          <w:rFonts w:cstheme="minorHAnsi"/>
          <w:szCs w:val="22"/>
        </w:rPr>
      </w:pPr>
    </w:p>
    <w:tbl>
      <w:tblPr>
        <w:tblStyle w:val="TableGrid"/>
        <w:tblW w:w="0" w:type="auto"/>
        <w:tblLook w:val="04A0" w:firstRow="1" w:lastRow="0" w:firstColumn="1" w:lastColumn="0" w:noHBand="0" w:noVBand="1"/>
      </w:tblPr>
      <w:tblGrid>
        <w:gridCol w:w="911"/>
        <w:gridCol w:w="1572"/>
        <w:gridCol w:w="2046"/>
        <w:gridCol w:w="2406"/>
        <w:gridCol w:w="2081"/>
      </w:tblGrid>
      <w:tr w:rsidR="00FF7467" w:rsidRPr="00C9552E" w:rsidTr="00C85731">
        <w:trPr>
          <w:trHeight w:val="432"/>
        </w:trPr>
        <w:tc>
          <w:tcPr>
            <w:tcW w:w="4620" w:type="dxa"/>
            <w:gridSpan w:val="3"/>
            <w:shd w:val="clear" w:color="auto" w:fill="F2F2F2" w:themeFill="background1" w:themeFillShade="F2"/>
            <w:vAlign w:val="center"/>
          </w:tcPr>
          <w:p w:rsidR="00FF7467" w:rsidRPr="00C9552E" w:rsidRDefault="00FF7467" w:rsidP="00C85731">
            <w:pPr>
              <w:jc w:val="center"/>
              <w:rPr>
                <w:rFonts w:cstheme="minorHAnsi"/>
                <w:b/>
                <w:bCs/>
                <w:szCs w:val="22"/>
              </w:rPr>
            </w:pPr>
            <w:r w:rsidRPr="00C9552E">
              <w:rPr>
                <w:rFonts w:cstheme="minorHAnsi"/>
                <w:b/>
                <w:bCs/>
                <w:szCs w:val="22"/>
              </w:rPr>
              <w:t>Revision History</w:t>
            </w:r>
          </w:p>
        </w:tc>
        <w:tc>
          <w:tcPr>
            <w:tcW w:w="2481" w:type="dxa"/>
            <w:vMerge w:val="restart"/>
            <w:shd w:val="clear" w:color="auto" w:fill="F2F2F2" w:themeFill="background1" w:themeFillShade="F2"/>
          </w:tcPr>
          <w:p w:rsidR="00FF7467" w:rsidRPr="00C9552E" w:rsidRDefault="00FF7467" w:rsidP="00C85731">
            <w:pPr>
              <w:jc w:val="center"/>
              <w:rPr>
                <w:rFonts w:cstheme="minorHAnsi"/>
                <w:b/>
                <w:bCs/>
                <w:szCs w:val="22"/>
              </w:rPr>
            </w:pPr>
            <w:r w:rsidRPr="00C9552E">
              <w:rPr>
                <w:rFonts w:cstheme="minorHAnsi"/>
                <w:i/>
                <w:iCs/>
                <w:szCs w:val="22"/>
              </w:rPr>
              <w:t>Policy Approved by</w:t>
            </w:r>
          </w:p>
        </w:tc>
        <w:tc>
          <w:tcPr>
            <w:tcW w:w="2141" w:type="dxa"/>
            <w:vMerge w:val="restart"/>
            <w:shd w:val="clear" w:color="auto" w:fill="F2F2F2" w:themeFill="background1" w:themeFillShade="F2"/>
          </w:tcPr>
          <w:p w:rsidR="00FF7467" w:rsidRPr="00C9552E" w:rsidRDefault="00FF7467" w:rsidP="00C85731">
            <w:pPr>
              <w:jc w:val="center"/>
              <w:rPr>
                <w:rFonts w:cstheme="minorHAnsi"/>
                <w:b/>
                <w:bCs/>
                <w:szCs w:val="22"/>
              </w:rPr>
            </w:pPr>
            <w:r w:rsidRPr="00C9552E">
              <w:rPr>
                <w:rFonts w:cstheme="minorHAnsi"/>
                <w:i/>
                <w:iCs/>
                <w:szCs w:val="22"/>
              </w:rPr>
              <w:t xml:space="preserve">Approval Date </w:t>
            </w:r>
          </w:p>
        </w:tc>
      </w:tr>
      <w:tr w:rsidR="00FF7467" w:rsidRPr="00C9552E" w:rsidTr="00C85731">
        <w:trPr>
          <w:trHeight w:val="432"/>
        </w:trPr>
        <w:tc>
          <w:tcPr>
            <w:tcW w:w="913" w:type="dxa"/>
            <w:shd w:val="clear" w:color="auto" w:fill="F2F2F2" w:themeFill="background1" w:themeFillShade="F2"/>
            <w:vAlign w:val="center"/>
          </w:tcPr>
          <w:p w:rsidR="00FF7467" w:rsidRPr="00C9552E" w:rsidRDefault="00FF7467" w:rsidP="00C85731">
            <w:pPr>
              <w:jc w:val="center"/>
              <w:rPr>
                <w:rFonts w:cstheme="minorHAnsi"/>
                <w:i/>
                <w:iCs/>
                <w:szCs w:val="22"/>
              </w:rPr>
            </w:pPr>
            <w:r w:rsidRPr="00C9552E">
              <w:rPr>
                <w:rFonts w:cstheme="minorHAnsi"/>
                <w:i/>
                <w:iCs/>
                <w:szCs w:val="22"/>
              </w:rPr>
              <w:t>Version No.</w:t>
            </w:r>
          </w:p>
        </w:tc>
        <w:tc>
          <w:tcPr>
            <w:tcW w:w="1605" w:type="dxa"/>
            <w:tcBorders>
              <w:right w:val="single" w:sz="4" w:space="0" w:color="auto"/>
            </w:tcBorders>
            <w:shd w:val="clear" w:color="auto" w:fill="F2F2F2" w:themeFill="background1" w:themeFillShade="F2"/>
            <w:vAlign w:val="center"/>
          </w:tcPr>
          <w:p w:rsidR="00FF7467" w:rsidRPr="00C9552E" w:rsidRDefault="00FF7467" w:rsidP="00C85731">
            <w:pPr>
              <w:jc w:val="center"/>
              <w:rPr>
                <w:rFonts w:cstheme="minorHAnsi"/>
                <w:i/>
                <w:iCs/>
                <w:szCs w:val="22"/>
              </w:rPr>
            </w:pPr>
            <w:r w:rsidRPr="00C9552E">
              <w:rPr>
                <w:rFonts w:cstheme="minorHAnsi"/>
                <w:i/>
                <w:iCs/>
                <w:szCs w:val="22"/>
              </w:rPr>
              <w:t>Effective Date</w:t>
            </w:r>
          </w:p>
        </w:tc>
        <w:tc>
          <w:tcPr>
            <w:tcW w:w="2102" w:type="dxa"/>
            <w:tcBorders>
              <w:left w:val="single" w:sz="4" w:space="0" w:color="auto"/>
            </w:tcBorders>
            <w:shd w:val="clear" w:color="auto" w:fill="F2F2F2" w:themeFill="background1" w:themeFillShade="F2"/>
            <w:vAlign w:val="center"/>
          </w:tcPr>
          <w:p w:rsidR="00FF7467" w:rsidRPr="00C9552E" w:rsidRDefault="00FF7467" w:rsidP="00C85731">
            <w:pPr>
              <w:jc w:val="center"/>
              <w:rPr>
                <w:rFonts w:cstheme="minorHAnsi"/>
                <w:i/>
                <w:iCs/>
                <w:szCs w:val="22"/>
              </w:rPr>
            </w:pPr>
            <w:r w:rsidRPr="00C9552E">
              <w:rPr>
                <w:rFonts w:cstheme="minorHAnsi"/>
                <w:i/>
                <w:iCs/>
                <w:szCs w:val="22"/>
              </w:rPr>
              <w:t>Summary of Changes</w:t>
            </w:r>
          </w:p>
        </w:tc>
        <w:tc>
          <w:tcPr>
            <w:tcW w:w="2481" w:type="dxa"/>
            <w:vMerge/>
            <w:shd w:val="clear" w:color="auto" w:fill="F2F2F2" w:themeFill="background1" w:themeFillShade="F2"/>
          </w:tcPr>
          <w:p w:rsidR="00FF7467" w:rsidRPr="00C9552E" w:rsidRDefault="00FF7467" w:rsidP="00C85731">
            <w:pPr>
              <w:jc w:val="center"/>
              <w:rPr>
                <w:rFonts w:cstheme="minorHAnsi"/>
                <w:i/>
                <w:iCs/>
                <w:szCs w:val="22"/>
              </w:rPr>
            </w:pPr>
          </w:p>
        </w:tc>
        <w:tc>
          <w:tcPr>
            <w:tcW w:w="2141" w:type="dxa"/>
            <w:vMerge/>
            <w:shd w:val="clear" w:color="auto" w:fill="F2F2F2" w:themeFill="background1" w:themeFillShade="F2"/>
          </w:tcPr>
          <w:p w:rsidR="00FF7467" w:rsidRPr="00C9552E" w:rsidRDefault="00FF7467" w:rsidP="00C85731">
            <w:pPr>
              <w:jc w:val="center"/>
              <w:rPr>
                <w:rFonts w:cstheme="minorHAnsi"/>
                <w:i/>
                <w:iCs/>
                <w:szCs w:val="22"/>
              </w:rPr>
            </w:pPr>
          </w:p>
        </w:tc>
      </w:tr>
      <w:tr w:rsidR="00FF7467" w:rsidRPr="00C9552E" w:rsidTr="00C85731">
        <w:trPr>
          <w:trHeight w:val="576"/>
        </w:trPr>
        <w:tc>
          <w:tcPr>
            <w:tcW w:w="913" w:type="dxa"/>
            <w:shd w:val="clear" w:color="auto" w:fill="auto"/>
          </w:tcPr>
          <w:p w:rsidR="00FF7467" w:rsidRPr="00C9552E" w:rsidRDefault="00FF7467" w:rsidP="00C85731">
            <w:pPr>
              <w:jc w:val="center"/>
              <w:rPr>
                <w:rFonts w:cstheme="minorHAnsi"/>
                <w:szCs w:val="22"/>
              </w:rPr>
            </w:pPr>
            <w:bookmarkStart w:id="0" w:name="_Hlk57204881"/>
            <w:r w:rsidRPr="00C9552E">
              <w:rPr>
                <w:rFonts w:cstheme="minorHAnsi"/>
                <w:szCs w:val="22"/>
              </w:rPr>
              <w:t>1.0</w:t>
            </w:r>
          </w:p>
        </w:tc>
        <w:tc>
          <w:tcPr>
            <w:tcW w:w="1605" w:type="dxa"/>
            <w:tcBorders>
              <w:right w:val="single" w:sz="4" w:space="0" w:color="auto"/>
            </w:tcBorders>
          </w:tcPr>
          <w:p w:rsidR="00FF7467" w:rsidRPr="00C9552E" w:rsidRDefault="00FF7467" w:rsidP="00C85731">
            <w:pPr>
              <w:jc w:val="center"/>
              <w:rPr>
                <w:rFonts w:cstheme="minorHAnsi"/>
                <w:szCs w:val="22"/>
              </w:rPr>
            </w:pPr>
            <w:r>
              <w:rPr>
                <w:rFonts w:cstheme="minorHAnsi"/>
                <w:szCs w:val="22"/>
              </w:rPr>
              <w:t>01-Jan-2030</w:t>
            </w:r>
          </w:p>
        </w:tc>
        <w:tc>
          <w:tcPr>
            <w:tcW w:w="2102" w:type="dxa"/>
            <w:tcBorders>
              <w:left w:val="single" w:sz="4" w:space="0" w:color="auto"/>
            </w:tcBorders>
          </w:tcPr>
          <w:p w:rsidR="00FF7467" w:rsidRPr="00C9552E" w:rsidRDefault="00FF7467" w:rsidP="00C85731">
            <w:pPr>
              <w:rPr>
                <w:rFonts w:cstheme="minorHAnsi"/>
                <w:szCs w:val="22"/>
              </w:rPr>
            </w:pPr>
            <w:r w:rsidRPr="00C9552E">
              <w:rPr>
                <w:rFonts w:cstheme="minorHAnsi"/>
                <w:szCs w:val="22"/>
              </w:rPr>
              <w:t>Initial Release</w:t>
            </w:r>
          </w:p>
        </w:tc>
        <w:tc>
          <w:tcPr>
            <w:tcW w:w="2481" w:type="dxa"/>
            <w:tcBorders>
              <w:left w:val="single" w:sz="4" w:space="0" w:color="auto"/>
            </w:tcBorders>
            <w:vAlign w:val="center"/>
          </w:tcPr>
          <w:p w:rsidR="00FF7467" w:rsidRPr="00C9552E" w:rsidRDefault="00FF7467" w:rsidP="00C85731">
            <w:pPr>
              <w:rPr>
                <w:rFonts w:cstheme="minorHAnsi"/>
                <w:szCs w:val="22"/>
              </w:rPr>
            </w:pPr>
            <w:r w:rsidRPr="00C9552E">
              <w:rPr>
                <w:rFonts w:cstheme="minorHAnsi"/>
                <w:szCs w:val="22"/>
              </w:rPr>
              <w:t>Board</w:t>
            </w:r>
          </w:p>
        </w:tc>
        <w:tc>
          <w:tcPr>
            <w:tcW w:w="2141" w:type="dxa"/>
            <w:tcBorders>
              <w:left w:val="single" w:sz="4" w:space="0" w:color="auto"/>
            </w:tcBorders>
          </w:tcPr>
          <w:p w:rsidR="00FF7467" w:rsidRPr="00C9552E" w:rsidRDefault="00FF7467" w:rsidP="00C85731">
            <w:pPr>
              <w:rPr>
                <w:rFonts w:cstheme="minorHAnsi"/>
                <w:szCs w:val="22"/>
              </w:rPr>
            </w:pPr>
            <w:r w:rsidRPr="00C9552E">
              <w:rPr>
                <w:rFonts w:cstheme="minorHAnsi"/>
                <w:szCs w:val="22"/>
              </w:rPr>
              <w:t>01-Jan-20</w:t>
            </w:r>
            <w:r>
              <w:rPr>
                <w:rFonts w:cstheme="minorHAnsi"/>
                <w:szCs w:val="22"/>
              </w:rPr>
              <w:t>30</w:t>
            </w:r>
          </w:p>
        </w:tc>
      </w:tr>
      <w:bookmarkEnd w:id="0"/>
      <w:tr w:rsidR="00FF7467" w:rsidRPr="00C9552E" w:rsidTr="00C85731">
        <w:trPr>
          <w:trHeight w:val="576"/>
        </w:trPr>
        <w:tc>
          <w:tcPr>
            <w:tcW w:w="913" w:type="dxa"/>
            <w:shd w:val="clear" w:color="auto" w:fill="auto"/>
          </w:tcPr>
          <w:p w:rsidR="00FF7467" w:rsidRPr="00C9552E" w:rsidRDefault="00FF7467" w:rsidP="00C85731">
            <w:pPr>
              <w:jc w:val="center"/>
              <w:rPr>
                <w:rFonts w:cstheme="minorHAnsi"/>
                <w:szCs w:val="22"/>
              </w:rPr>
            </w:pPr>
          </w:p>
        </w:tc>
        <w:tc>
          <w:tcPr>
            <w:tcW w:w="1605" w:type="dxa"/>
            <w:tcBorders>
              <w:right w:val="single" w:sz="4" w:space="0" w:color="auto"/>
            </w:tcBorders>
          </w:tcPr>
          <w:p w:rsidR="00FF7467" w:rsidRPr="00C9552E" w:rsidRDefault="00FF7467" w:rsidP="00C85731">
            <w:pPr>
              <w:jc w:val="center"/>
              <w:rPr>
                <w:rFonts w:cstheme="minorHAnsi"/>
                <w:szCs w:val="22"/>
              </w:rPr>
            </w:pPr>
          </w:p>
        </w:tc>
        <w:tc>
          <w:tcPr>
            <w:tcW w:w="2102" w:type="dxa"/>
            <w:tcBorders>
              <w:left w:val="single" w:sz="4" w:space="0" w:color="auto"/>
            </w:tcBorders>
          </w:tcPr>
          <w:p w:rsidR="00FF7467" w:rsidRPr="00C9552E" w:rsidRDefault="00FF7467" w:rsidP="00C85731">
            <w:pPr>
              <w:rPr>
                <w:rFonts w:cstheme="minorHAnsi"/>
                <w:szCs w:val="22"/>
              </w:rPr>
            </w:pPr>
          </w:p>
        </w:tc>
        <w:tc>
          <w:tcPr>
            <w:tcW w:w="2481" w:type="dxa"/>
            <w:tcBorders>
              <w:left w:val="single" w:sz="4" w:space="0" w:color="auto"/>
            </w:tcBorders>
          </w:tcPr>
          <w:p w:rsidR="00FF7467" w:rsidRPr="00C9552E" w:rsidRDefault="00FF7467" w:rsidP="00C85731">
            <w:pPr>
              <w:rPr>
                <w:rFonts w:cstheme="minorHAnsi"/>
                <w:szCs w:val="22"/>
              </w:rPr>
            </w:pPr>
          </w:p>
        </w:tc>
        <w:tc>
          <w:tcPr>
            <w:tcW w:w="2141" w:type="dxa"/>
            <w:tcBorders>
              <w:left w:val="single" w:sz="4" w:space="0" w:color="auto"/>
            </w:tcBorders>
          </w:tcPr>
          <w:p w:rsidR="00FF7467" w:rsidRPr="00C9552E" w:rsidRDefault="00FF7467" w:rsidP="00C85731">
            <w:pPr>
              <w:rPr>
                <w:rFonts w:cstheme="minorHAnsi"/>
                <w:szCs w:val="22"/>
              </w:rPr>
            </w:pPr>
          </w:p>
        </w:tc>
      </w:tr>
      <w:tr w:rsidR="00FF7467" w:rsidRPr="00C9552E" w:rsidTr="00C85731">
        <w:trPr>
          <w:trHeight w:val="576"/>
        </w:trPr>
        <w:tc>
          <w:tcPr>
            <w:tcW w:w="913" w:type="dxa"/>
            <w:shd w:val="clear" w:color="auto" w:fill="auto"/>
          </w:tcPr>
          <w:p w:rsidR="00FF7467" w:rsidRPr="00C9552E" w:rsidRDefault="00FF7467" w:rsidP="00C85731">
            <w:pPr>
              <w:jc w:val="center"/>
              <w:rPr>
                <w:rFonts w:cstheme="minorHAnsi"/>
                <w:szCs w:val="22"/>
              </w:rPr>
            </w:pPr>
          </w:p>
        </w:tc>
        <w:tc>
          <w:tcPr>
            <w:tcW w:w="1605" w:type="dxa"/>
            <w:tcBorders>
              <w:right w:val="single" w:sz="4" w:space="0" w:color="auto"/>
            </w:tcBorders>
          </w:tcPr>
          <w:p w:rsidR="00FF7467" w:rsidRPr="00C9552E" w:rsidRDefault="00FF7467" w:rsidP="00C85731">
            <w:pPr>
              <w:jc w:val="center"/>
              <w:rPr>
                <w:rFonts w:cstheme="minorHAnsi"/>
                <w:szCs w:val="22"/>
              </w:rPr>
            </w:pPr>
          </w:p>
        </w:tc>
        <w:tc>
          <w:tcPr>
            <w:tcW w:w="2102" w:type="dxa"/>
            <w:tcBorders>
              <w:left w:val="single" w:sz="4" w:space="0" w:color="auto"/>
            </w:tcBorders>
          </w:tcPr>
          <w:p w:rsidR="00FF7467" w:rsidRPr="00C9552E" w:rsidRDefault="00FF7467" w:rsidP="00C85731">
            <w:pPr>
              <w:rPr>
                <w:rFonts w:cstheme="minorHAnsi"/>
                <w:szCs w:val="22"/>
              </w:rPr>
            </w:pPr>
          </w:p>
        </w:tc>
        <w:tc>
          <w:tcPr>
            <w:tcW w:w="2481" w:type="dxa"/>
            <w:tcBorders>
              <w:left w:val="single" w:sz="4" w:space="0" w:color="auto"/>
            </w:tcBorders>
          </w:tcPr>
          <w:p w:rsidR="00FF7467" w:rsidRPr="00C9552E" w:rsidRDefault="00FF7467" w:rsidP="00C85731">
            <w:pPr>
              <w:rPr>
                <w:rFonts w:cstheme="minorHAnsi"/>
                <w:szCs w:val="22"/>
              </w:rPr>
            </w:pPr>
          </w:p>
        </w:tc>
        <w:tc>
          <w:tcPr>
            <w:tcW w:w="2141" w:type="dxa"/>
            <w:tcBorders>
              <w:left w:val="single" w:sz="4" w:space="0" w:color="auto"/>
            </w:tcBorders>
          </w:tcPr>
          <w:p w:rsidR="00FF7467" w:rsidRPr="00C9552E" w:rsidRDefault="00FF7467" w:rsidP="00C85731">
            <w:pPr>
              <w:rPr>
                <w:rFonts w:cstheme="minorHAnsi"/>
                <w:szCs w:val="22"/>
              </w:rPr>
            </w:pPr>
          </w:p>
        </w:tc>
      </w:tr>
      <w:tr w:rsidR="00FF7467" w:rsidRPr="00C9552E" w:rsidTr="00C85731">
        <w:trPr>
          <w:trHeight w:val="576"/>
        </w:trPr>
        <w:tc>
          <w:tcPr>
            <w:tcW w:w="913" w:type="dxa"/>
            <w:shd w:val="clear" w:color="auto" w:fill="auto"/>
          </w:tcPr>
          <w:p w:rsidR="00FF7467" w:rsidRPr="00C9552E" w:rsidRDefault="00FF7467" w:rsidP="00C85731">
            <w:pPr>
              <w:jc w:val="center"/>
              <w:rPr>
                <w:rFonts w:cstheme="minorHAnsi"/>
                <w:szCs w:val="22"/>
              </w:rPr>
            </w:pPr>
          </w:p>
        </w:tc>
        <w:tc>
          <w:tcPr>
            <w:tcW w:w="1605" w:type="dxa"/>
            <w:tcBorders>
              <w:right w:val="single" w:sz="4" w:space="0" w:color="auto"/>
            </w:tcBorders>
          </w:tcPr>
          <w:p w:rsidR="00FF7467" w:rsidRPr="00C9552E" w:rsidRDefault="00FF7467" w:rsidP="00C85731">
            <w:pPr>
              <w:jc w:val="center"/>
              <w:rPr>
                <w:rFonts w:cstheme="minorHAnsi"/>
                <w:szCs w:val="22"/>
              </w:rPr>
            </w:pPr>
          </w:p>
        </w:tc>
        <w:tc>
          <w:tcPr>
            <w:tcW w:w="2102" w:type="dxa"/>
            <w:tcBorders>
              <w:left w:val="single" w:sz="4" w:space="0" w:color="auto"/>
            </w:tcBorders>
          </w:tcPr>
          <w:p w:rsidR="00FF7467" w:rsidRPr="00C9552E" w:rsidRDefault="00FF7467" w:rsidP="00C85731">
            <w:pPr>
              <w:rPr>
                <w:rFonts w:cstheme="minorHAnsi"/>
                <w:szCs w:val="22"/>
              </w:rPr>
            </w:pPr>
          </w:p>
        </w:tc>
        <w:tc>
          <w:tcPr>
            <w:tcW w:w="2481" w:type="dxa"/>
            <w:tcBorders>
              <w:left w:val="single" w:sz="4" w:space="0" w:color="auto"/>
            </w:tcBorders>
          </w:tcPr>
          <w:p w:rsidR="00FF7467" w:rsidRPr="00C9552E" w:rsidRDefault="00FF7467" w:rsidP="00C85731">
            <w:pPr>
              <w:rPr>
                <w:rFonts w:cstheme="minorHAnsi"/>
                <w:szCs w:val="22"/>
              </w:rPr>
            </w:pPr>
          </w:p>
        </w:tc>
        <w:tc>
          <w:tcPr>
            <w:tcW w:w="2141" w:type="dxa"/>
            <w:tcBorders>
              <w:left w:val="single" w:sz="4" w:space="0" w:color="auto"/>
            </w:tcBorders>
          </w:tcPr>
          <w:p w:rsidR="00FF7467" w:rsidRPr="00C9552E" w:rsidRDefault="00FF7467" w:rsidP="00C85731">
            <w:pPr>
              <w:rPr>
                <w:rFonts w:cstheme="minorHAnsi"/>
                <w:szCs w:val="22"/>
              </w:rPr>
            </w:pPr>
          </w:p>
        </w:tc>
      </w:tr>
      <w:tr w:rsidR="00FF7467" w:rsidRPr="00C9552E" w:rsidTr="00C85731">
        <w:trPr>
          <w:trHeight w:val="576"/>
        </w:trPr>
        <w:tc>
          <w:tcPr>
            <w:tcW w:w="913" w:type="dxa"/>
            <w:shd w:val="clear" w:color="auto" w:fill="auto"/>
          </w:tcPr>
          <w:p w:rsidR="00FF7467" w:rsidRPr="00C9552E" w:rsidRDefault="00FF7467" w:rsidP="00C85731">
            <w:pPr>
              <w:jc w:val="center"/>
              <w:rPr>
                <w:rFonts w:cstheme="minorHAnsi"/>
                <w:szCs w:val="22"/>
              </w:rPr>
            </w:pPr>
          </w:p>
        </w:tc>
        <w:tc>
          <w:tcPr>
            <w:tcW w:w="1605" w:type="dxa"/>
            <w:tcBorders>
              <w:right w:val="single" w:sz="4" w:space="0" w:color="auto"/>
            </w:tcBorders>
          </w:tcPr>
          <w:p w:rsidR="00FF7467" w:rsidRPr="00C9552E" w:rsidRDefault="00FF7467" w:rsidP="00C85731">
            <w:pPr>
              <w:jc w:val="center"/>
              <w:rPr>
                <w:rFonts w:cstheme="minorHAnsi"/>
                <w:szCs w:val="22"/>
              </w:rPr>
            </w:pPr>
          </w:p>
        </w:tc>
        <w:tc>
          <w:tcPr>
            <w:tcW w:w="2102" w:type="dxa"/>
            <w:tcBorders>
              <w:left w:val="single" w:sz="4" w:space="0" w:color="auto"/>
            </w:tcBorders>
          </w:tcPr>
          <w:p w:rsidR="00FF7467" w:rsidRPr="00C9552E" w:rsidRDefault="00FF7467" w:rsidP="00C85731">
            <w:pPr>
              <w:rPr>
                <w:rFonts w:cstheme="minorHAnsi"/>
                <w:szCs w:val="22"/>
              </w:rPr>
            </w:pPr>
          </w:p>
        </w:tc>
        <w:tc>
          <w:tcPr>
            <w:tcW w:w="2481" w:type="dxa"/>
            <w:tcBorders>
              <w:left w:val="single" w:sz="4" w:space="0" w:color="auto"/>
            </w:tcBorders>
          </w:tcPr>
          <w:p w:rsidR="00FF7467" w:rsidRPr="00C9552E" w:rsidRDefault="00FF7467" w:rsidP="00C85731">
            <w:pPr>
              <w:rPr>
                <w:rFonts w:cstheme="minorHAnsi"/>
                <w:szCs w:val="22"/>
              </w:rPr>
            </w:pPr>
          </w:p>
        </w:tc>
        <w:tc>
          <w:tcPr>
            <w:tcW w:w="2141" w:type="dxa"/>
            <w:tcBorders>
              <w:left w:val="single" w:sz="4" w:space="0" w:color="auto"/>
            </w:tcBorders>
          </w:tcPr>
          <w:p w:rsidR="00FF7467" w:rsidRPr="00C9552E" w:rsidRDefault="00FF7467" w:rsidP="00C85731">
            <w:pPr>
              <w:rPr>
                <w:rFonts w:cstheme="minorHAnsi"/>
                <w:szCs w:val="22"/>
              </w:rPr>
            </w:pPr>
          </w:p>
        </w:tc>
      </w:tr>
    </w:tbl>
    <w:p w:rsidR="00FF7467" w:rsidRDefault="00FF7467">
      <w:pPr>
        <w:pStyle w:val="Title"/>
        <w:spacing w:after="200"/>
        <w:rPr>
          <w:rFonts w:ascii="Calibri" w:eastAsia="Calibri" w:hAnsi="Calibri" w:cs="Calibri"/>
          <w:b/>
          <w:bCs/>
          <w:sz w:val="48"/>
          <w:szCs w:val="48"/>
        </w:rPr>
      </w:pPr>
    </w:p>
    <w:p w:rsidR="00D57750" w:rsidRDefault="00D57750">
      <w:pPr>
        <w:spacing w:after="200"/>
      </w:pPr>
    </w:p>
    <w:p w:rsidR="00FF7467" w:rsidRDefault="00FF7467">
      <w:pPr>
        <w:spacing w:after="200"/>
      </w:pPr>
    </w:p>
    <w:p w:rsidR="00FF7467" w:rsidRDefault="00FF7467">
      <w:pPr>
        <w:spacing w:after="200"/>
      </w:pPr>
    </w:p>
    <w:p w:rsidR="00FF7467" w:rsidRDefault="00FF7467">
      <w:pPr>
        <w:spacing w:after="200"/>
      </w:pPr>
    </w:p>
    <w:p w:rsidR="00FF7467" w:rsidRDefault="00FF7467">
      <w:pPr>
        <w:spacing w:after="200"/>
      </w:pPr>
    </w:p>
    <w:p w:rsidR="00D57750" w:rsidRDefault="00193AD2">
      <w:pPr>
        <w:pStyle w:val="Heading2"/>
        <w:spacing w:before="300" w:after="150"/>
      </w:pPr>
      <w:r>
        <w:rPr>
          <w:rFonts w:eastAsia="Calibri" w:cs="Calibri"/>
          <w:bCs/>
          <w:sz w:val="30"/>
          <w:szCs w:val="30"/>
        </w:rPr>
        <w:lastRenderedPageBreak/>
        <w:t>1. Purpose</w:t>
      </w:r>
    </w:p>
    <w:p w:rsidR="00D57750" w:rsidRDefault="00193AD2">
      <w:pPr>
        <w:spacing w:after="150"/>
      </w:pPr>
      <w:r>
        <w:rPr>
          <w:rFonts w:ascii="Calibri" w:eastAsia="Calibri" w:hAnsi="Calibri" w:cs="Calibri"/>
          <w:sz w:val="22"/>
          <w:szCs w:val="22"/>
        </w:rPr>
        <w:t xml:space="preserve">This policy establishes how [Organization Name] governs the development, procurement, deployment, and retirement of artificial intelligence systems. It creates the governance structure, defines decision rights, sets </w:t>
      </w:r>
      <w:r w:rsidR="00FF7467">
        <w:rPr>
          <w:rFonts w:ascii="Calibri" w:eastAsia="Calibri" w:hAnsi="Calibri" w:cs="Calibri"/>
          <w:sz w:val="22"/>
          <w:szCs w:val="22"/>
        </w:rPr>
        <w:t>responsible AI principles</w:t>
      </w:r>
      <w:r>
        <w:rPr>
          <w:rFonts w:ascii="Calibri" w:eastAsia="Calibri" w:hAnsi="Calibri" w:cs="Calibri"/>
          <w:sz w:val="22"/>
          <w:szCs w:val="22"/>
        </w:rPr>
        <w:t>, and confirms that AI sy</w:t>
      </w:r>
      <w:r>
        <w:rPr>
          <w:rFonts w:ascii="Calibri" w:eastAsia="Calibri" w:hAnsi="Calibri" w:cs="Calibri"/>
          <w:sz w:val="22"/>
          <w:szCs w:val="22"/>
        </w:rPr>
        <w:t>stems operate within acceptable risk boundaries while meeting regulatory obligations.</w:t>
      </w:r>
    </w:p>
    <w:p w:rsidR="00D57750" w:rsidRDefault="00193AD2">
      <w:pPr>
        <w:pStyle w:val="Heading2"/>
        <w:spacing w:before="300" w:after="150"/>
      </w:pPr>
      <w:r>
        <w:rPr>
          <w:rFonts w:eastAsia="Calibri" w:cs="Calibri"/>
          <w:bCs/>
          <w:sz w:val="30"/>
          <w:szCs w:val="30"/>
        </w:rPr>
        <w:t>2. Scope</w:t>
      </w:r>
    </w:p>
    <w:p w:rsidR="00D57750" w:rsidRDefault="00193AD2">
      <w:pPr>
        <w:spacing w:after="150"/>
      </w:pPr>
      <w:r>
        <w:rPr>
          <w:rFonts w:ascii="Calibri" w:eastAsia="Calibri" w:hAnsi="Calibri" w:cs="Calibri"/>
          <w:sz w:val="22"/>
          <w:szCs w:val="22"/>
        </w:rPr>
        <w:t>This policy applies to:</w:t>
      </w:r>
    </w:p>
    <w:p w:rsidR="00D57750" w:rsidRDefault="00193AD2">
      <w:pPr>
        <w:pStyle w:val="ListParagraph"/>
        <w:numPr>
          <w:ilvl w:val="0"/>
          <w:numId w:val="1"/>
        </w:numPr>
        <w:spacing w:after="80"/>
      </w:pPr>
      <w:r>
        <w:rPr>
          <w:rFonts w:ascii="Calibri" w:eastAsia="Calibri" w:hAnsi="Calibri" w:cs="Calibri"/>
          <w:sz w:val="22"/>
          <w:szCs w:val="22"/>
        </w:rPr>
        <w:t>All AI and machine learning systems developed internally or procured from third parties.</w:t>
      </w:r>
    </w:p>
    <w:p w:rsidR="00D57750" w:rsidRDefault="00193AD2">
      <w:pPr>
        <w:pStyle w:val="ListParagraph"/>
        <w:numPr>
          <w:ilvl w:val="0"/>
          <w:numId w:val="1"/>
        </w:numPr>
        <w:spacing w:after="80"/>
      </w:pPr>
      <w:r>
        <w:rPr>
          <w:rFonts w:ascii="Calibri" w:eastAsia="Calibri" w:hAnsi="Calibri" w:cs="Calibri"/>
          <w:sz w:val="22"/>
          <w:szCs w:val="22"/>
        </w:rPr>
        <w:t>All employees, contractors, and partners who develop, deploy, operate, or oversee AI systems.</w:t>
      </w:r>
    </w:p>
    <w:p w:rsidR="00D57750" w:rsidRDefault="00193AD2">
      <w:pPr>
        <w:pStyle w:val="ListParagraph"/>
        <w:numPr>
          <w:ilvl w:val="0"/>
          <w:numId w:val="1"/>
        </w:numPr>
        <w:spacing w:after="80"/>
      </w:pPr>
      <w:r>
        <w:rPr>
          <w:rFonts w:ascii="Calibri" w:eastAsia="Calibri" w:hAnsi="Calibri" w:cs="Calibri"/>
          <w:sz w:val="22"/>
          <w:szCs w:val="22"/>
        </w:rPr>
        <w:t>All stages of the AI lifecycle: ideatio</w:t>
      </w:r>
      <w:r>
        <w:rPr>
          <w:rFonts w:ascii="Calibri" w:eastAsia="Calibri" w:hAnsi="Calibri" w:cs="Calibri"/>
          <w:sz w:val="22"/>
          <w:szCs w:val="22"/>
        </w:rPr>
        <w:t>n, development, testing, deployment, monitoring, and retirement.</w:t>
      </w:r>
    </w:p>
    <w:p w:rsidR="00D57750" w:rsidRDefault="00193AD2">
      <w:pPr>
        <w:pStyle w:val="ListParagraph"/>
        <w:numPr>
          <w:ilvl w:val="0"/>
          <w:numId w:val="1"/>
        </w:numPr>
        <w:spacing w:after="80"/>
      </w:pPr>
      <w:r>
        <w:rPr>
          <w:rFonts w:ascii="Calibri" w:eastAsia="Calibri" w:hAnsi="Calibri" w:cs="Calibri"/>
          <w:sz w:val="22"/>
          <w:szCs w:val="22"/>
        </w:rPr>
        <w:t>Both general-purpose and domain-specific AI systems, including large language models, decision-support tools, predictive analytics, and automated processing systems.</w:t>
      </w:r>
    </w:p>
    <w:p w:rsidR="00D57750" w:rsidRDefault="00193AD2">
      <w:pPr>
        <w:pStyle w:val="Heading2"/>
        <w:spacing w:before="300" w:after="150"/>
      </w:pPr>
      <w:r>
        <w:rPr>
          <w:rFonts w:eastAsia="Calibri" w:cs="Calibri"/>
          <w:bCs/>
          <w:sz w:val="30"/>
          <w:szCs w:val="30"/>
        </w:rPr>
        <w:t>3. Definitions</w:t>
      </w:r>
    </w:p>
    <w:p w:rsidR="00D57750" w:rsidRDefault="00193AD2">
      <w:pPr>
        <w:pStyle w:val="ListParagraph"/>
        <w:numPr>
          <w:ilvl w:val="0"/>
          <w:numId w:val="1"/>
        </w:numPr>
        <w:spacing w:after="80"/>
      </w:pPr>
      <w:r>
        <w:rPr>
          <w:rFonts w:ascii="Calibri" w:eastAsia="Calibri" w:hAnsi="Calibri" w:cs="Calibri"/>
          <w:b/>
          <w:bCs/>
          <w:sz w:val="22"/>
          <w:szCs w:val="22"/>
        </w:rPr>
        <w:t>AI system</w:t>
      </w:r>
      <w:r>
        <w:rPr>
          <w:rFonts w:ascii="Calibri" w:eastAsia="Calibri" w:hAnsi="Calibri" w:cs="Calibri"/>
          <w:sz w:val="22"/>
          <w:szCs w:val="22"/>
        </w:rPr>
        <w:t>:</w:t>
      </w:r>
      <w:r>
        <w:rPr>
          <w:rFonts w:ascii="Calibri" w:eastAsia="Calibri" w:hAnsi="Calibri" w:cs="Calibri"/>
          <w:sz w:val="22"/>
          <w:szCs w:val="22"/>
        </w:rPr>
        <w:t xml:space="preserve"> A system that uses machine learning, deep learning, or generative AI techniques to produce outputs such as predictions, recommendations, decisions, or content.</w:t>
      </w:r>
    </w:p>
    <w:p w:rsidR="00D57750" w:rsidRDefault="00193AD2">
      <w:pPr>
        <w:pStyle w:val="ListParagraph"/>
        <w:numPr>
          <w:ilvl w:val="0"/>
          <w:numId w:val="1"/>
        </w:numPr>
        <w:spacing w:after="80"/>
      </w:pPr>
      <w:r>
        <w:rPr>
          <w:rFonts w:ascii="Calibri" w:eastAsia="Calibri" w:hAnsi="Calibri" w:cs="Calibri"/>
          <w:b/>
          <w:bCs/>
          <w:sz w:val="22"/>
          <w:szCs w:val="22"/>
        </w:rPr>
        <w:t>High-risk AI system</w:t>
      </w:r>
      <w:r>
        <w:rPr>
          <w:rFonts w:ascii="Calibri" w:eastAsia="Calibri" w:hAnsi="Calibri" w:cs="Calibri"/>
          <w:sz w:val="22"/>
          <w:szCs w:val="22"/>
        </w:rPr>
        <w:t>: An AI system that makes or materially influences decisions affecting indiv</w:t>
      </w:r>
      <w:r>
        <w:rPr>
          <w:rFonts w:ascii="Calibri" w:eastAsia="Calibri" w:hAnsi="Calibri" w:cs="Calibri"/>
          <w:sz w:val="22"/>
          <w:szCs w:val="22"/>
        </w:rPr>
        <w:t>iduals' rights, health, safety, employment, financial standing, or legal status. Also includes systems classified as high-risk under the EU AI Act Annex III.</w:t>
      </w:r>
    </w:p>
    <w:p w:rsidR="00D57750" w:rsidRDefault="00193AD2">
      <w:pPr>
        <w:pStyle w:val="ListParagraph"/>
        <w:numPr>
          <w:ilvl w:val="0"/>
          <w:numId w:val="1"/>
        </w:numPr>
        <w:spacing w:after="80"/>
      </w:pPr>
      <w:r>
        <w:rPr>
          <w:rFonts w:ascii="Calibri" w:eastAsia="Calibri" w:hAnsi="Calibri" w:cs="Calibri"/>
          <w:b/>
          <w:bCs/>
          <w:sz w:val="22"/>
          <w:szCs w:val="22"/>
        </w:rPr>
        <w:t>AI lifecycle</w:t>
      </w:r>
      <w:r>
        <w:rPr>
          <w:rFonts w:ascii="Calibri" w:eastAsia="Calibri" w:hAnsi="Calibri" w:cs="Calibri"/>
          <w:sz w:val="22"/>
          <w:szCs w:val="22"/>
        </w:rPr>
        <w:t>: The stages an AI system passes through: ideation, data collection, development, vali</w:t>
      </w:r>
      <w:r>
        <w:rPr>
          <w:rFonts w:ascii="Calibri" w:eastAsia="Calibri" w:hAnsi="Calibri" w:cs="Calibri"/>
          <w:sz w:val="22"/>
          <w:szCs w:val="22"/>
        </w:rPr>
        <w:t>dation, deployment, monitoring, and retirement.</w:t>
      </w:r>
    </w:p>
    <w:p w:rsidR="00D57750" w:rsidRDefault="00193AD2">
      <w:pPr>
        <w:pStyle w:val="ListParagraph"/>
        <w:numPr>
          <w:ilvl w:val="0"/>
          <w:numId w:val="1"/>
        </w:numPr>
        <w:spacing w:after="80"/>
      </w:pPr>
      <w:r>
        <w:rPr>
          <w:rFonts w:ascii="Calibri" w:eastAsia="Calibri" w:hAnsi="Calibri" w:cs="Calibri"/>
          <w:b/>
          <w:bCs/>
          <w:sz w:val="22"/>
          <w:szCs w:val="22"/>
        </w:rPr>
        <w:t>Model owner</w:t>
      </w:r>
      <w:r>
        <w:rPr>
          <w:rFonts w:ascii="Calibri" w:eastAsia="Calibri" w:hAnsi="Calibri" w:cs="Calibri"/>
          <w:sz w:val="22"/>
          <w:szCs w:val="22"/>
        </w:rPr>
        <w:t>: The individual accountable for an AI system's performance, compliance, and risk posture throughout its lifecycle.</w:t>
      </w:r>
    </w:p>
    <w:p w:rsidR="00D57750" w:rsidRDefault="00193AD2">
      <w:pPr>
        <w:pStyle w:val="ListParagraph"/>
        <w:numPr>
          <w:ilvl w:val="0"/>
          <w:numId w:val="1"/>
        </w:numPr>
        <w:spacing w:after="80"/>
      </w:pPr>
      <w:r>
        <w:rPr>
          <w:rFonts w:ascii="Calibri" w:eastAsia="Calibri" w:hAnsi="Calibri" w:cs="Calibri"/>
          <w:b/>
          <w:bCs/>
          <w:sz w:val="22"/>
          <w:szCs w:val="22"/>
        </w:rPr>
        <w:t>AI Governance Committee</w:t>
      </w:r>
      <w:r>
        <w:rPr>
          <w:rFonts w:ascii="Calibri" w:eastAsia="Calibri" w:hAnsi="Calibri" w:cs="Calibri"/>
          <w:sz w:val="22"/>
          <w:szCs w:val="22"/>
        </w:rPr>
        <w:t xml:space="preserve">: The cross-functional body that reviews high-risk AI use </w:t>
      </w:r>
      <w:r>
        <w:rPr>
          <w:rFonts w:ascii="Calibri" w:eastAsia="Calibri" w:hAnsi="Calibri" w:cs="Calibri"/>
          <w:sz w:val="22"/>
          <w:szCs w:val="22"/>
        </w:rPr>
        <w:t>cases, approves exceptions, and sets governance standards.</w:t>
      </w:r>
    </w:p>
    <w:p w:rsidR="00D57750" w:rsidRDefault="00193AD2">
      <w:pPr>
        <w:pStyle w:val="Heading2"/>
        <w:spacing w:before="300" w:after="150"/>
      </w:pPr>
      <w:r w:rsidRPr="00BF60D3">
        <w:rPr>
          <w:rFonts w:eastAsia="Calibri" w:cs="Calibri"/>
          <w:bCs/>
          <w:sz w:val="30"/>
          <w:szCs w:val="30"/>
          <w:highlight w:val="cyan"/>
        </w:rPr>
        <w:t>4. Governance structure</w:t>
      </w:r>
    </w:p>
    <w:p w:rsidR="00D57750" w:rsidRDefault="00193AD2">
      <w:pPr>
        <w:pStyle w:val="Heading3"/>
        <w:spacing w:before="300" w:after="150"/>
      </w:pPr>
      <w:r>
        <w:rPr>
          <w:rFonts w:eastAsia="Calibri" w:cs="Calibri"/>
          <w:bCs/>
          <w:sz w:val="26"/>
          <w:szCs w:val="26"/>
        </w:rPr>
        <w:t>4.1 AI Governance Committee</w:t>
      </w:r>
    </w:p>
    <w:p w:rsidR="00FF7467" w:rsidRDefault="00193AD2">
      <w:pPr>
        <w:spacing w:after="150"/>
        <w:rPr>
          <w:rFonts w:ascii="Calibri" w:eastAsia="Calibri" w:hAnsi="Calibri" w:cs="Calibri"/>
          <w:sz w:val="22"/>
          <w:szCs w:val="22"/>
        </w:rPr>
      </w:pPr>
      <w:r>
        <w:rPr>
          <w:rFonts w:ascii="Calibri" w:eastAsia="Calibri" w:hAnsi="Calibri" w:cs="Calibri"/>
          <w:sz w:val="22"/>
          <w:szCs w:val="22"/>
        </w:rPr>
        <w:t>The organization establishes an AI Governance Committee composed of</w:t>
      </w:r>
      <w:r w:rsidR="00FF7467">
        <w:rPr>
          <w:rFonts w:ascii="Calibri" w:eastAsia="Calibri" w:hAnsi="Calibri" w:cs="Calibri"/>
          <w:sz w:val="22"/>
          <w:szCs w:val="22"/>
        </w:rPr>
        <w:t xml:space="preserve">: </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Independent Director of the Board as the Chairperson</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Chief Executive Officer</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 xml:space="preserve">Chief Operational Officer </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Chief Audit Officer</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 xml:space="preserve">Chief Risk Officer </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AI GRC Lead</w:t>
      </w:r>
    </w:p>
    <w:p w:rsid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t xml:space="preserve">Chief Information Security Officer </w:t>
      </w:r>
    </w:p>
    <w:p w:rsidR="00FF7467" w:rsidRPr="00FF7467" w:rsidRDefault="00FF7467" w:rsidP="00FF7467">
      <w:pPr>
        <w:pStyle w:val="ListParagraph"/>
        <w:numPr>
          <w:ilvl w:val="0"/>
          <w:numId w:val="2"/>
        </w:numPr>
        <w:spacing w:after="150"/>
        <w:rPr>
          <w:rFonts w:ascii="Calibri" w:eastAsia="Calibri" w:hAnsi="Calibri" w:cs="Calibri"/>
          <w:sz w:val="22"/>
          <w:szCs w:val="22"/>
        </w:rPr>
      </w:pPr>
      <w:r>
        <w:rPr>
          <w:rFonts w:ascii="Calibri" w:eastAsia="Calibri" w:hAnsi="Calibri" w:cs="Calibri"/>
          <w:sz w:val="22"/>
          <w:szCs w:val="22"/>
        </w:rPr>
        <w:lastRenderedPageBreak/>
        <w:t xml:space="preserve">Chief Data Privacy Officer </w:t>
      </w:r>
    </w:p>
    <w:p w:rsidR="00D57750" w:rsidRDefault="00193AD2" w:rsidP="00FF7467">
      <w:pPr>
        <w:spacing w:after="150"/>
        <w:rPr>
          <w:rFonts w:asciiTheme="minorHAnsi" w:hAnsiTheme="minorHAnsi" w:cstheme="minorHAnsi"/>
          <w:b/>
          <w:sz w:val="22"/>
        </w:rPr>
      </w:pPr>
      <w:r>
        <w:rPr>
          <w:rFonts w:ascii="Calibri" w:eastAsia="Calibri" w:hAnsi="Calibri" w:cs="Calibri"/>
          <w:sz w:val="22"/>
          <w:szCs w:val="22"/>
        </w:rPr>
        <w:t xml:space="preserve"> </w:t>
      </w:r>
      <w:r w:rsidR="00FF7467" w:rsidRPr="00FF7467">
        <w:rPr>
          <w:rFonts w:asciiTheme="minorHAnsi" w:hAnsiTheme="minorHAnsi" w:cstheme="minorHAnsi"/>
          <w:sz w:val="22"/>
        </w:rPr>
        <w:t xml:space="preserve">The </w:t>
      </w:r>
      <w:r w:rsidR="00FF7467" w:rsidRPr="00FF7467">
        <w:rPr>
          <w:rStyle w:val="Strong"/>
          <w:rFonts w:asciiTheme="minorHAnsi" w:hAnsiTheme="minorHAnsi" w:cstheme="minorHAnsi"/>
          <w:b w:val="0"/>
          <w:sz w:val="22"/>
        </w:rPr>
        <w:t>AI Governance Committee</w:t>
      </w:r>
      <w:r w:rsidR="00FF7467" w:rsidRPr="00FF7467">
        <w:rPr>
          <w:rFonts w:asciiTheme="minorHAnsi" w:hAnsiTheme="minorHAnsi" w:cstheme="minorHAnsi"/>
          <w:sz w:val="22"/>
        </w:rPr>
        <w:t xml:space="preserve"> is responsible for providing strategic oversight and direction for the organization's use of artificial intelligence. It ensures that AI systems are developed, acquired, deployed, and monitored </w:t>
      </w:r>
      <w:r w:rsidR="00F20258">
        <w:rPr>
          <w:rFonts w:asciiTheme="minorHAnsi" w:hAnsiTheme="minorHAnsi" w:cstheme="minorHAnsi"/>
          <w:sz w:val="22"/>
        </w:rPr>
        <w:t xml:space="preserve">as prescribed in section 5 (i.e. Responsible AI Principles) of this policy. </w:t>
      </w:r>
    </w:p>
    <w:p w:rsidR="00F20258" w:rsidRPr="00F20258" w:rsidRDefault="00F20258" w:rsidP="00FF7467">
      <w:pPr>
        <w:spacing w:after="150"/>
        <w:rPr>
          <w:rFonts w:ascii="Calibri" w:eastAsia="Calibri" w:hAnsi="Calibri" w:cs="Calibri"/>
          <w:sz w:val="22"/>
          <w:szCs w:val="22"/>
        </w:rPr>
      </w:pPr>
    </w:p>
    <w:p w:rsidR="00F20258" w:rsidRPr="00F20258" w:rsidRDefault="00F20258" w:rsidP="00FF7467">
      <w:pPr>
        <w:spacing w:after="150"/>
        <w:rPr>
          <w:rFonts w:ascii="Calibri" w:eastAsia="Calibri" w:hAnsi="Calibri" w:cs="Calibri"/>
          <w:sz w:val="22"/>
          <w:szCs w:val="22"/>
        </w:rPr>
      </w:pPr>
      <w:r w:rsidRPr="00F20258">
        <w:rPr>
          <w:rFonts w:ascii="Calibri" w:eastAsia="Calibri" w:hAnsi="Calibri" w:cs="Calibri"/>
          <w:sz w:val="22"/>
          <w:szCs w:val="22"/>
        </w:rPr>
        <w:t>The AI Governance Committee must meet at least quarterly to review the organization's AI governance activities, significant AI risks, compliance status, AI-related incidents, exceptions, and other relevant matters. Minutes of Meeting (</w:t>
      </w:r>
      <w:proofErr w:type="spellStart"/>
      <w:r w:rsidRPr="00F20258">
        <w:rPr>
          <w:rFonts w:ascii="Calibri" w:eastAsia="Calibri" w:hAnsi="Calibri" w:cs="Calibri"/>
          <w:sz w:val="22"/>
          <w:szCs w:val="22"/>
        </w:rPr>
        <w:t>MoM</w:t>
      </w:r>
      <w:proofErr w:type="spellEnd"/>
      <w:r w:rsidRPr="00F20258">
        <w:rPr>
          <w:rFonts w:ascii="Calibri" w:eastAsia="Calibri" w:hAnsi="Calibri" w:cs="Calibri"/>
          <w:sz w:val="22"/>
          <w:szCs w:val="22"/>
        </w:rPr>
        <w:t>) must be documented for each committee meeting and submitted to the Chairperson of the Board for review and oversight.</w:t>
      </w:r>
    </w:p>
    <w:p w:rsidR="00D57750" w:rsidRDefault="00193AD2">
      <w:pPr>
        <w:pStyle w:val="Heading3"/>
        <w:spacing w:before="300" w:after="150"/>
      </w:pPr>
      <w:r>
        <w:rPr>
          <w:rFonts w:eastAsia="Calibri" w:cs="Calibri"/>
          <w:bCs/>
          <w:sz w:val="26"/>
          <w:szCs w:val="26"/>
        </w:rPr>
        <w:t>4</w:t>
      </w:r>
      <w:r>
        <w:rPr>
          <w:rFonts w:eastAsia="Calibri" w:cs="Calibri"/>
          <w:bCs/>
          <w:sz w:val="26"/>
          <w:szCs w:val="26"/>
        </w:rPr>
        <w:t>.2 AI Governance Lead</w:t>
      </w:r>
    </w:p>
    <w:p w:rsidR="0039370C" w:rsidRPr="0039370C" w:rsidRDefault="0039370C" w:rsidP="0039370C">
      <w:pPr>
        <w:pStyle w:val="isselectedend"/>
        <w:rPr>
          <w:rFonts w:asciiTheme="minorHAnsi" w:hAnsiTheme="minorHAnsi" w:cstheme="minorHAnsi"/>
          <w:sz w:val="22"/>
          <w:szCs w:val="22"/>
        </w:rPr>
      </w:pPr>
      <w:r w:rsidRPr="0039370C">
        <w:rPr>
          <w:rFonts w:asciiTheme="minorHAnsi" w:hAnsiTheme="minorHAnsi" w:cstheme="minorHAnsi"/>
          <w:sz w:val="22"/>
          <w:szCs w:val="22"/>
        </w:rPr>
        <w:t>A designated AI Governance Lead coordinates day-to-day AI governance activities and serves as the moderator and coordinator of the AI Governance Committee. The AI Governance Lead is responsible for organizing committee meetings, preparing agendas and supporting materials, coordinating discussions, documenting decisions and action items, and following up on agreed actions.</w:t>
      </w:r>
    </w:p>
    <w:p w:rsidR="0039370C" w:rsidRPr="0039370C" w:rsidRDefault="0039370C" w:rsidP="0039370C">
      <w:pPr>
        <w:pStyle w:val="NormalWeb"/>
        <w:rPr>
          <w:rFonts w:asciiTheme="minorHAnsi" w:hAnsiTheme="minorHAnsi" w:cstheme="minorHAnsi"/>
          <w:sz w:val="22"/>
          <w:szCs w:val="22"/>
        </w:rPr>
      </w:pPr>
      <w:r w:rsidRPr="0039370C">
        <w:rPr>
          <w:rFonts w:asciiTheme="minorHAnsi" w:hAnsiTheme="minorHAnsi" w:cstheme="minorHAnsi"/>
          <w:sz w:val="22"/>
          <w:szCs w:val="22"/>
        </w:rPr>
        <w:t>The AI Governance Lead also maintains the AI inventory, coordinates AI risk assessments and impact assessments, tracks compliance status, monitors policy exceptions, and serves as the primary escalation point for AI-related governance concerns. The AI Governance Lead should ensure that significant AI-related matters are brought to the AI Governance Committee for review and decision.</w:t>
      </w:r>
    </w:p>
    <w:p w:rsidR="00193AD2" w:rsidRDefault="00193AD2" w:rsidP="00193AD2">
      <w:pPr>
        <w:pStyle w:val="Heading3"/>
      </w:pPr>
      <w:r>
        <w:t>4.3 Model/System Owners</w:t>
      </w:r>
    </w:p>
    <w:p w:rsidR="00193AD2" w:rsidRPr="00193AD2" w:rsidRDefault="00193AD2" w:rsidP="00193AD2">
      <w:pPr>
        <w:pStyle w:val="NormalWeb"/>
        <w:rPr>
          <w:rFonts w:asciiTheme="minorHAnsi" w:hAnsiTheme="minorHAnsi" w:cstheme="minorHAnsi"/>
          <w:sz w:val="22"/>
          <w:szCs w:val="22"/>
        </w:rPr>
      </w:pPr>
      <w:bookmarkStart w:id="1" w:name="_GoBack"/>
      <w:r w:rsidRPr="00193AD2">
        <w:rPr>
          <w:rFonts w:asciiTheme="minorHAnsi" w:hAnsiTheme="minorHAnsi" w:cstheme="minorHAnsi"/>
          <w:sz w:val="22"/>
          <w:szCs w:val="22"/>
        </w:rPr>
        <w:t>Each AI system shall have an assigned Model/System Owner who is accountable for the system throughout its lifecycle. Responsibilities include maintaining required documentation, ensuring appropriate risk and impact assessments are completed, confirming required validation before deployment, monitoring performance and risks, managing incidents, and initiating retirement when the system is no longer fit for purpose.</w:t>
      </w:r>
    </w:p>
    <w:bookmarkEnd w:id="1"/>
    <w:p w:rsidR="00193AD2" w:rsidRDefault="00193AD2" w:rsidP="00193AD2">
      <w:pPr>
        <w:pStyle w:val="Heading3"/>
      </w:pPr>
      <w:r>
        <w:t>4.4 AI Developers and Technical Teams</w:t>
      </w:r>
    </w:p>
    <w:p w:rsidR="00193AD2" w:rsidRPr="00193AD2" w:rsidRDefault="00193AD2" w:rsidP="00193AD2">
      <w:pPr>
        <w:pStyle w:val="NormalWeb"/>
        <w:rPr>
          <w:rFonts w:asciiTheme="minorHAnsi" w:hAnsiTheme="minorHAnsi" w:cstheme="minorHAnsi"/>
          <w:sz w:val="22"/>
          <w:szCs w:val="22"/>
        </w:rPr>
      </w:pPr>
      <w:r w:rsidRPr="00193AD2">
        <w:rPr>
          <w:rFonts w:asciiTheme="minorHAnsi" w:hAnsiTheme="minorHAnsi" w:cstheme="minorHAnsi"/>
          <w:sz w:val="22"/>
          <w:szCs w:val="22"/>
        </w:rPr>
        <w:t>AI developers and technical teams are responsible for implementing AI systems in accordance with approved requirements, policies, security standards, and responsible AI principles. They shall conduct appropriate testing and validation, address identified vulnerabilities and performance issues, maintain technical documentation, and support ongoing monitoring and improvement.</w:t>
      </w:r>
    </w:p>
    <w:p w:rsidR="00193AD2" w:rsidRPr="00193AD2" w:rsidRDefault="00193AD2" w:rsidP="00193AD2">
      <w:pPr>
        <w:pStyle w:val="Heading3"/>
      </w:pPr>
      <w:r w:rsidRPr="00193AD2">
        <w:t>4.5 Data Owners</w:t>
      </w:r>
    </w:p>
    <w:p w:rsidR="00193AD2" w:rsidRPr="00193AD2" w:rsidRDefault="00193AD2" w:rsidP="00193AD2">
      <w:pPr>
        <w:pStyle w:val="NormalWeb"/>
        <w:rPr>
          <w:rFonts w:asciiTheme="minorHAnsi" w:hAnsiTheme="minorHAnsi" w:cstheme="minorHAnsi"/>
          <w:sz w:val="22"/>
          <w:szCs w:val="22"/>
        </w:rPr>
      </w:pPr>
      <w:r w:rsidRPr="00193AD2">
        <w:rPr>
          <w:rFonts w:asciiTheme="minorHAnsi" w:hAnsiTheme="minorHAnsi" w:cstheme="minorHAnsi"/>
          <w:sz w:val="22"/>
          <w:szCs w:val="22"/>
        </w:rPr>
        <w:t>Data Owners are responsible for ensuring that data used by AI systems is appropriately governed throughout its lifecycle. This includes data quality, accuracy, classification, permitted use, access controls, retention, privacy requirements, and appropriate handling of personal, confidential, and sensitive information.</w:t>
      </w:r>
    </w:p>
    <w:p w:rsidR="00193AD2" w:rsidRDefault="00193AD2" w:rsidP="00193AD2">
      <w:pPr>
        <w:pStyle w:val="Heading3"/>
      </w:pPr>
      <w:r>
        <w:t>4.6 Information Security</w:t>
      </w:r>
    </w:p>
    <w:p w:rsidR="00193AD2" w:rsidRPr="00193AD2" w:rsidRDefault="00193AD2" w:rsidP="00193AD2">
      <w:pPr>
        <w:pStyle w:val="NormalWeb"/>
        <w:rPr>
          <w:rFonts w:asciiTheme="minorHAnsi" w:hAnsiTheme="minorHAnsi" w:cstheme="minorHAnsi"/>
          <w:sz w:val="22"/>
          <w:szCs w:val="22"/>
        </w:rPr>
      </w:pPr>
      <w:r w:rsidRPr="00193AD2">
        <w:rPr>
          <w:rFonts w:asciiTheme="minorHAnsi" w:hAnsiTheme="minorHAnsi" w:cstheme="minorHAnsi"/>
          <w:sz w:val="22"/>
          <w:szCs w:val="22"/>
        </w:rPr>
        <w:t>The Information Security function shall ensure that appropriate security controls are established and maintained for AI systems, including protection against unauthorized access, data leakage, prompt injection, data poisoning, model theft, adversarial attacks, and other AI-related security threats.</w:t>
      </w:r>
    </w:p>
    <w:p w:rsidR="00193AD2" w:rsidRDefault="00193AD2" w:rsidP="00193AD2">
      <w:pPr>
        <w:pStyle w:val="Heading3"/>
      </w:pPr>
      <w:r>
        <w:lastRenderedPageBreak/>
        <w:t>4.7 Privacy</w:t>
      </w:r>
    </w:p>
    <w:p w:rsidR="00193AD2" w:rsidRPr="00193AD2" w:rsidRDefault="00193AD2" w:rsidP="00193AD2">
      <w:pPr>
        <w:pStyle w:val="NormalWeb"/>
        <w:rPr>
          <w:rFonts w:asciiTheme="minorHAnsi" w:hAnsiTheme="minorHAnsi" w:cstheme="minorHAnsi"/>
          <w:sz w:val="22"/>
          <w:szCs w:val="22"/>
        </w:rPr>
      </w:pPr>
      <w:r w:rsidRPr="00193AD2">
        <w:rPr>
          <w:rFonts w:asciiTheme="minorHAnsi" w:hAnsiTheme="minorHAnsi" w:cstheme="minorHAnsi"/>
          <w:sz w:val="22"/>
          <w:szCs w:val="22"/>
        </w:rPr>
        <w:t>The Privacy function shall assess and oversee privacy and data protection requirements associated with AI systems. This includes determining applicable privacy obligations, reviewing the use of personal data, coordinating privacy impact assessments where required, and ensuring appropriate privacy controls throughout the AI lifecycle.</w:t>
      </w:r>
    </w:p>
    <w:p w:rsidR="00193AD2" w:rsidRDefault="00193AD2" w:rsidP="00193AD2">
      <w:pPr>
        <w:pStyle w:val="Heading3"/>
      </w:pPr>
      <w:r>
        <w:t>4.8 Internal Audit</w:t>
      </w:r>
    </w:p>
    <w:p w:rsidR="00193AD2" w:rsidRPr="00193AD2" w:rsidRDefault="00193AD2" w:rsidP="00193AD2">
      <w:pPr>
        <w:pStyle w:val="NormalWeb"/>
        <w:rPr>
          <w:rFonts w:asciiTheme="minorHAnsi" w:hAnsiTheme="minorHAnsi" w:cstheme="minorHAnsi"/>
          <w:sz w:val="22"/>
          <w:szCs w:val="22"/>
        </w:rPr>
      </w:pPr>
      <w:r w:rsidRPr="00193AD2">
        <w:rPr>
          <w:rFonts w:asciiTheme="minorHAnsi" w:hAnsiTheme="minorHAnsi" w:cstheme="minorHAnsi"/>
          <w:sz w:val="22"/>
          <w:szCs w:val="22"/>
        </w:rPr>
        <w:t xml:space="preserve">Internal Audit shall provide </w:t>
      </w:r>
      <w:r w:rsidRPr="00193AD2">
        <w:rPr>
          <w:rFonts w:asciiTheme="minorHAnsi" w:hAnsiTheme="minorHAnsi" w:cstheme="minorHAnsi"/>
          <w:bCs/>
          <w:sz w:val="22"/>
          <w:szCs w:val="22"/>
        </w:rPr>
        <w:t>independent and objective assurance</w:t>
      </w:r>
      <w:r w:rsidRPr="00193AD2">
        <w:rPr>
          <w:rFonts w:asciiTheme="minorHAnsi" w:hAnsiTheme="minorHAnsi" w:cstheme="minorHAnsi"/>
          <w:sz w:val="22"/>
          <w:szCs w:val="22"/>
        </w:rPr>
        <w:t xml:space="preserve"> over the effectiveness of AI governance, risk management, and controls. Where included in the approved audit plan, Internal Audit may assess compliance with this policy, applicable requirements, and the organization's AI management system.</w:t>
      </w:r>
    </w:p>
    <w:p w:rsidR="00193AD2" w:rsidRDefault="00193AD2" w:rsidP="00193AD2">
      <w:pPr>
        <w:pStyle w:val="Heading3"/>
      </w:pPr>
      <w:r>
        <w:t>4.9 All Employees</w:t>
      </w:r>
    </w:p>
    <w:p w:rsidR="00193AD2" w:rsidRPr="00193AD2" w:rsidRDefault="00193AD2" w:rsidP="00193AD2">
      <w:pPr>
        <w:pStyle w:val="NormalWeb"/>
        <w:rPr>
          <w:rFonts w:asciiTheme="minorHAnsi" w:hAnsiTheme="minorHAnsi" w:cstheme="minorHAnsi"/>
          <w:sz w:val="22"/>
          <w:szCs w:val="22"/>
        </w:rPr>
      </w:pPr>
      <w:r w:rsidRPr="00193AD2">
        <w:rPr>
          <w:rFonts w:asciiTheme="minorHAnsi" w:hAnsiTheme="minorHAnsi" w:cstheme="minorHAnsi"/>
          <w:sz w:val="22"/>
          <w:szCs w:val="22"/>
        </w:rPr>
        <w:t>All employees, contractors, and relevant third parties shall comply with this policy and applicable AI procedures. They shall complete required AI awareness training, use only approved AI systems and tools, protect organizational and personal information, and report unauthorized AI use, incidents, risks, or concerns through established channels.</w:t>
      </w:r>
    </w:p>
    <w:p w:rsidR="00F20258" w:rsidRPr="00BF60D3" w:rsidRDefault="00F20258" w:rsidP="00F20258">
      <w:pPr>
        <w:pStyle w:val="Heading2"/>
      </w:pPr>
      <w:r w:rsidRPr="00BF60D3">
        <w:rPr>
          <w:rFonts w:eastAsia="Calibri"/>
          <w:highlight w:val="cyan"/>
        </w:rPr>
        <w:t>5</w:t>
      </w:r>
      <w:r w:rsidRPr="00BF60D3">
        <w:rPr>
          <w:rFonts w:eastAsia="Calibri"/>
          <w:highlight w:val="cyan"/>
        </w:rPr>
        <w:t xml:space="preserve">. </w:t>
      </w:r>
      <w:r w:rsidRPr="00BF60D3">
        <w:rPr>
          <w:rFonts w:eastAsia="Calibri"/>
          <w:highlight w:val="cyan"/>
        </w:rPr>
        <w:t>Responsible AI Principles</w:t>
      </w:r>
      <w:r>
        <w:rPr>
          <w:rFonts w:eastAsia="Calibri"/>
        </w:rPr>
        <w:t xml:space="preserve"> </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Responsible AI principles provide the foundation for ensuring that AI systems are trustworthy, ethical, secure, transparent, and aligned with organizational values and applicable laws and regulations. These principles guide an organization throughout the AI lifecycle, from planning and data collection to development, deployment, monitoring, and retirement.</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5.1 Accountability</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Organizations should clearly define who is responsible and accountable for AI systems and their outcomes. AI decisions should not be treated as the responsibility of the technology alone.</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5.2 Fairness and Non-Discrimination</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systems should be designed and operated to avoid unfair discrimination or unjustified bias against individuals or groups.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 xml:space="preserve">5.3 Transparency and </w:t>
      </w:r>
      <w:proofErr w:type="spellStart"/>
      <w:r w:rsidRPr="00F20258">
        <w:rPr>
          <w:rFonts w:asciiTheme="minorHAnsi" w:hAnsiTheme="minorHAnsi" w:cstheme="minorHAnsi"/>
          <w:sz w:val="22"/>
          <w:szCs w:val="22"/>
        </w:rPr>
        <w:t>Explainability</w:t>
      </w:r>
      <w:proofErr w:type="spellEnd"/>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Organizations should provide appropriate information about how AI systems are used, what they are intended to do, and, where appropriate, how they arrive at decisions or recommendations.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5.4 Privacy and Data Protection</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systems should protect personal and sensitive information throughout the AI lifecycle. Organizations should ensure that data is collected, processed, stored, shared, and retained in accordance with applicable privacy requirements.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5.5 Security and Resilience</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lastRenderedPageBreak/>
        <w:t>AI systems should be protected against unauthorized access, manipulation, attacks, data poisoning, prompt injection, model theft, data leakage, and other security threats.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5.6 Safety and Reliability</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systems should perform consistently and reliably within their intended environment. Organizations should identify situations where an AI system may produce incorrect, unsafe, or unexpected results and establish appropriate safeguards.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5.7 Human Oversight</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systems should have an appropriate level of human involvement and oversight, particularly when decisions may significantly affect individuals.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5.8 Risk-Based Approach</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governance should be proportionate to the level of risk associated with an AI system. Higher-risk systems should generally receive greater scrutiny, stronger controls, more extensive testing, and increased monitoring.</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5.9 Ethical and Responsible Use</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should be used for legitimate and responsible purposes and should not be deployed in ways that create unacceptable harm or violate organizational values, laws, or ethical expectations.</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5.10 Continuous Monitoring and Improvement</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 xml:space="preserve">Responsible AI does not end when an AI system is deployed. Organizations should continuously monitor performance, accuracy, bias, security, compliance, changes in data, and unexpected </w:t>
      </w:r>
      <w:proofErr w:type="spellStart"/>
      <w:r w:rsidRPr="00F20258">
        <w:rPr>
          <w:rFonts w:asciiTheme="minorHAnsi" w:hAnsiTheme="minorHAnsi" w:cstheme="minorHAnsi"/>
          <w:sz w:val="22"/>
          <w:szCs w:val="22"/>
        </w:rPr>
        <w:t>behavior</w:t>
      </w:r>
      <w:proofErr w:type="spellEnd"/>
      <w:r w:rsidRPr="00F20258">
        <w:rPr>
          <w:rFonts w:asciiTheme="minorHAnsi" w:hAnsiTheme="minorHAnsi" w:cstheme="minorHAnsi"/>
          <w:sz w:val="22"/>
          <w:szCs w:val="22"/>
        </w:rPr>
        <w:t>.</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5.11 Compliance with Laws, Regulations, and Standards</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AI systems should comply with applicable laws, regulations, contractual obligations, and recognized standards and frameworks. Depending on the organization's activities and geography, this may include requirements from the EU AI Act and GDPR, as well as standards and frameworks such as ISO/IEC 42001 and the NIST AI Risk Management Framework.</w:t>
      </w:r>
    </w:p>
    <w:p w:rsidR="00F20258" w:rsidRPr="00F20258" w:rsidRDefault="00F20258" w:rsidP="00F20258">
      <w:pPr>
        <w:pStyle w:val="Heading3"/>
        <w:rPr>
          <w:rFonts w:asciiTheme="minorHAnsi" w:hAnsiTheme="minorHAnsi" w:cstheme="minorHAnsi"/>
          <w:sz w:val="22"/>
          <w:szCs w:val="22"/>
        </w:rPr>
      </w:pPr>
      <w:r w:rsidRPr="00F20258">
        <w:rPr>
          <w:rFonts w:asciiTheme="minorHAnsi" w:hAnsiTheme="minorHAnsi" w:cstheme="minorHAnsi"/>
          <w:sz w:val="22"/>
          <w:szCs w:val="22"/>
        </w:rPr>
        <w:t>5.12 Environmental and Social Responsibility</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Where relevant, organizations should consider the environmental and broader social impacts of AI systems, including energy consumption, resource usage, and potential societal consequences.</w:t>
      </w:r>
    </w:p>
    <w:p w:rsidR="0039370C" w:rsidRDefault="0039370C" w:rsidP="0039370C">
      <w:pPr>
        <w:pStyle w:val="Heading2"/>
      </w:pPr>
      <w:r w:rsidRPr="00BF60D3">
        <w:rPr>
          <w:rFonts w:eastAsia="Calibri"/>
          <w:highlight w:val="cyan"/>
        </w:rPr>
        <w:t>6</w:t>
      </w:r>
      <w:r w:rsidRPr="00BF60D3">
        <w:rPr>
          <w:rFonts w:eastAsia="Calibri"/>
          <w:highlight w:val="cyan"/>
        </w:rPr>
        <w:t xml:space="preserve">. </w:t>
      </w:r>
      <w:r w:rsidRPr="00BF60D3">
        <w:rPr>
          <w:rFonts w:eastAsia="Calibri"/>
          <w:highlight w:val="cyan"/>
        </w:rPr>
        <w:t>AI Governance Implementation</w:t>
      </w:r>
      <w:r>
        <w:rPr>
          <w:rFonts w:eastAsia="Calibri"/>
        </w:rPr>
        <w:t xml:space="preserve"> </w:t>
      </w:r>
    </w:p>
    <w:p w:rsidR="00F20258" w:rsidRPr="0039370C" w:rsidRDefault="0039370C">
      <w:pPr>
        <w:pStyle w:val="Heading2"/>
        <w:spacing w:before="300" w:after="150"/>
        <w:rPr>
          <w:rFonts w:asciiTheme="minorHAnsi" w:hAnsiTheme="minorHAnsi" w:cstheme="minorHAnsi"/>
          <w:b w:val="0"/>
          <w:sz w:val="22"/>
          <w:szCs w:val="22"/>
          <w:lang w:val="en-IN" w:eastAsia="zh-CN" w:bidi="th-TH"/>
        </w:rPr>
      </w:pPr>
      <w:r w:rsidRPr="0039370C">
        <w:rPr>
          <w:rFonts w:asciiTheme="minorHAnsi" w:hAnsiTheme="minorHAnsi" w:cstheme="minorHAnsi"/>
          <w:b w:val="0"/>
          <w:sz w:val="22"/>
          <w:szCs w:val="22"/>
          <w:lang w:val="en-IN" w:eastAsia="zh-CN" w:bidi="th-TH"/>
        </w:rPr>
        <w:t>The organization shall establish an AI Governance Structure in alignment with the requirements and principles of ISO/IEC 42001</w:t>
      </w:r>
      <w:r>
        <w:rPr>
          <w:rFonts w:asciiTheme="minorHAnsi" w:hAnsiTheme="minorHAnsi" w:cstheme="minorHAnsi"/>
          <w:b w:val="0"/>
          <w:sz w:val="22"/>
          <w:szCs w:val="22"/>
          <w:lang w:val="en-IN" w:eastAsia="zh-CN" w:bidi="th-TH"/>
        </w:rPr>
        <w:t xml:space="preserve">. </w:t>
      </w:r>
      <w:r w:rsidRPr="0039370C">
        <w:rPr>
          <w:rFonts w:asciiTheme="minorHAnsi" w:hAnsiTheme="minorHAnsi" w:cstheme="minorHAnsi"/>
          <w:b w:val="0"/>
          <w:sz w:val="22"/>
          <w:szCs w:val="22"/>
          <w:lang w:val="en-IN" w:eastAsia="zh-CN" w:bidi="th-TH"/>
        </w:rPr>
        <w:t>The organization shall pursue certification against ISO/IEC 42001 through an appropriately accredited certification body. The governance structure shall be reviewed periodically to ensure that it remains appropriate for the organization's AI activities, regulatory requirements, risks, and changes in the AI landscape.</w:t>
      </w:r>
    </w:p>
    <w:p w:rsidR="00D57750" w:rsidRDefault="00BF60D3">
      <w:pPr>
        <w:pStyle w:val="Heading2"/>
        <w:spacing w:before="300" w:after="150"/>
      </w:pPr>
      <w:r w:rsidRPr="00BF60D3">
        <w:rPr>
          <w:rFonts w:eastAsia="Calibri" w:cs="Calibri"/>
          <w:bCs/>
          <w:sz w:val="30"/>
          <w:szCs w:val="30"/>
          <w:highlight w:val="cyan"/>
        </w:rPr>
        <w:lastRenderedPageBreak/>
        <w:t>7</w:t>
      </w:r>
      <w:r w:rsidR="00193AD2" w:rsidRPr="00BF60D3">
        <w:rPr>
          <w:rFonts w:eastAsia="Calibri" w:cs="Calibri"/>
          <w:bCs/>
          <w:sz w:val="30"/>
          <w:szCs w:val="30"/>
          <w:highlight w:val="cyan"/>
        </w:rPr>
        <w:t>. Exceptions</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The AI Governance Committee is the only authorized body to approve exceptions to this policy.</w:t>
      </w:r>
      <w:r>
        <w:rPr>
          <w:rFonts w:asciiTheme="minorHAnsi" w:hAnsiTheme="minorHAnsi" w:cstheme="minorHAnsi"/>
          <w:sz w:val="22"/>
          <w:szCs w:val="22"/>
        </w:rPr>
        <w:t xml:space="preserve"> </w:t>
      </w:r>
      <w:r w:rsidRPr="00F20258">
        <w:rPr>
          <w:rFonts w:asciiTheme="minorHAnsi" w:hAnsiTheme="minorHAnsi" w:cstheme="minorHAnsi"/>
          <w:sz w:val="22"/>
          <w:szCs w:val="22"/>
        </w:rPr>
        <w:t>Any request to deviate from this policy must be submitted to the AI Governance Lead with:</w:t>
      </w:r>
    </w:p>
    <w:p w:rsidR="00F20258" w:rsidRPr="00F20258" w:rsidRDefault="00F20258" w:rsidP="00F20258">
      <w:pPr>
        <w:numPr>
          <w:ilvl w:val="0"/>
          <w:numId w:val="3"/>
        </w:numPr>
        <w:spacing w:before="100" w:beforeAutospacing="1" w:after="100" w:afterAutospacing="1"/>
        <w:rPr>
          <w:rFonts w:asciiTheme="minorHAnsi" w:hAnsiTheme="minorHAnsi" w:cstheme="minorHAnsi"/>
          <w:sz w:val="22"/>
          <w:szCs w:val="22"/>
        </w:rPr>
      </w:pPr>
      <w:r w:rsidRPr="00F20258">
        <w:rPr>
          <w:rFonts w:asciiTheme="minorHAnsi" w:hAnsiTheme="minorHAnsi" w:cstheme="minorHAnsi"/>
          <w:sz w:val="22"/>
          <w:szCs w:val="22"/>
        </w:rPr>
        <w:t xml:space="preserve">A description of the exception and its justification. </w:t>
      </w:r>
    </w:p>
    <w:p w:rsidR="00F20258" w:rsidRPr="00F20258" w:rsidRDefault="00F20258" w:rsidP="00F20258">
      <w:pPr>
        <w:numPr>
          <w:ilvl w:val="0"/>
          <w:numId w:val="3"/>
        </w:numPr>
        <w:spacing w:before="100" w:beforeAutospacing="1" w:after="100" w:afterAutospacing="1"/>
        <w:rPr>
          <w:rFonts w:asciiTheme="minorHAnsi" w:hAnsiTheme="minorHAnsi" w:cstheme="minorHAnsi"/>
          <w:sz w:val="22"/>
          <w:szCs w:val="22"/>
        </w:rPr>
      </w:pPr>
      <w:r w:rsidRPr="00F20258">
        <w:rPr>
          <w:rFonts w:asciiTheme="minorHAnsi" w:hAnsiTheme="minorHAnsi" w:cstheme="minorHAnsi"/>
          <w:sz w:val="22"/>
          <w:szCs w:val="22"/>
        </w:rPr>
        <w:t xml:space="preserve">An assessment of the additional risk introduced. </w:t>
      </w:r>
    </w:p>
    <w:p w:rsidR="00F20258" w:rsidRPr="00F20258" w:rsidRDefault="00F20258" w:rsidP="00F20258">
      <w:pPr>
        <w:numPr>
          <w:ilvl w:val="0"/>
          <w:numId w:val="3"/>
        </w:numPr>
        <w:spacing w:before="100" w:beforeAutospacing="1" w:after="100" w:afterAutospacing="1"/>
        <w:rPr>
          <w:rFonts w:asciiTheme="minorHAnsi" w:hAnsiTheme="minorHAnsi" w:cstheme="minorHAnsi"/>
          <w:sz w:val="22"/>
          <w:szCs w:val="22"/>
        </w:rPr>
      </w:pPr>
      <w:r w:rsidRPr="00F20258">
        <w:rPr>
          <w:rFonts w:asciiTheme="minorHAnsi" w:hAnsiTheme="minorHAnsi" w:cstheme="minorHAnsi"/>
          <w:sz w:val="22"/>
          <w:szCs w:val="22"/>
        </w:rPr>
        <w:t xml:space="preserve">Compensating controls proposed. </w:t>
      </w:r>
    </w:p>
    <w:p w:rsidR="00F20258" w:rsidRPr="00F20258" w:rsidRDefault="00F20258" w:rsidP="00F20258">
      <w:pPr>
        <w:numPr>
          <w:ilvl w:val="0"/>
          <w:numId w:val="3"/>
        </w:numPr>
        <w:spacing w:before="100" w:beforeAutospacing="1" w:after="100" w:afterAutospacing="1"/>
        <w:rPr>
          <w:rFonts w:asciiTheme="minorHAnsi" w:hAnsiTheme="minorHAnsi" w:cstheme="minorHAnsi"/>
          <w:sz w:val="22"/>
          <w:szCs w:val="22"/>
        </w:rPr>
      </w:pPr>
      <w:r w:rsidRPr="00F20258">
        <w:rPr>
          <w:rFonts w:asciiTheme="minorHAnsi" w:hAnsiTheme="minorHAnsi" w:cstheme="minorHAnsi"/>
          <w:sz w:val="22"/>
          <w:szCs w:val="22"/>
        </w:rPr>
        <w:t xml:space="preserve">A defined expiration date. Exceptions are not permanent. </w:t>
      </w:r>
    </w:p>
    <w:p w:rsidR="00F20258" w:rsidRPr="00F20258" w:rsidRDefault="00F20258" w:rsidP="00F20258">
      <w:pPr>
        <w:pStyle w:val="NormalWeb"/>
        <w:rPr>
          <w:rFonts w:asciiTheme="minorHAnsi" w:hAnsiTheme="minorHAnsi" w:cstheme="minorHAnsi"/>
          <w:sz w:val="22"/>
          <w:szCs w:val="22"/>
        </w:rPr>
      </w:pPr>
      <w:r w:rsidRPr="00F20258">
        <w:rPr>
          <w:rFonts w:asciiTheme="minorHAnsi" w:hAnsiTheme="minorHAnsi" w:cstheme="minorHAnsi"/>
          <w:sz w:val="22"/>
          <w:szCs w:val="22"/>
        </w:rPr>
        <w:t>All exceptions must be reviewed and approved by the AI Governance Committee. All approved exceptions must be formally documented and logged. Exceptions must be reviewed at least quarterly to determine whether they remain necessary and whether the associated risks and compensating controls remain acceptable.</w:t>
      </w:r>
    </w:p>
    <w:p w:rsidR="00D57750" w:rsidRDefault="00BF60D3">
      <w:pPr>
        <w:pStyle w:val="Heading2"/>
        <w:spacing w:before="300" w:after="150"/>
      </w:pPr>
      <w:r w:rsidRPr="00BF60D3">
        <w:rPr>
          <w:rFonts w:eastAsia="Calibri" w:cs="Calibri"/>
          <w:bCs/>
          <w:sz w:val="30"/>
          <w:szCs w:val="30"/>
          <w:highlight w:val="cyan"/>
        </w:rPr>
        <w:t>8</w:t>
      </w:r>
      <w:r w:rsidR="00193AD2" w:rsidRPr="00BF60D3">
        <w:rPr>
          <w:rFonts w:eastAsia="Calibri" w:cs="Calibri"/>
          <w:bCs/>
          <w:sz w:val="30"/>
          <w:szCs w:val="30"/>
          <w:highlight w:val="cyan"/>
        </w:rPr>
        <w:t>. Enforcement</w:t>
      </w:r>
    </w:p>
    <w:p w:rsidR="00D57750" w:rsidRDefault="00193AD2">
      <w:pPr>
        <w:spacing w:after="150"/>
      </w:pPr>
      <w:r>
        <w:rPr>
          <w:rFonts w:ascii="Calibri" w:eastAsia="Calibri" w:hAnsi="Calibri" w:cs="Calibri"/>
          <w:sz w:val="22"/>
          <w:szCs w:val="22"/>
        </w:rPr>
        <w:t>Non-compliance with this policy may result in:</w:t>
      </w:r>
    </w:p>
    <w:p w:rsidR="00D57750" w:rsidRDefault="00193AD2">
      <w:pPr>
        <w:spacing w:after="150"/>
      </w:pPr>
      <w:r>
        <w:rPr>
          <w:rFonts w:ascii="Calibri" w:eastAsia="Calibri" w:hAnsi="Calibri" w:cs="Calibri"/>
          <w:sz w:val="22"/>
          <w:szCs w:val="22"/>
        </w:rPr>
        <w:t>The organization reserves the right to immediately suspend any AI system that poses an unacceptable risk to individuals, the organization, or regulatory standing.</w:t>
      </w:r>
    </w:p>
    <w:p w:rsidR="00D57750" w:rsidRDefault="00193AD2">
      <w:pPr>
        <w:pStyle w:val="ListParagraph"/>
        <w:numPr>
          <w:ilvl w:val="0"/>
          <w:numId w:val="1"/>
        </w:numPr>
        <w:spacing w:after="80"/>
      </w:pPr>
      <w:r>
        <w:rPr>
          <w:rFonts w:ascii="Calibri" w:eastAsia="Calibri" w:hAnsi="Calibri" w:cs="Calibri"/>
          <w:sz w:val="22"/>
          <w:szCs w:val="22"/>
        </w:rPr>
        <w:t>Suspension of the AI system pending review.</w:t>
      </w:r>
    </w:p>
    <w:p w:rsidR="00D57750" w:rsidRDefault="00193AD2">
      <w:pPr>
        <w:pStyle w:val="ListParagraph"/>
        <w:numPr>
          <w:ilvl w:val="0"/>
          <w:numId w:val="1"/>
        </w:numPr>
        <w:spacing w:after="80"/>
      </w:pPr>
      <w:r>
        <w:rPr>
          <w:rFonts w:ascii="Calibri" w:eastAsia="Calibri" w:hAnsi="Calibri" w:cs="Calibri"/>
          <w:sz w:val="22"/>
          <w:szCs w:val="22"/>
        </w:rPr>
        <w:t>Mandatory remediation with a defined timeline.</w:t>
      </w:r>
    </w:p>
    <w:p w:rsidR="00D57750" w:rsidRDefault="00193AD2">
      <w:pPr>
        <w:pStyle w:val="ListParagraph"/>
        <w:numPr>
          <w:ilvl w:val="0"/>
          <w:numId w:val="1"/>
        </w:numPr>
        <w:spacing w:after="80"/>
      </w:pPr>
      <w:r>
        <w:rPr>
          <w:rFonts w:ascii="Calibri" w:eastAsia="Calibri" w:hAnsi="Calibri" w:cs="Calibri"/>
          <w:sz w:val="22"/>
          <w:szCs w:val="22"/>
        </w:rPr>
        <w:t>Escalation to executive leadership.</w:t>
      </w:r>
    </w:p>
    <w:p w:rsidR="00D57750" w:rsidRDefault="00193AD2">
      <w:pPr>
        <w:pStyle w:val="ListParagraph"/>
        <w:numPr>
          <w:ilvl w:val="0"/>
          <w:numId w:val="1"/>
        </w:numPr>
        <w:spacing w:after="80"/>
      </w:pPr>
      <w:r>
        <w:rPr>
          <w:rFonts w:ascii="Calibri" w:eastAsia="Calibri" w:hAnsi="Calibri" w:cs="Calibri"/>
          <w:sz w:val="22"/>
          <w:szCs w:val="22"/>
        </w:rPr>
        <w:t>Disciplinary action proportional to the risk introduced.</w:t>
      </w:r>
    </w:p>
    <w:p w:rsidR="00D57750" w:rsidRDefault="00BF60D3">
      <w:pPr>
        <w:pStyle w:val="Heading2"/>
        <w:spacing w:before="300" w:after="150"/>
      </w:pPr>
      <w:r w:rsidRPr="00BF60D3">
        <w:rPr>
          <w:rFonts w:eastAsia="Calibri" w:cs="Calibri"/>
          <w:bCs/>
          <w:sz w:val="30"/>
          <w:szCs w:val="30"/>
          <w:highlight w:val="cyan"/>
        </w:rPr>
        <w:t>9</w:t>
      </w:r>
      <w:r w:rsidR="00193AD2" w:rsidRPr="00BF60D3">
        <w:rPr>
          <w:rFonts w:eastAsia="Calibri" w:cs="Calibri"/>
          <w:bCs/>
          <w:sz w:val="30"/>
          <w:szCs w:val="30"/>
          <w:highlight w:val="cyan"/>
        </w:rPr>
        <w:t>. Review and update</w:t>
      </w:r>
    </w:p>
    <w:p w:rsidR="00D57750" w:rsidRDefault="00193AD2">
      <w:pPr>
        <w:spacing w:after="150"/>
      </w:pPr>
      <w:r>
        <w:rPr>
          <w:rFonts w:ascii="Calibri" w:eastAsia="Calibri" w:hAnsi="Calibri" w:cs="Calibri"/>
          <w:sz w:val="22"/>
          <w:szCs w:val="22"/>
        </w:rPr>
        <w:t>This policy is reviewed at least annually, or sooner when triggered by:</w:t>
      </w:r>
    </w:p>
    <w:p w:rsidR="00D57750" w:rsidRDefault="00193AD2">
      <w:pPr>
        <w:spacing w:after="150"/>
      </w:pPr>
      <w:r>
        <w:rPr>
          <w:rFonts w:ascii="Calibri" w:eastAsia="Calibri" w:hAnsi="Calibri" w:cs="Calibri"/>
          <w:sz w:val="22"/>
          <w:szCs w:val="22"/>
        </w:rPr>
        <w:t>The AI Governance Lead is responsible for initiating the review. Upda</w:t>
      </w:r>
      <w:r>
        <w:rPr>
          <w:rFonts w:ascii="Calibri" w:eastAsia="Calibri" w:hAnsi="Calibri" w:cs="Calibri"/>
          <w:sz w:val="22"/>
          <w:szCs w:val="22"/>
        </w:rPr>
        <w:t>tes require AI Governance Committee approval.</w:t>
      </w:r>
    </w:p>
    <w:p w:rsidR="00D57750" w:rsidRDefault="00193AD2">
      <w:pPr>
        <w:pStyle w:val="ListParagraph"/>
        <w:numPr>
          <w:ilvl w:val="0"/>
          <w:numId w:val="1"/>
        </w:numPr>
        <w:spacing w:after="80"/>
      </w:pPr>
      <w:r>
        <w:rPr>
          <w:rFonts w:ascii="Calibri" w:eastAsia="Calibri" w:hAnsi="Calibri" w:cs="Calibri"/>
          <w:sz w:val="22"/>
          <w:szCs w:val="22"/>
        </w:rPr>
        <w:t>Significant regulatory changes (e.g., new EU AI Act provisions taking effect).</w:t>
      </w:r>
    </w:p>
    <w:p w:rsidR="00D57750" w:rsidRDefault="00193AD2">
      <w:pPr>
        <w:pStyle w:val="ListParagraph"/>
        <w:numPr>
          <w:ilvl w:val="0"/>
          <w:numId w:val="1"/>
        </w:numPr>
        <w:spacing w:after="80"/>
      </w:pPr>
      <w:r>
        <w:rPr>
          <w:rFonts w:ascii="Calibri" w:eastAsia="Calibri" w:hAnsi="Calibri" w:cs="Calibri"/>
          <w:sz w:val="22"/>
          <w:szCs w:val="22"/>
        </w:rPr>
        <w:t>Material AI incidents within the organization.</w:t>
      </w:r>
    </w:p>
    <w:p w:rsidR="00D57750" w:rsidRDefault="00193AD2">
      <w:pPr>
        <w:pStyle w:val="ListParagraph"/>
        <w:numPr>
          <w:ilvl w:val="0"/>
          <w:numId w:val="1"/>
        </w:numPr>
        <w:spacing w:after="80"/>
      </w:pPr>
      <w:r>
        <w:rPr>
          <w:rFonts w:ascii="Calibri" w:eastAsia="Calibri" w:hAnsi="Calibri" w:cs="Calibri"/>
          <w:sz w:val="22"/>
          <w:szCs w:val="22"/>
        </w:rPr>
        <w:t>Changes to the organization's AI strategy or risk appetite.</w:t>
      </w:r>
    </w:p>
    <w:p w:rsidR="00D57750" w:rsidRDefault="00193AD2">
      <w:pPr>
        <w:pStyle w:val="ListParagraph"/>
        <w:numPr>
          <w:ilvl w:val="0"/>
          <w:numId w:val="1"/>
        </w:numPr>
        <w:spacing w:after="80"/>
      </w:pPr>
      <w:r>
        <w:rPr>
          <w:rFonts w:ascii="Calibri" w:eastAsia="Calibri" w:hAnsi="Calibri" w:cs="Calibri"/>
          <w:sz w:val="22"/>
          <w:szCs w:val="22"/>
        </w:rPr>
        <w:t>Findings from internal o</w:t>
      </w:r>
      <w:r>
        <w:rPr>
          <w:rFonts w:ascii="Calibri" w:eastAsia="Calibri" w:hAnsi="Calibri" w:cs="Calibri"/>
          <w:sz w:val="22"/>
          <w:szCs w:val="22"/>
        </w:rPr>
        <w:t>r external audits.</w:t>
      </w:r>
    </w:p>
    <w:p w:rsidR="00D57750" w:rsidRDefault="00D57750">
      <w:pPr>
        <w:spacing w:after="150"/>
      </w:pPr>
    </w:p>
    <w:sectPr w:rsidR="00D577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95704"/>
    <w:multiLevelType w:val="hybridMultilevel"/>
    <w:tmpl w:val="E8A0D3CA"/>
    <w:lvl w:ilvl="0" w:tplc="6F2208F2">
      <w:start w:val="1"/>
      <w:numFmt w:val="bullet"/>
      <w:lvlText w:val="●"/>
      <w:lvlJc w:val="left"/>
      <w:pPr>
        <w:ind w:left="720" w:hanging="360"/>
      </w:pPr>
    </w:lvl>
    <w:lvl w:ilvl="1" w:tplc="8BCC96D6">
      <w:start w:val="1"/>
      <w:numFmt w:val="bullet"/>
      <w:lvlText w:val="○"/>
      <w:lvlJc w:val="left"/>
      <w:pPr>
        <w:ind w:left="1440" w:hanging="360"/>
      </w:pPr>
    </w:lvl>
    <w:lvl w:ilvl="2" w:tplc="0E9E46B6">
      <w:start w:val="1"/>
      <w:numFmt w:val="bullet"/>
      <w:lvlText w:val="■"/>
      <w:lvlJc w:val="left"/>
      <w:pPr>
        <w:ind w:left="2160" w:hanging="360"/>
      </w:pPr>
    </w:lvl>
    <w:lvl w:ilvl="3" w:tplc="2230E55E">
      <w:start w:val="1"/>
      <w:numFmt w:val="bullet"/>
      <w:lvlText w:val="●"/>
      <w:lvlJc w:val="left"/>
      <w:pPr>
        <w:ind w:left="2880" w:hanging="360"/>
      </w:pPr>
    </w:lvl>
    <w:lvl w:ilvl="4" w:tplc="CBFC1C8A">
      <w:start w:val="1"/>
      <w:numFmt w:val="bullet"/>
      <w:lvlText w:val="○"/>
      <w:lvlJc w:val="left"/>
      <w:pPr>
        <w:ind w:left="3600" w:hanging="360"/>
      </w:pPr>
    </w:lvl>
    <w:lvl w:ilvl="5" w:tplc="4C78285A">
      <w:start w:val="1"/>
      <w:numFmt w:val="bullet"/>
      <w:lvlText w:val="■"/>
      <w:lvlJc w:val="left"/>
      <w:pPr>
        <w:ind w:left="4320" w:hanging="360"/>
      </w:pPr>
    </w:lvl>
    <w:lvl w:ilvl="6" w:tplc="4FDC2916">
      <w:start w:val="1"/>
      <w:numFmt w:val="bullet"/>
      <w:lvlText w:val="●"/>
      <w:lvlJc w:val="left"/>
      <w:pPr>
        <w:ind w:left="5040" w:hanging="360"/>
      </w:pPr>
    </w:lvl>
    <w:lvl w:ilvl="7" w:tplc="93D84A3A">
      <w:start w:val="1"/>
      <w:numFmt w:val="bullet"/>
      <w:lvlText w:val="●"/>
      <w:lvlJc w:val="left"/>
      <w:pPr>
        <w:ind w:left="5760" w:hanging="360"/>
      </w:pPr>
    </w:lvl>
    <w:lvl w:ilvl="8" w:tplc="13609C92">
      <w:start w:val="1"/>
      <w:numFmt w:val="bullet"/>
      <w:lvlText w:val="●"/>
      <w:lvlJc w:val="left"/>
      <w:pPr>
        <w:ind w:left="6480" w:hanging="360"/>
      </w:pPr>
    </w:lvl>
  </w:abstractNum>
  <w:abstractNum w:abstractNumId="1" w15:restartNumberingAfterBreak="0">
    <w:nsid w:val="467E228D"/>
    <w:multiLevelType w:val="hybridMultilevel"/>
    <w:tmpl w:val="75BAF9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BF4397"/>
    <w:multiLevelType w:val="multilevel"/>
    <w:tmpl w:val="5A4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750"/>
    <w:rsid w:val="00193AD2"/>
    <w:rsid w:val="0039370C"/>
    <w:rsid w:val="00BF60D3"/>
    <w:rsid w:val="00D57750"/>
    <w:rsid w:val="00F20258"/>
    <w:rsid w:val="00FF7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B6CA"/>
  <w15:docId w15:val="{B389B68A-3403-4E8F-880E-9729D733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rsid w:val="0039370C"/>
    <w:pPr>
      <w:outlineLvl w:val="1"/>
    </w:pPr>
    <w:rPr>
      <w:rFonts w:ascii="Calibri" w:hAnsi="Calibri"/>
      <w:b/>
      <w:sz w:val="28"/>
      <w:szCs w:val="26"/>
    </w:rPr>
  </w:style>
  <w:style w:type="paragraph" w:styleId="Heading3">
    <w:name w:val="heading 3"/>
    <w:qFormat/>
    <w:rsid w:val="00BF60D3"/>
    <w:pPr>
      <w:outlineLvl w:val="2"/>
    </w:pPr>
    <w:rPr>
      <w:rFonts w:ascii="Calibri" w:hAnsi="Calibri"/>
      <w:b/>
      <w:color w:val="000000" w:themeColor="text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F7467"/>
    <w:pPr>
      <w:spacing w:before="100" w:beforeAutospacing="1" w:after="100" w:afterAutospacing="1"/>
    </w:pPr>
    <w:rPr>
      <w:sz w:val="24"/>
      <w:szCs w:val="24"/>
      <w:lang w:val="en-IN" w:eastAsia="zh-CN" w:bidi="th-TH"/>
    </w:rPr>
  </w:style>
  <w:style w:type="character" w:styleId="Strong">
    <w:name w:val="Strong"/>
    <w:basedOn w:val="DefaultParagraphFont"/>
    <w:uiPriority w:val="22"/>
    <w:qFormat/>
    <w:rsid w:val="00FF7467"/>
    <w:rPr>
      <w:b/>
      <w:bCs/>
    </w:rPr>
  </w:style>
  <w:style w:type="table" w:styleId="TableGrid">
    <w:name w:val="Table Grid"/>
    <w:aliases w:val="CV table"/>
    <w:basedOn w:val="TableNormal"/>
    <w:uiPriority w:val="39"/>
    <w:rsid w:val="00FF7467"/>
    <w:rPr>
      <w:rFonts w:asciiTheme="minorHAnsi" w:eastAsiaTheme="minorEastAsia" w:hAnsiTheme="minorHAnsi" w:cstheme="minorBidi"/>
      <w:sz w:val="22"/>
      <w:szCs w:val="28"/>
      <w:lang w:val="en-IN"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1">
    <w:name w:val="Paragraph 1"/>
    <w:rsid w:val="00FF7467"/>
    <w:pPr>
      <w:spacing w:before="120" w:after="120"/>
    </w:pPr>
    <w:rPr>
      <w:rFonts w:ascii="Book Antiqua" w:hAnsi="Book Antiqua"/>
      <w:color w:val="000000"/>
      <w:sz w:val="22"/>
    </w:rPr>
  </w:style>
  <w:style w:type="paragraph" w:customStyle="1" w:styleId="isselectedend">
    <w:name w:val="isselectedend"/>
    <w:basedOn w:val="Normal"/>
    <w:rsid w:val="0039370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443945">
      <w:bodyDiv w:val="1"/>
      <w:marLeft w:val="0"/>
      <w:marRight w:val="0"/>
      <w:marTop w:val="0"/>
      <w:marBottom w:val="0"/>
      <w:divBdr>
        <w:top w:val="none" w:sz="0" w:space="0" w:color="auto"/>
        <w:left w:val="none" w:sz="0" w:space="0" w:color="auto"/>
        <w:bottom w:val="none" w:sz="0" w:space="0" w:color="auto"/>
        <w:right w:val="none" w:sz="0" w:space="0" w:color="auto"/>
      </w:divBdr>
    </w:div>
    <w:div w:id="401565865">
      <w:bodyDiv w:val="1"/>
      <w:marLeft w:val="0"/>
      <w:marRight w:val="0"/>
      <w:marTop w:val="0"/>
      <w:marBottom w:val="0"/>
      <w:divBdr>
        <w:top w:val="none" w:sz="0" w:space="0" w:color="auto"/>
        <w:left w:val="none" w:sz="0" w:space="0" w:color="auto"/>
        <w:bottom w:val="none" w:sz="0" w:space="0" w:color="auto"/>
        <w:right w:val="none" w:sz="0" w:space="0" w:color="auto"/>
      </w:divBdr>
    </w:div>
    <w:div w:id="664820464">
      <w:bodyDiv w:val="1"/>
      <w:marLeft w:val="0"/>
      <w:marRight w:val="0"/>
      <w:marTop w:val="0"/>
      <w:marBottom w:val="0"/>
      <w:divBdr>
        <w:top w:val="none" w:sz="0" w:space="0" w:color="auto"/>
        <w:left w:val="none" w:sz="0" w:space="0" w:color="auto"/>
        <w:bottom w:val="none" w:sz="0" w:space="0" w:color="auto"/>
        <w:right w:val="none" w:sz="0" w:space="0" w:color="auto"/>
      </w:divBdr>
    </w:div>
    <w:div w:id="1801653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HD</cp:lastModifiedBy>
  <cp:revision>4</cp:revision>
  <dcterms:created xsi:type="dcterms:W3CDTF">2026-09-07T19:17:00Z</dcterms:created>
  <dcterms:modified xsi:type="dcterms:W3CDTF">2026-09-07T19:56:00Z</dcterms:modified>
</cp:coreProperties>
</file>