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WELCOME · INSTRUCTOR SOLUTION</w:t>
      </w:r>
    </w:p>
    <w:p>
      <w:pPr>
        <w:spacing w:after="40"/>
      </w:pPr>
      <w:r>
        <w:rPr>
          <w:rFonts w:ascii="Georgia" w:hAnsi="Georgia"/>
          <w:b/>
          <w:i w:val="0"/>
          <w:color w:val="1A1A1A"/>
          <w:sz w:val="42"/>
        </w:rPr>
        <w:t>Sample output: the demo email, translated</w:t>
      </w:r>
    </w:p>
    <w:p>
      <w:pPr>
        <w:spacing w:after="160"/>
        <w:pBdr>
          <w:bottom w:val="single" w:sz="18" w:space="1" w:color="B5512B"/>
        </w:pBdr>
      </w:pPr>
    </w:p>
    <w:p>
      <w:pPr>
        <w:spacing w:after="200"/>
      </w:pPr>
      <w:r>
        <w:rPr>
          <w:rFonts w:ascii="Georgia" w:hAnsi="Georgia"/>
          <w:b w:val="0"/>
          <w:i/>
          <w:color w:val="3A3A3A"/>
          <w:sz w:val="23"/>
        </w:rPr>
        <w:t>Instructor reference for what a good AI plain-English translation of the demo green belt email looks like.</w:t>
      </w:r>
    </w:p>
    <w:p>
      <w:pPr>
        <w:spacing w:before="200" w:after="80"/>
      </w:pPr>
      <w:r>
        <w:rPr>
          <w:rFonts w:ascii="Georgia" w:hAnsi="Georgia"/>
          <w:b/>
          <w:i w:val="0"/>
          <w:color w:val="1A1A1A"/>
          <w:sz w:val="25"/>
        </w:rPr>
        <w:t>Plain-English translation</w:t>
      </w:r>
    </w:p>
    <w:p>
      <w:pPr>
        <w:spacing w:after="120"/>
      </w:pPr>
      <w:r>
        <w:rPr>
          <w:rFonts w:ascii="Georgia" w:hAnsi="Georgia"/>
          <w:b w:val="0"/>
          <w:i w:val="0"/>
          <w:color w:val="242424"/>
          <w:sz w:val="21"/>
        </w:rPr>
        <w:t>Here are our starting numbers for the project to move patients through the hospital faster (Q3 baseline metrics, the before picture we measure everything against). Right now the process is not very capable of hitting the goal. Our process capability (Cpk, a score for how reliably a process stays inside the target) is only 1.1 against a four-hour target, and a healthy score is 1.33, so we are below where we want to be.</w:t>
      </w:r>
    </w:p>
    <w:p>
      <w:pPr>
        <w:spacing w:after="120"/>
      </w:pPr>
      <w:r>
        <w:rPr>
          <w:rFonts w:ascii="Georgia" w:hAnsi="Georgia"/>
          <w:b w:val="0"/>
          <w:i w:val="0"/>
          <w:color w:val="242424"/>
          <w:sz w:val="21"/>
        </w:rPr>
        <w:t>A Pareto (a chart that ranks problems from biggest to smallest) shows that two steps, registration and triage, cause about 62% of the swings in how long the process takes (cycle time variation), and overflow boarding (holding admitted patients in the ER because no inpatient bed is free) adds another 18%. The suggestion is to point the Analyze phase (the DMAIC step where you hunt for root causes) at those two critical-to-quality factors (CTQs, the few things that matter most to the customer).</w:t>
      </w:r>
    </w:p>
    <w:p>
      <w:pPr>
        <w:spacing w:after="120"/>
      </w:pPr>
      <w:r>
        <w:rPr>
          <w:rFonts w:ascii="Georgia" w:hAnsi="Georgia"/>
          <w:b w:val="0"/>
          <w:i w:val="0"/>
          <w:color w:val="242424"/>
          <w:sz w:val="21"/>
        </w:rPr>
        <w:t>Finally, the control chart (a time-graph with statistical limits that separates a real signal from normal noise) shows two points in a row above the upper limit at the South campus. That points to a special cause (an unusual, specific event, not ordinary day-to-day variation) worth investigating. The green belt is offering to send a pre-read before the steering-committee meeting.</w:t>
      </w:r>
    </w:p>
    <w:p>
      <w:pPr>
        <w:spacing w:before="200" w:after="80"/>
      </w:pPr>
      <w:r>
        <w:rPr>
          <w:rFonts w:ascii="Georgia" w:hAnsi="Georgia"/>
          <w:b/>
          <w:i w:val="0"/>
          <w:color w:val="1A1A1A"/>
          <w:sz w:val="25"/>
        </w:rPr>
        <w:t>One-paragraph summary</w:t>
      </w:r>
    </w:p>
    <w:p>
      <w:pPr>
        <w:spacing w:after="120"/>
      </w:pPr>
      <w:r>
        <w:rPr>
          <w:rFonts w:ascii="Georgia" w:hAnsi="Georgia"/>
          <w:b w:val="0"/>
          <w:i w:val="0"/>
          <w:color w:val="242424"/>
          <w:sz w:val="21"/>
        </w:rPr>
        <w:t>In short: the project is not yet hitting the four-hour goal; registration, triage, and boarding are the biggest drivers; the team wants to dig into registration and triage next; and something unusual is happening at the South campus that needs a look. The green belt is asking whether you want a briefing before the leadership meeting.</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