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WELCOME · ACTIVITY SOLUTION</w:t>
      </w:r>
    </w:p>
    <w:p>
      <w:pPr>
        <w:spacing w:after="40"/>
      </w:pPr>
      <w:r>
        <w:rPr>
          <w:rFonts w:ascii="Georgia" w:hAnsi="Georgia"/>
          <w:b/>
          <w:i w:val="0"/>
          <w:color w:val="1A1A1A"/>
          <w:sz w:val="42"/>
        </w:rPr>
        <w:t>Sample solution: your jargon email, translated, plus a reply</w:t>
      </w:r>
    </w:p>
    <w:p>
      <w:pPr>
        <w:spacing w:after="160"/>
        <w:pBdr>
          <w:bottom w:val="single" w:sz="18" w:space="1" w:color="B5512B"/>
        </w:pBdr>
      </w:pPr>
    </w:p>
    <w:p>
      <w:pPr>
        <w:spacing w:after="200"/>
      </w:pPr>
      <w:r>
        <w:rPr>
          <w:rFonts w:ascii="Georgia" w:hAnsi="Georgia"/>
          <w:b w:val="0"/>
          <w:i/>
          <w:color w:val="3A3A3A"/>
          <w:sz w:val="23"/>
        </w:rPr>
        <w:t>Instructor reference for the activity; the student translates the practice Input - Jargon Email, then drafts a short, thoughtful reply.</w:t>
      </w:r>
    </w:p>
    <w:p>
      <w:pPr>
        <w:spacing w:before="200" w:after="80"/>
      </w:pPr>
      <w:r>
        <w:rPr>
          <w:rFonts w:ascii="Georgia" w:hAnsi="Georgia"/>
          <w:b/>
          <w:i w:val="0"/>
          <w:color w:val="1A1A1A"/>
          <w:sz w:val="25"/>
        </w:rPr>
        <w:t>How to use this sample</w:t>
      </w:r>
    </w:p>
    <w:p>
      <w:pPr>
        <w:spacing w:after="120"/>
      </w:pPr>
      <w:r>
        <w:rPr>
          <w:rFonts w:ascii="Georgia" w:hAnsi="Georgia"/>
          <w:b w:val="0"/>
          <w:i w:val="0"/>
          <w:color w:val="242424"/>
          <w:sz w:val="21"/>
        </w:rPr>
        <w:t>Compare your output to this. Yours will differ in wording, and that is fine. What matters is that you can explain every part of the email in your own words and that your reply acknowledges the message, shows you understand the priorities, and asks one specific question.</w:t>
      </w:r>
    </w:p>
    <w:p>
      <w:pPr>
        <w:spacing w:before="200" w:after="80"/>
      </w:pPr>
      <w:r>
        <w:rPr>
          <w:rFonts w:ascii="Georgia" w:hAnsi="Georgia"/>
          <w:b/>
          <w:i w:val="0"/>
          <w:color w:val="1A1A1A"/>
          <w:sz w:val="25"/>
        </w:rPr>
        <w:t>Plain-English translation</w:t>
      </w:r>
    </w:p>
    <w:p>
      <w:pPr>
        <w:spacing w:after="120"/>
      </w:pPr>
      <w:r>
        <w:rPr>
          <w:rFonts w:ascii="Georgia" w:hAnsi="Georgia"/>
          <w:b w:val="0"/>
          <w:i w:val="0"/>
          <w:color w:val="242424"/>
          <w:sz w:val="21"/>
        </w:rPr>
        <w:t>Ahead of Thursday's checkpoint meeting (tollgate, a review where leaders decide if the project can advance), here are the second-quarter numbers. The process runs at about a 2.8 sigma level (a score for how few defects a process makes; higher is better, six is world-class), which is roughly 92,000 defects per million opportunities (DPMO). That is measured against what the customer cares about most (CTQ, critical to quality): an average handle time (AHT, the average time an agent spends per call) under six minutes.</w:t>
      </w:r>
    </w:p>
    <w:p>
      <w:pPr>
        <w:spacing w:after="120"/>
      </w:pPr>
      <w:r>
        <w:rPr>
          <w:rFonts w:ascii="Georgia" w:hAnsi="Georgia"/>
          <w:b w:val="0"/>
          <w:i w:val="0"/>
          <w:color w:val="242424"/>
          <w:sz w:val="21"/>
        </w:rPr>
        <w:t>The Measure-phase data shows the process is not in statistical control (it is behaving unpredictably). The I-MR chart (a control chart for individual readings) has nine points in a row below the centerline right after the new phone menu (IVR, the automated press 1 for system) went live. Nine in a row is a special cause (a specific, identifiable change, not random noise), and a good one worth locking in.</w:t>
      </w:r>
    </w:p>
    <w:p>
      <w:pPr>
        <w:spacing w:after="120"/>
      </w:pPr>
      <w:r>
        <w:rPr>
          <w:rFonts w:ascii="Georgia" w:hAnsi="Georgia"/>
          <w:b w:val="0"/>
          <w:i w:val="0"/>
          <w:color w:val="242424"/>
          <w:sz w:val="21"/>
        </w:rPr>
        <w:t>A Pareto (ranks causes biggest to smallest) on after-call work (ACW, the wrap-up tasks an agent does after hanging up) shows manual CRM note-typing and post-call surveys cause about 70% of the non-talking time. Floor observations (gemba walks) suggest the pace needed to keep up (takt time) on harder tier-2 calls is being blown by hold-and-transfer loops. The recommendation is to aim the Improve phase at cutting after-call work and raising first-call resolution (FCR, solving the issue on the first call).</w:t>
      </w:r>
    </w:p>
    <w:p>
      <w:pPr>
        <w:spacing w:before="200" w:after="80"/>
      </w:pPr>
      <w:r>
        <w:rPr>
          <w:rFonts w:ascii="Georgia" w:hAnsi="Georgia"/>
          <w:b/>
          <w:i w:val="0"/>
          <w:color w:val="1A1A1A"/>
          <w:sz w:val="25"/>
        </w:rPr>
        <w:t>One-paragraph summary</w:t>
      </w:r>
    </w:p>
    <w:p>
      <w:pPr>
        <w:spacing w:after="120"/>
      </w:pPr>
      <w:r>
        <w:rPr>
          <w:rFonts w:ascii="Georgia" w:hAnsi="Georgia"/>
          <w:b w:val="0"/>
          <w:i w:val="0"/>
          <w:color w:val="242424"/>
          <w:sz w:val="21"/>
        </w:rPr>
        <w:t>In short: calls take too long and the process is unstable, but the new phone menu actually made things better and is worth keeping. Most wasted time is in after-call paperwork. The plan is to cut that paperwork and solve more issues on the first call. The green belt wants to know if you would like a briefing before Thursday.</w:t>
      </w:r>
    </w:p>
    <w:p>
      <w:pPr>
        <w:spacing w:before="200" w:after="80"/>
      </w:pPr>
      <w:r>
        <w:rPr>
          <w:rFonts w:ascii="Georgia" w:hAnsi="Georgia"/>
          <w:b/>
          <w:i w:val="0"/>
          <w:color w:val="1A1A1A"/>
          <w:sz w:val="25"/>
        </w:rPr>
        <w:t>A model reply to the green belt</w:t>
      </w:r>
    </w:p>
    <w:p>
      <w:pPr>
        <w:spacing w:after="120"/>
      </w:pPr>
      <w:r>
        <w:rPr>
          <w:rFonts w:ascii="Georgia" w:hAnsi="Georgia"/>
          <w:b w:val="0"/>
          <w:i w:val="0"/>
          <w:color w:val="242424"/>
          <w:sz w:val="21"/>
        </w:rPr>
        <w:t>Thanks, Dana, this is clear now. I agree that pointing Improve at after-call work and first-call resolution is where the time is. One question: for the nine-points-below-the-line shift after the IVR change, do we have the exact go-live date? I would like to line up the call samples from before and after it when I am on the floor.</w:t>
      </w:r>
    </w:p>
    <w:p>
      <w:pPr>
        <w:spacing w:before="200" w:after="80"/>
      </w:pPr>
      <w:r>
        <w:rPr>
          <w:rFonts w:ascii="Georgia" w:hAnsi="Georgia"/>
          <w:b/>
          <w:i w:val="0"/>
          <w:color w:val="1A1A1A"/>
          <w:sz w:val="25"/>
        </w:rPr>
        <w:t>Note on AI risk</w:t>
      </w:r>
    </w:p>
    <w:p>
      <w:pPr>
        <w:spacing w:after="120"/>
      </w:pPr>
      <w:r>
        <w:rPr>
          <w:rFonts w:ascii="Georgia" w:hAnsi="Georgia"/>
          <w:b w:val="0"/>
          <w:i w:val="0"/>
          <w:color w:val="242424"/>
          <w:sz w:val="21"/>
        </w:rPr>
        <w:t>The rule of thumb: AI gets you 95% of the way there in about 30 seconds, and you spend the last 5% verifying what matters. Check the most important terms against a reliable glossary, and treat the output as a draft.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