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B5512B"/>
          <w:sz w:val="18"/>
        </w:rPr>
        <w:t xml:space="preserve">● </w:t>
      </w:r>
      <w:r>
        <w:rPr>
          <w:rFonts w:ascii="Arial" w:hAnsi="Arial"/>
          <w:b/>
          <w:i w:val="0"/>
          <w:color w:val="8A8A8A"/>
          <w:sz w:val="18"/>
        </w:rPr>
        <w:t>AI SSWB · LEAN · INSTRUCTOR SOLUTION</w:t>
      </w:r>
    </w:p>
    <w:p>
      <w:pPr>
        <w:spacing w:after="40"/>
      </w:pPr>
      <w:r>
        <w:rPr>
          <w:rFonts w:ascii="Georgia" w:hAnsi="Georgia"/>
          <w:b/>
          <w:i w:val="0"/>
          <w:color w:val="1A1A1A"/>
          <w:sz w:val="42"/>
        </w:rPr>
        <w:t>Three buckets: sample classification</w:t>
      </w:r>
    </w:p>
    <w:p>
      <w:pPr>
        <w:spacing w:after="160"/>
        <w:pBdr>
          <w:bottom w:val="single" w:sz="18" w:space="1" w:color="B5512B"/>
        </w:pBdr>
      </w:pPr>
    </w:p>
    <w:p>
      <w:pPr>
        <w:spacing w:after="200"/>
      </w:pPr>
      <w:r>
        <w:rPr>
          <w:rFonts w:ascii="Georgia" w:hAnsi="Georgia"/>
          <w:b w:val="0"/>
          <w:i/>
          <w:color w:val="3A3A3A"/>
          <w:sz w:val="23"/>
        </w:rPr>
        <w:t>Instructor reference for the 20-step practice dataset; student wording will vary, the value, necessary-waste, and pure-waste split is what matters.</w:t>
      </w:r>
    </w:p>
    <w:p>
      <w:pPr>
        <w:spacing w:before="200" w:after="80"/>
      </w:pPr>
      <w:r>
        <w:rPr>
          <w:rFonts w:ascii="Georgia" w:hAnsi="Georgia"/>
          <w:b/>
          <w:i w:val="0"/>
          <w:color w:val="1A1A1A"/>
          <w:sz w:val="25"/>
        </w:rPr>
        <w:t>The takeaway split</w:t>
      </w:r>
    </w:p>
    <w:p>
      <w:pPr>
        <w:spacing w:after="120"/>
      </w:pPr>
      <w:r>
        <w:rPr>
          <w:rFonts w:ascii="Georgia" w:hAnsi="Georgia"/>
          <w:b w:val="0"/>
          <w:i w:val="0"/>
          <w:color w:val="242424"/>
          <w:sz w:val="21"/>
        </w:rPr>
        <w:t>Value: 3 steps. Necessary waste: 3 steps. Pure waste: 14 steps. Most of the process is pure waste (waiting, duplicate entry, hand-carrying paper), which lines up with the rough rule the lecture teaches: only about 5% true value, roughly 30% necessary waste, and roughly 65% pure waste. That is exactly where a white belt finds quick wins.</w:t>
      </w:r>
    </w:p>
    <w:p>
      <w:pPr>
        <w:spacing w:before="200" w:after="80"/>
      </w:pPr>
      <w:r>
        <w:rPr>
          <w:rFonts w:ascii="Georgia" w:hAnsi="Georgia"/>
          <w:b/>
          <w:i w:val="0"/>
          <w:color w:val="1A1A1A"/>
          <w:sz w:val="25"/>
        </w:rPr>
        <w:t>Classification of the 20 sample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B5512B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412"/>
            <w:shd w:val="clear" w:fill="B5512B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2412"/>
            <w:shd w:val="clear" w:fill="B5512B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Bucket</w:t>
            </w:r>
          </w:p>
        </w:tc>
        <w:tc>
          <w:tcPr>
            <w:tcW w:type="dxa" w:w="2412"/>
            <w:shd w:val="clear" w:fill="B5512B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1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Queue ticket and sit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Pure waste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Queue and waiting overhead the customer would not pay for</w:t>
            </w:r>
          </w:p>
        </w:tc>
      </w:tr>
      <w:tr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2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Wait for the registration window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Pure waste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Idle waiting</w:t>
            </w:r>
          </w:p>
        </w:tc>
      </w:tr>
      <w:tr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3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Verify insurance by phone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Necessary waste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Required to bill; cannot be skipped</w:t>
            </w:r>
          </w:p>
        </w:tc>
      </w:tr>
      <w:tr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4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Re-key details already in the portal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Pure waste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Duplicate data entry</w:t>
            </w:r>
          </w:p>
        </w:tc>
      </w:tr>
      <w:tr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5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Write address a second time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Pure waste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Duplicate</w:t>
            </w:r>
          </w:p>
        </w:tc>
      </w:tr>
      <w:tr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6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Photocopy insurance card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Necessary waste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Records and compliance</w:t>
            </w:r>
          </w:p>
        </w:tc>
      </w:tr>
      <w:tr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Chart walked down the hall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Pure waste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Transportation of information</w:t>
            </w:r>
          </w:p>
        </w:tc>
      </w:tr>
      <w:tr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Wait for a triage nurse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Pure waste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Idle waiting</w:t>
            </w:r>
          </w:p>
        </w:tc>
      </w:tr>
      <w:tr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Search for a working BP cuff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Pure waste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Motion and searching</w:t>
            </w:r>
          </w:p>
        </w:tc>
      </w:tr>
      <w:tr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10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Record vitals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Value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Clinical care the patient wants</w:t>
            </w:r>
          </w:p>
        </w:tc>
      </w:tr>
      <w:tr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11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Re-enter vitals from paper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Pure waste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Duplicate handling</w:t>
            </w:r>
          </w:p>
        </w:tc>
      </w:tr>
      <w:tr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12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Wait for an exam room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Pure waste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Idle waiting</w:t>
            </w:r>
          </w:p>
        </w:tc>
      </w:tr>
      <w:tr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13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Chart sits awaiting the physician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Pure waste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Waiting and work-in-progress inventory</w:t>
            </w:r>
          </w:p>
        </w:tc>
      </w:tr>
      <w:tr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14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Physician exam and diagnosis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Value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The core service the patient came for</w:t>
            </w:r>
          </w:p>
        </w:tc>
      </w:tr>
      <w:tr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15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Dictate notes (transcribed later)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Necessary waste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Required documentation</w:t>
            </w:r>
          </w:p>
        </w:tc>
      </w:tr>
      <w:tr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16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Order form hand-carried to lab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Pure waste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Transportation</w:t>
            </w:r>
          </w:p>
        </w:tc>
      </w:tr>
      <w:tr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17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Wait for lab paperwork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Pure waste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Idle waiting</w:t>
            </w:r>
          </w:p>
        </w:tc>
      </w:tr>
      <w:tr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18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Lab draws the blood ordered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Value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Diagnostic value the patient wants</w:t>
            </w:r>
          </w:p>
        </w:tc>
      </w:tr>
      <w:tr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19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Duplicate consent at discharge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Pure waste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Redundant signature</w:t>
            </w:r>
          </w:p>
        </w:tc>
      </w:tr>
      <w:tr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20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Wait for discharge paperwork to print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Pure waste</w:t>
            </w:r>
          </w:p>
        </w:tc>
        <w:tc>
          <w:tcPr>
            <w:tcW w:type="dxa" w:w="2412"/>
          </w:tcPr>
          <w:p>
            <w:r>
              <w:rPr>
                <w:rFonts w:ascii="Georgia" w:hAnsi="Georgia"/>
                <w:b w:val="0"/>
                <w:i w:val="0"/>
                <w:color w:val="242424"/>
                <w:sz w:val="19"/>
              </w:rPr>
              <w:t>Idle waiting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Arial" w:hAnsi="Arial"/>
        <w:b w:val="0"/>
        <w:i w:val="0"/>
        <w:color w:val="8A8A8A"/>
        <w:sz w:val="14"/>
      </w:rPr>
      <w:t>AI-Powered Six Sigma White Belt  ·  aigproexcellence.com</w:t>
    </w:r>
  </w:p>
  <w:p>
    <w:r>
      <w:rPr>
        <w:rFonts w:ascii="Arial" w:hAnsi="Arial"/>
        <w:b w:val="0"/>
        <w:i w:val="0"/>
        <w:color w:val="8A8A8A"/>
        <w:sz w:val="14"/>
      </w:rPr>
      <w:t>Student handout   ·   Free AI Pulse Newsletter: aipulse.aigproexcellence.com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