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B5512B"/>
          <w:sz w:val="18"/>
        </w:rPr>
        <w:t xml:space="preserve">● </w:t>
      </w:r>
      <w:r>
        <w:rPr>
          <w:rFonts w:ascii="Arial" w:hAnsi="Arial"/>
          <w:b/>
          <w:i w:val="0"/>
          <w:color w:val="8A8A8A"/>
          <w:sz w:val="18"/>
        </w:rPr>
        <w:t>AI SSWB · DEFINE · INSTRUCTOR SOLUTION</w:t>
      </w:r>
    </w:p>
    <w:p>
      <w:pPr>
        <w:spacing w:after="40"/>
      </w:pPr>
      <w:r>
        <w:rPr>
          <w:rFonts w:ascii="Georgia" w:hAnsi="Georgia"/>
          <w:b/>
          <w:i w:val="0"/>
          <w:color w:val="1A1A1A"/>
          <w:sz w:val="42"/>
        </w:rPr>
        <w:t>Decoded charter: sample output</w:t>
      </w:r>
    </w:p>
    <w:p>
      <w:pPr>
        <w:spacing w:after="160"/>
        <w:pBdr>
          <w:bottom w:val="single" w:sz="18" w:space="1" w:color="B5512B"/>
        </w:pBdr>
      </w:pPr>
    </w:p>
    <w:p>
      <w:pPr>
        <w:spacing w:after="200"/>
      </w:pPr>
      <w:r>
        <w:rPr>
          <w:rFonts w:ascii="Georgia" w:hAnsi="Georgia"/>
          <w:b w:val="0"/>
          <w:i/>
          <w:color w:val="3A3A3A"/>
          <w:sz w:val="23"/>
        </w:rPr>
        <w:t>Instructor reference; a representative AI decode of the ED door-to-doctor charter using the four-part decode prompt. Student output will vary in wording.</w:t>
      </w:r>
    </w:p>
    <w:p>
      <w:pPr>
        <w:spacing w:before="200" w:after="80"/>
      </w:pPr>
      <w:r>
        <w:rPr>
          <w:rFonts w:ascii="Georgia" w:hAnsi="Georgia"/>
          <w:b/>
          <w:i w:val="0"/>
          <w:color w:val="1A1A1A"/>
          <w:sz w:val="25"/>
        </w:rPr>
        <w:t>Part 1, plain-English summary</w:t>
      </w:r>
    </w:p>
    <w:p>
      <w:pPr>
        <w:spacing w:after="120"/>
      </w:pPr>
      <w:r>
        <w:rPr>
          <w:rFonts w:ascii="Georgia" w:hAnsi="Georgia"/>
          <w:b w:val="0"/>
          <w:i w:val="0"/>
          <w:color w:val="242424"/>
          <w:sz w:val="21"/>
        </w:rPr>
        <w:t>This project is about cutting the time between when a patient first arrives at the emergency department (ED) and when a doctor or advanced-practice provider first sees them, a measure the charter calls door-to-doctor time, or DTD. Right now that wait runs at a median (the middle value) of 52 minutes, and the team wants to bring it down to 30 minutes across all three hospital campuses, within two quarters.</w:t>
      </w:r>
    </w:p>
    <w:p>
      <w:pPr>
        <w:spacing w:after="120"/>
      </w:pPr>
      <w:r>
        <w:rPr>
          <w:rFonts w:ascii="Georgia" w:hAnsi="Georgia"/>
          <w:b w:val="0"/>
          <w:i w:val="0"/>
          <w:color w:val="242424"/>
          <w:sz w:val="21"/>
        </w:rPr>
        <w:t>The charter explains why this matters in business terms. When the wait is long, more patients leave without being seen (LWBS), and patient-experience survey scores drop. The charter estimates the combined cost of lost patients and reduced throughput at roughly $1.4 million a year.</w:t>
      </w:r>
    </w:p>
    <w:p>
      <w:pPr>
        <w:spacing w:after="120"/>
      </w:pPr>
      <w:r>
        <w:rPr>
          <w:rFonts w:ascii="Georgia" w:hAnsi="Georgia"/>
          <w:b w:val="0"/>
          <w:i w:val="0"/>
          <w:color w:val="242424"/>
          <w:sz w:val="21"/>
        </w:rPr>
        <w:t>The work is broken into three measurable pieces (the CTQs, or critical-to-quality characteristics): how long it takes to finish triage after arrival, how long the wait is for a bed, and how long it then takes for a provider to actually evaluate the patient. The scope covers the patient journey from arrival to first provider evaluation, at all three campuses, around the clock, but it deliberately excludes the inpatient boarding process.</w:t>
      </w:r>
    </w:p>
    <w:p>
      <w:pPr>
        <w:spacing w:before="200" w:after="80"/>
      </w:pPr>
      <w:r>
        <w:rPr>
          <w:rFonts w:ascii="Georgia" w:hAnsi="Georgia"/>
          <w:b/>
          <w:i w:val="0"/>
          <w:color w:val="1A1A1A"/>
          <w:sz w:val="25"/>
        </w:rPr>
        <w:t>Part 2, Priya's likely role</w:t>
      </w:r>
    </w:p>
    <w:p>
      <w:pPr>
        <w:spacing w:after="120"/>
      </w:pPr>
      <w:r>
        <w:rPr>
          <w:rFonts w:ascii="Georgia" w:hAnsi="Georgia"/>
          <w:b w:val="0"/>
          <w:i w:val="0"/>
          <w:color w:val="242424"/>
          <w:sz w:val="21"/>
        </w:rPr>
        <w:t>Given four years of frontline ED experience, Priya is the voice of the frontline. In practical terms she helps map how the process really runs, helps check whether the timestamps can be trusted, and helps pressure-test whether a fix will survive a busy shift. She is the documentation and data-gathering engine, not the analyst, and she is not expected to do the heavy statistics.</w:t>
      </w:r>
    </w:p>
    <w:p>
      <w:pPr>
        <w:spacing w:before="200" w:after="80"/>
      </w:pPr>
      <w:r>
        <w:rPr>
          <w:rFonts w:ascii="Georgia" w:hAnsi="Georgia"/>
          <w:b/>
          <w:i w:val="0"/>
          <w:color w:val="1A1A1A"/>
          <w:sz w:val="25"/>
        </w:rPr>
        <w:t>Part 3, three smart kickoff questions</w:t>
      </w:r>
    </w:p>
    <w:p>
      <w:pPr>
        <w:spacing w:after="120"/>
      </w:pPr>
      <w:r>
        <w:rPr>
          <w:rFonts w:ascii="Georgia" w:hAnsi="Georgia"/>
          <w:b w:val="0"/>
          <w:i w:val="0"/>
          <w:color w:val="242424"/>
          <w:sz w:val="21"/>
        </w:rPr>
        <w:t>Do we have campus-specific baselines, or just a pooled average across the three campuses, since one campus could be dragging the median up?</w:t>
      </w:r>
    </w:p>
    <w:p>
      <w:pPr>
        <w:spacing w:after="120"/>
      </w:pPr>
      <w:r>
        <w:rPr>
          <w:rFonts w:ascii="Georgia" w:hAnsi="Georgia"/>
          <w:b w:val="0"/>
          <w:i w:val="0"/>
          <w:color w:val="242424"/>
          <w:sz w:val="21"/>
        </w:rPr>
        <w:t>Which of the three time segments (triage, the wait for a bed, or the provider evaluation) is the biggest contributor to the total wait, so I know where to focus my data-gathering first?</w:t>
      </w:r>
    </w:p>
    <w:p>
      <w:pPr>
        <w:spacing w:after="120"/>
      </w:pPr>
      <w:r>
        <w:rPr>
          <w:rFonts w:ascii="Georgia" w:hAnsi="Georgia"/>
          <w:b w:val="0"/>
          <w:i w:val="0"/>
          <w:color w:val="242424"/>
          <w:sz w:val="21"/>
        </w:rPr>
        <w:t>What will we watch so that we do not fix door-to-doctor time by accidentally pushing up length-of-stay?</w:t>
      </w:r>
    </w:p>
    <w:p>
      <w:pPr>
        <w:spacing w:after="120"/>
      </w:pPr>
      <w:r>
        <w:rPr>
          <w:rFonts w:ascii="Georgia" w:hAnsi="Georgia"/>
          <w:b w:val="0"/>
          <w:i w:val="0"/>
          <w:color w:val="242424"/>
          <w:sz w:val="21"/>
        </w:rPr>
        <w:t>Note for the instructor: each question shows Priya actually read the charter rather than skimmed it, which is exactly the white-belt behavior the lecture rewards.</w:t>
      </w:r>
    </w:p>
    <w:p>
      <w:pPr>
        <w:spacing w:before="200" w:after="80"/>
      </w:pPr>
      <w:r>
        <w:rPr>
          <w:rFonts w:ascii="Georgia" w:hAnsi="Georgia"/>
          <w:b/>
          <w:i w:val="0"/>
          <w:color w:val="1A1A1A"/>
          <w:sz w:val="25"/>
        </w:rPr>
        <w:t>Part 4, confidence note (what to double-check)</w:t>
      </w:r>
    </w:p>
    <w:p>
      <w:pPr>
        <w:spacing w:after="120"/>
      </w:pPr>
      <w:r>
        <w:rPr>
          <w:rFonts w:ascii="Georgia" w:hAnsi="Georgia"/>
          <w:b w:val="0"/>
          <w:i w:val="0"/>
          <w:color w:val="242424"/>
          <w:sz w:val="21"/>
        </w:rPr>
        <w:t>I am least confident about the $1.4 million annualized financial impact. The charter itself marks it pending Finance confirmation, so treat it as an estimate and confirm with Marcus how it was derived before quoting it. The 42% reduction math (from 52 minutes down to 30) checks out as correct. One more flag: the charter lists inpatient boarding as a risk even though it is out of scope, so the team should be careful not to get blamed for delays it cannot control.</w:t>
      </w:r>
    </w:p>
    <w:p>
      <w:pPr>
        <w:spacing w:before="200" w:after="80"/>
      </w:pPr>
      <w:r>
        <w:rPr>
          <w:rFonts w:ascii="Georgia" w:hAnsi="Georgia"/>
          <w:b/>
          <w:i w:val="0"/>
          <w:color w:val="1A1A1A"/>
          <w:sz w:val="25"/>
        </w:rPr>
        <w:t>Teaching point</w:t>
      </w:r>
    </w:p>
    <w:p>
      <w:pPr>
        <w:spacing w:after="120"/>
      </w:pPr>
      <w:r>
        <w:rPr>
          <w:rFonts w:ascii="Georgia" w:hAnsi="Georgia"/>
          <w:b w:val="0"/>
          <w:i w:val="0"/>
          <w:color w:val="242424"/>
          <w:sz w:val="21"/>
        </w:rPr>
        <w:t>The decode took about ninety seconds, but its value is that it turns a dense document into something Priya can act on. The confidence note and the re-read step are what keep her from trusting a number AI could never actually know.</w:t>
      </w:r>
    </w:p>
    <w:sectPr w:rsidR="00FC693F" w:rsidRPr="0006063C" w:rsidSect="00034616">
      <w:footerReference w:type="default" r:id="rId9"/>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b w:val="0"/>
        <w:i w:val="0"/>
        <w:color w:val="8A8A8A"/>
        <w:sz w:val="14"/>
      </w:rPr>
      <w:t>AI-Powered Six Sigma White Belt  ·  aigproexcellence.com</w:t>
    </w:r>
  </w:p>
  <w:p>
    <w:r>
      <w:rPr>
        <w:rFonts w:ascii="Arial" w:hAnsi="Arial"/>
        <w:b w:val="0"/>
        <w:i w:val="0"/>
        <w:color w:val="8A8A8A"/>
        <w:sz w:val="14"/>
      </w:rPr>
      <w:t>Student handout   ·   Free AI Pulse Newsletter: aipulse.aigproexcellence.com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