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DEFINE · INSTRUCTOR SOLUTION</w:t>
      </w:r>
    </w:p>
    <w:p>
      <w:pPr>
        <w:spacing w:after="40"/>
      </w:pPr>
      <w:r>
        <w:rPr>
          <w:rFonts w:ascii="Georgia" w:hAnsi="Georgia"/>
          <w:b/>
          <w:i w:val="0"/>
          <w:color w:val="1A1A1A"/>
          <w:sz w:val="42"/>
        </w:rPr>
        <w:t>Loan onboarding decode: sample</w:t>
      </w:r>
    </w:p>
    <w:p>
      <w:pPr>
        <w:spacing w:after="160"/>
        <w:pBdr>
          <w:bottom w:val="single" w:sz="18" w:space="1" w:color="B5512B"/>
        </w:pBdr>
      </w:pPr>
    </w:p>
    <w:p>
      <w:pPr>
        <w:spacing w:after="200"/>
      </w:pPr>
      <w:r>
        <w:rPr>
          <w:rFonts w:ascii="Georgia" w:hAnsi="Georgia"/>
          <w:b w:val="0"/>
          <w:i/>
          <w:color w:val="3A3A3A"/>
          <w:sz w:val="23"/>
        </w:rPr>
        <w:t>Instructor reference; a sample decode of the B2B loan-onboarding practice charter for students to compare against. Wording will vary; the structure and the flagged figure should match.</w:t>
      </w:r>
    </w:p>
    <w:p>
      <w:pPr>
        <w:spacing w:before="200" w:after="80"/>
      </w:pPr>
      <w:r>
        <w:rPr>
          <w:rFonts w:ascii="Georgia" w:hAnsi="Georgia"/>
          <w:b/>
          <w:i w:val="0"/>
          <w:color w:val="1A1A1A"/>
          <w:sz w:val="25"/>
        </w:rPr>
        <w:t>Part 1, plain-English summary</w:t>
      </w:r>
    </w:p>
    <w:p>
      <w:pPr>
        <w:spacing w:after="120"/>
      </w:pPr>
      <w:r>
        <w:rPr>
          <w:rFonts w:ascii="Georgia" w:hAnsi="Georgia"/>
          <w:b w:val="0"/>
          <w:i w:val="0"/>
          <w:color w:val="242424"/>
          <w:sz w:val="21"/>
        </w:rPr>
        <w:t>This project is about shortening how long it takes to get a new business-lending client up and running. The charter measures this as onboarding cycle time (OCT), the number of business days from a signed term sheet (the agreed deal outline) to the client's first funded draw (the first time they actually pull money from the loan). Today that takes a median of 27 business days, and the team wants to cut it to 12.</w:t>
      </w:r>
    </w:p>
    <w:p>
      <w:pPr>
        <w:spacing w:after="120"/>
      </w:pPr>
      <w:r>
        <w:rPr>
          <w:rFonts w:ascii="Georgia" w:hAnsi="Georgia"/>
          <w:b w:val="0"/>
          <w:i w:val="0"/>
          <w:color w:val="242424"/>
          <w:sz w:val="21"/>
        </w:rPr>
        <w:t>It matters because slow onboarding is the top reason new clients leave early. It is named in 38% of clients who churn in their first 90 days, and the charter puts the revenue at risk at about $2.1 million a year.</w:t>
      </w:r>
    </w:p>
    <w:p>
      <w:pPr>
        <w:spacing w:after="120"/>
      </w:pPr>
      <w:r>
        <w:rPr>
          <w:rFonts w:ascii="Georgia" w:hAnsi="Georgia"/>
          <w:b w:val="0"/>
          <w:i w:val="0"/>
          <w:color w:val="242424"/>
          <w:sz w:val="21"/>
        </w:rPr>
        <w:t>The work splits into three measurable stages (the CTQs): getting a complete document package including KYC (know-your-customer) and AML (anti-money-laundering) checks, getting legal review and collateral sign-off, and then the final step to first funded draw. The scope covers standard middle-market revolving facilities only. It excludes complex syndicated and structured deals, deposit-account opening, and the original credit-approval decision.</w:t>
      </w:r>
    </w:p>
    <w:p>
      <w:pPr>
        <w:spacing w:before="200" w:after="80"/>
      </w:pPr>
      <w:r>
        <w:rPr>
          <w:rFonts w:ascii="Georgia" w:hAnsi="Georgia"/>
          <w:b/>
          <w:i w:val="0"/>
          <w:color w:val="1A1A1A"/>
          <w:sz w:val="25"/>
        </w:rPr>
        <w:t>Part 2, your likely role</w:t>
      </w:r>
    </w:p>
    <w:p>
      <w:pPr>
        <w:spacing w:after="120"/>
      </w:pPr>
      <w:r>
        <w:rPr>
          <w:rFonts w:ascii="Georgia" w:hAnsi="Georgia"/>
          <w:b w:val="0"/>
          <w:i w:val="0"/>
          <w:color w:val="242424"/>
          <w:sz w:val="21"/>
        </w:rPr>
        <w:t>As a white belt on a process project, your role is to describe the real onboarding workflow as it actually happens, gather baseline timing data on each of the three CTQ stages, and surface the handoffs and waits that the official procedure does not show, for example where a package sits waiting on a client document or in a legal-review queue at quarter-end.</w:t>
      </w:r>
    </w:p>
    <w:p>
      <w:pPr>
        <w:spacing w:before="200" w:after="80"/>
      </w:pPr>
      <w:r>
        <w:rPr>
          <w:rFonts w:ascii="Georgia" w:hAnsi="Georgia"/>
          <w:b/>
          <w:i w:val="0"/>
          <w:color w:val="1A1A1A"/>
          <w:sz w:val="25"/>
        </w:rPr>
        <w:t>Part 3, three smart kickoff questions</w:t>
      </w:r>
    </w:p>
    <w:p>
      <w:pPr>
        <w:spacing w:after="120"/>
      </w:pPr>
      <w:r>
        <w:rPr>
          <w:rFonts w:ascii="Georgia" w:hAnsi="Georgia"/>
          <w:b w:val="0"/>
          <w:i w:val="0"/>
          <w:color w:val="242424"/>
          <w:sz w:val="21"/>
        </w:rPr>
        <w:t>The charter says KYC and AML requirements cannot be compressed. Do we have a sense of how many of the 27 days are regulatory-mandatory versus internal-process delay, so we know the realistic floor?</w:t>
      </w:r>
    </w:p>
    <w:p>
      <w:pPr>
        <w:spacing w:after="120"/>
      </w:pPr>
      <w:r>
        <w:rPr>
          <w:rFonts w:ascii="Georgia" w:hAnsi="Georgia"/>
          <w:b w:val="0"/>
          <w:i w:val="0"/>
          <w:color w:val="242424"/>
          <w:sz w:val="21"/>
        </w:rPr>
        <w:t>Onboarding delay is cited in 38% of early churn. Is that a causal link the business has validated, or a correlation, since the charter notes the attribution basis is still to be validated?</w:t>
      </w:r>
    </w:p>
    <w:p>
      <w:pPr>
        <w:spacing w:after="120"/>
      </w:pPr>
      <w:r>
        <w:rPr>
          <w:rFonts w:ascii="Georgia" w:hAnsi="Georgia"/>
          <w:b w:val="0"/>
          <w:i w:val="0"/>
          <w:color w:val="242424"/>
          <w:sz w:val="21"/>
        </w:rPr>
        <w:t>Scope is limited to standard middle-market revolving facilities. What share of total onboarding volume does that represent, so we know how much of the problem we are actually addressing?</w:t>
      </w:r>
    </w:p>
    <w:p>
      <w:pPr>
        <w:spacing w:before="200" w:after="80"/>
      </w:pPr>
      <w:r>
        <w:rPr>
          <w:rFonts w:ascii="Georgia" w:hAnsi="Georgia"/>
          <w:b/>
          <w:i w:val="0"/>
          <w:color w:val="1A1A1A"/>
          <w:sz w:val="25"/>
        </w:rPr>
        <w:t>Part 4, confidence note (what to double-check)</w:t>
      </w:r>
    </w:p>
    <w:p>
      <w:pPr>
        <w:spacing w:after="120"/>
      </w:pPr>
      <w:r>
        <w:rPr>
          <w:rFonts w:ascii="Georgia" w:hAnsi="Georgia"/>
          <w:b w:val="0"/>
          <w:i w:val="0"/>
          <w:color w:val="242424"/>
          <w:sz w:val="21"/>
        </w:rPr>
        <w:t>I am least confident about the $2.1 million revenue-at-risk figure and the 38% churn attribution. The charter itself flags the attrition-attribution basis as to be validated with Finance and Risk. Treat both as provisional until the business confirms how the link between onboarding delay and churn was established. I would also confirm the 12-day target is a competitor benchmark the business has verified rather than an aspiration.</w:t>
      </w:r>
    </w:p>
    <w:p>
      <w:pPr>
        <w:spacing w:before="200" w:after="80"/>
      </w:pPr>
      <w:r>
        <w:rPr>
          <w:rFonts w:ascii="Georgia" w:hAnsi="Georgia"/>
          <w:b/>
          <w:i w:val="0"/>
          <w:color w:val="1A1A1A"/>
          <w:sz w:val="25"/>
        </w:rPr>
        <w:t>Teaching point</w:t>
      </w:r>
    </w:p>
    <w:p>
      <w:pPr>
        <w:spacing w:after="120"/>
      </w:pPr>
      <w:r>
        <w:rPr>
          <w:rFonts w:ascii="Georgia" w:hAnsi="Georgia"/>
          <w:b w:val="0"/>
          <w:i w:val="0"/>
          <w:color w:val="242424"/>
          <w:sz w:val="21"/>
        </w:rPr>
        <w:t>Both charters in this section share the same trap: a headline financial figure the charter itself flags as unconfirmed. A good decode always isolates that number and refuses to treat it as fact, which is exactly the discipline the lecture teaches about AI and financial impact.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