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Arial" w:hAnsi="Arial"/>
          <w:b/>
          <w:i w:val="0"/>
          <w:color w:val="B5512B"/>
          <w:sz w:val="18"/>
        </w:rPr>
        <w:t xml:space="preserve">● </w:t>
      </w:r>
      <w:r>
        <w:rPr>
          <w:rFonts w:ascii="Arial" w:hAnsi="Arial"/>
          <w:b/>
          <w:i w:val="0"/>
          <w:color w:val="8A8A8A"/>
          <w:sz w:val="18"/>
        </w:rPr>
        <w:t>AI SSWB · IMPROVE · INSTRUCTOR SOLUTION</w:t>
      </w:r>
    </w:p>
    <w:p>
      <w:pPr>
        <w:spacing w:after="40"/>
      </w:pPr>
      <w:r>
        <w:rPr>
          <w:rFonts w:ascii="Georgia" w:hAnsi="Georgia"/>
          <w:b/>
          <w:i w:val="0"/>
          <w:color w:val="1A1A1A"/>
          <w:sz w:val="42"/>
        </w:rPr>
        <w:t>Sample output: solution brainstorm and stress test</w:t>
      </w:r>
    </w:p>
    <w:p>
      <w:pPr>
        <w:spacing w:after="160"/>
        <w:pBdr>
          <w:bottom w:val="single" w:sz="18" w:space="1" w:color="B5512B"/>
        </w:pBdr>
      </w:pPr>
    </w:p>
    <w:p>
      <w:pPr>
        <w:spacing w:after="200"/>
      </w:pPr>
      <w:r>
        <w:rPr>
          <w:rFonts w:ascii="Georgia" w:hAnsi="Georgia"/>
          <w:b w:val="0"/>
          <w:i/>
          <w:color w:val="3A3A3A"/>
          <w:sz w:val="23"/>
        </w:rPr>
        <w:t>A representative AI output showing the two modes: divergent brainstorming to open up options, then convergent stress-testing to harden the chosen one.</w:t>
      </w:r>
    </w:p>
    <w:p>
      <w:pPr>
        <w:spacing w:before="200" w:after="80"/>
      </w:pPr>
      <w:r>
        <w:rPr>
          <w:rFonts w:ascii="Georgia" w:hAnsi="Georgia"/>
          <w:b/>
          <w:i w:val="0"/>
          <w:color w:val="1A1A1A"/>
          <w:sz w:val="25"/>
        </w:rPr>
        <w:t>Root cause being solved</w:t>
      </w:r>
    </w:p>
    <w:p>
      <w:pPr>
        <w:spacing w:after="120"/>
      </w:pPr>
      <w:r>
        <w:rPr>
          <w:rFonts w:ascii="Georgia" w:hAnsi="Georgia"/>
          <w:b w:val="0"/>
          <w:i w:val="0"/>
          <w:color w:val="242424"/>
          <w:sz w:val="21"/>
        </w:rPr>
        <w:t>When a patient is admitted from the ED, no one clearly owns getting them a room upstairs, so they board in an ED bed and new patients wait longer to be seen by a doctor.</w:t>
      </w:r>
    </w:p>
    <w:p>
      <w:pPr>
        <w:spacing w:before="200" w:after="80"/>
      </w:pPr>
      <w:r>
        <w:rPr>
          <w:rFonts w:ascii="Georgia" w:hAnsi="Georgia"/>
          <w:b/>
          <w:i w:val="0"/>
          <w:color w:val="1A1A1A"/>
          <w:sz w:val="25"/>
        </w:rPr>
        <w:t>Part 1: divergent brainstorm (open up the options)</w:t>
      </w:r>
    </w:p>
    <w:p>
      <w:pPr>
        <w:spacing w:after="120"/>
      </w:pPr>
      <w:r>
        <w:rPr>
          <w:rFonts w:ascii="Georgia" w:hAnsi="Georgia"/>
          <w:b w:val="0"/>
          <w:i w:val="0"/>
          <w:color w:val="242424"/>
          <w:sz w:val="21"/>
        </w:rPr>
        <w:t>Divergent means opening the problem up wide, getting as many possible solutions on the table as you can without judging any yet. The prompt asks AI for a range of solutions from very simple and low-tech to more complex, with a rough effort estimate for each. This is the menu, including the humble options a beginner might overlook in the urge to build something impressive.</w:t>
      </w:r>
    </w:p>
    <w:p>
      <w:pPr>
        <w:spacing w:before="200" w:after="80"/>
      </w:pPr>
      <w:r>
        <w:rPr>
          <w:rFonts w:ascii="Georgia" w:hAnsi="Georgia"/>
          <w:b/>
          <w:i w:val="0"/>
          <w:color w:val="1A1A1A"/>
          <w:sz w:val="25"/>
        </w:rPr>
        <w:t>The divergent menu</w:t>
      </w:r>
    </w:p>
    <w:tbl>
      <w:tblPr>
        <w:tblStyle w:val="TableGrid"/>
        <w:tblW w:type="auto" w:w="0"/>
        <w:tblLook w:firstColumn="1" w:firstRow="1" w:lastColumn="0" w:lastRow="0" w:noHBand="0" w:noVBand="1" w:val="04A0"/>
      </w:tblPr>
      <w:tblGrid>
        <w:gridCol w:w="4824"/>
        <w:gridCol w:w="4824"/>
      </w:tblGrid>
      <w:tr>
        <w:tc>
          <w:tcPr>
            <w:tcW w:type="dxa" w:w="4824"/>
            <w:shd w:val="clear" w:fill="B5512B"/>
          </w:tcPr>
          <w:p>
            <w:r>
              <w:rPr>
                <w:rFonts w:ascii="Arial" w:hAnsi="Arial"/>
                <w:b/>
                <w:i w:val="0"/>
                <w:color w:val="FFFFFF"/>
                <w:sz w:val="19"/>
              </w:rPr>
              <w:t>Solution</w:t>
            </w:r>
          </w:p>
        </w:tc>
        <w:tc>
          <w:tcPr>
            <w:tcW w:type="dxa" w:w="4824"/>
            <w:shd w:val="clear" w:fill="B5512B"/>
          </w:tcPr>
          <w:p>
            <w:r>
              <w:rPr>
                <w:rFonts w:ascii="Arial" w:hAnsi="Arial"/>
                <w:b/>
                <w:i w:val="0"/>
                <w:color w:val="FFFFFF"/>
                <w:sz w:val="19"/>
              </w:rPr>
              <w:t>Roughly how much effort</w:t>
            </w:r>
          </w:p>
        </w:tc>
      </w:tr>
      <w:tr>
        <w:tc>
          <w:tcPr>
            <w:tcW w:type="dxa" w:w="4824"/>
          </w:tcPr>
          <w:p>
            <w:r>
              <w:rPr>
                <w:rFonts w:ascii="Georgia" w:hAnsi="Georgia"/>
                <w:b w:val="0"/>
                <w:i w:val="0"/>
                <w:color w:val="242424"/>
                <w:sz w:val="19"/>
              </w:rPr>
              <w:t>Name a charge nurse each shift who owns initiating the bed request the moment an admit decision is made.</w:t>
            </w:r>
          </w:p>
        </w:tc>
        <w:tc>
          <w:tcPr>
            <w:tcW w:type="dxa" w:w="4824"/>
          </w:tcPr>
          <w:p>
            <w:r>
              <w:rPr>
                <w:rFonts w:ascii="Georgia" w:hAnsi="Georgia"/>
                <w:b w:val="0"/>
                <w:i w:val="0"/>
                <w:color w:val="242424"/>
                <w:sz w:val="19"/>
              </w:rPr>
              <w:t>Low. A rule and a name, no new tools.</w:t>
            </w:r>
          </w:p>
        </w:tc>
      </w:tr>
      <w:tr>
        <w:tc>
          <w:tcPr>
            <w:tcW w:type="dxa" w:w="4824"/>
          </w:tcPr>
          <w:p>
            <w:r>
              <w:rPr>
                <w:rFonts w:ascii="Georgia" w:hAnsi="Georgia"/>
                <w:b w:val="0"/>
                <w:i w:val="0"/>
                <w:color w:val="242424"/>
                <w:sz w:val="19"/>
              </w:rPr>
              <w:t>A twice-daily bed huddle between the ED and the inpatient units.</w:t>
            </w:r>
          </w:p>
        </w:tc>
        <w:tc>
          <w:tcPr>
            <w:tcW w:type="dxa" w:w="4824"/>
          </w:tcPr>
          <w:p>
            <w:r>
              <w:rPr>
                <w:rFonts w:ascii="Georgia" w:hAnsi="Georgia"/>
                <w:b w:val="0"/>
                <w:i w:val="0"/>
                <w:color w:val="242424"/>
                <w:sz w:val="19"/>
              </w:rPr>
              <w:t>Low to medium. A recurring meeting and a simple agenda.</w:t>
            </w:r>
          </w:p>
        </w:tc>
      </w:tr>
      <w:tr>
        <w:tc>
          <w:tcPr>
            <w:tcW w:type="dxa" w:w="4824"/>
          </w:tcPr>
          <w:p>
            <w:r>
              <w:rPr>
                <w:rFonts w:ascii="Georgia" w:hAnsi="Georgia"/>
                <w:b w:val="0"/>
                <w:i w:val="0"/>
                <w:color w:val="242424"/>
                <w:sz w:val="19"/>
              </w:rPr>
              <w:t>A visual board showing which admitted patients are waiting and for how long.</w:t>
            </w:r>
          </w:p>
        </w:tc>
        <w:tc>
          <w:tcPr>
            <w:tcW w:type="dxa" w:w="4824"/>
          </w:tcPr>
          <w:p>
            <w:r>
              <w:rPr>
                <w:rFonts w:ascii="Georgia" w:hAnsi="Georgia"/>
                <w:b w:val="0"/>
                <w:i w:val="0"/>
                <w:color w:val="242424"/>
                <w:sz w:val="19"/>
              </w:rPr>
              <w:t>Medium. A whiteboard or simple display plus the habit of keeping it current.</w:t>
            </w:r>
          </w:p>
        </w:tc>
      </w:tr>
      <w:tr>
        <w:tc>
          <w:tcPr>
            <w:tcW w:type="dxa" w:w="4824"/>
          </w:tcPr>
          <w:p>
            <w:r>
              <w:rPr>
                <w:rFonts w:ascii="Georgia" w:hAnsi="Georgia"/>
                <w:b w:val="0"/>
                <w:i w:val="0"/>
                <w:color w:val="242424"/>
                <w:sz w:val="19"/>
              </w:rPr>
              <w:t>An automated bed-management system integrating the ED and the inpatient units.</w:t>
            </w:r>
          </w:p>
        </w:tc>
        <w:tc>
          <w:tcPr>
            <w:tcW w:type="dxa" w:w="4824"/>
          </w:tcPr>
          <w:p>
            <w:r>
              <w:rPr>
                <w:rFonts w:ascii="Georgia" w:hAnsi="Georgia"/>
                <w:b w:val="0"/>
                <w:i w:val="0"/>
                <w:color w:val="242424"/>
                <w:sz w:val="19"/>
              </w:rPr>
              <w:t>High. Budget, procurement, IT build, training, ongoing maintenance.</w:t>
            </w:r>
          </w:p>
        </w:tc>
      </w:tr>
    </w:tbl>
    <w:p>
      <w:pPr>
        <w:spacing w:before="200" w:after="80"/>
      </w:pPr>
      <w:r>
        <w:rPr>
          <w:rFonts w:ascii="Georgia" w:hAnsi="Georgia"/>
          <w:b/>
          <w:i w:val="0"/>
          <w:color w:val="1A1A1A"/>
          <w:sz w:val="25"/>
        </w:rPr>
        <w:t>A note on neutrality</w:t>
      </w:r>
    </w:p>
    <w:p>
      <w:pPr>
        <w:spacing w:after="120"/>
      </w:pPr>
      <w:r>
        <w:rPr>
          <w:rFonts w:ascii="Georgia" w:hAnsi="Georgia"/>
          <w:b w:val="0"/>
          <w:i w:val="0"/>
          <w:color w:val="242424"/>
          <w:sz w:val="21"/>
        </w:rPr>
        <w:t>Notice AI lists the expensive automated system right alongside the simple options, completely neutrally, because it cannot know the hospital has no budget for it and has been burned by clunky software before. That judgment is human.</w:t>
      </w:r>
    </w:p>
    <w:p>
      <w:pPr>
        <w:spacing w:before="200" w:after="80"/>
      </w:pPr>
      <w:r>
        <w:rPr>
          <w:rFonts w:ascii="Georgia" w:hAnsi="Georgia"/>
          <w:b/>
          <w:i w:val="0"/>
          <w:color w:val="1A1A1A"/>
          <w:sz w:val="25"/>
        </w:rPr>
        <w:t>Part 2: pick the front-runner</w:t>
      </w:r>
    </w:p>
    <w:p>
      <w:pPr>
        <w:spacing w:after="120"/>
      </w:pPr>
      <w:r>
        <w:rPr>
          <w:rFonts w:ascii="Georgia" w:hAnsi="Georgia"/>
          <w:b w:val="0"/>
          <w:i w:val="0"/>
          <w:color w:val="242424"/>
          <w:sz w:val="21"/>
        </w:rPr>
        <w:t>Front-runner: name a charge nurse each shift to own the bed request. It is the simplest option that directly attacks the root cause; the job that belonged to nobody now belongs to a named person.</w:t>
      </w:r>
    </w:p>
    <w:p>
      <w:pPr>
        <w:spacing w:before="200" w:after="80"/>
      </w:pPr>
      <w:r>
        <w:rPr>
          <w:rFonts w:ascii="Georgia" w:hAnsi="Georgia"/>
          <w:b/>
          <w:i w:val="0"/>
          <w:color w:val="1A1A1A"/>
          <w:sz w:val="25"/>
        </w:rPr>
        <w:t>Part 3: convergent stress test (the skeptic's failure modes)</w:t>
      </w:r>
    </w:p>
    <w:p>
      <w:pPr>
        <w:spacing w:after="120"/>
      </w:pPr>
      <w:r>
        <w:rPr>
          <w:rFonts w:ascii="Georgia" w:hAnsi="Georgia"/>
          <w:b w:val="0"/>
          <w:i w:val="0"/>
          <w:color w:val="242424"/>
          <w:sz w:val="21"/>
        </w:rPr>
        <w:t>Convergent is the opposite move, narrowing back down and stress-testing the most promising option. The prompt: "Act as a skeptical ED operations manager. Here is my proposed solution, naming a charge nurse each shift to own the bed request. Tell me every way this could fail or backfire in practice."</w:t>
      </w:r>
    </w:p>
    <w:p>
      <w:pPr>
        <w:spacing w:after="120"/>
      </w:pPr>
      <w:r>
        <w:rPr>
          <w:rFonts w:ascii="Georgia" w:hAnsi="Georgia"/>
          <w:b w:val="0"/>
          <w:i w:val="0"/>
          <w:color w:val="242424"/>
          <w:sz w:val="21"/>
        </w:rPr>
        <w:t>Shift change: what happens to an open request when the owner hands off and the new charge nurse does not know it exists? Competing priorities: what if the charge nurse is slammed with a critical patient and physically cannot chase beds? No beds upstairs: what if the inpatient units simply have no rooms, so naming an owner does not by itself produce a bed?</w:t>
      </w:r>
    </w:p>
    <w:p>
      <w:pPr>
        <w:spacing w:before="200" w:after="80"/>
      </w:pPr>
      <w:r>
        <w:rPr>
          <w:rFonts w:ascii="Georgia" w:hAnsi="Georgia"/>
          <w:b/>
          <w:i w:val="0"/>
          <w:color w:val="1A1A1A"/>
          <w:sz w:val="25"/>
        </w:rPr>
        <w:t>Part 4: the hardening (safeguards, not abandonment)</w:t>
      </w:r>
    </w:p>
    <w:p>
      <w:pPr>
        <w:spacing w:after="120"/>
      </w:pPr>
      <w:r>
        <w:rPr>
          <w:rFonts w:ascii="Georgia" w:hAnsi="Georgia"/>
          <w:b w:val="0"/>
          <w:i w:val="0"/>
          <w:color w:val="242424"/>
          <w:sz w:val="21"/>
        </w:rPr>
        <w:t>These real failure modes let Priya strengthen the simple solution rather than jump to the expensive automated system. She can add a backup owner and a rule that the bed request is logged the moment the admit decision is made, keeping the simple approach and making it robust.</w:t>
      </w:r>
    </w:p>
    <w:p>
      <w:pPr>
        <w:spacing w:before="200" w:after="80"/>
      </w:pPr>
      <w:r>
        <w:rPr>
          <w:rFonts w:ascii="Georgia" w:hAnsi="Georgia"/>
          <w:b/>
          <w:i w:val="0"/>
          <w:color w:val="1A1A1A"/>
          <w:sz w:val="25"/>
        </w:rPr>
        <w:t>The instructor's point</w:t>
      </w:r>
    </w:p>
    <w:p>
      <w:pPr>
        <w:spacing w:after="120"/>
      </w:pPr>
      <w:r>
        <w:rPr>
          <w:rFonts w:ascii="Georgia" w:hAnsi="Georgia"/>
          <w:b w:val="0"/>
          <w:i w:val="0"/>
          <w:color w:val="242424"/>
          <w:sz w:val="21"/>
        </w:rPr>
        <w:t>AI did two valuable jobs: it expanded the options, so the simple owner rule was on the table next to the costly system, and it challenged the front-runner, surfacing the weak points to harden. But it could not weigh budget, culture, or past scars. The machine expands and challenges; Priya and the team decide, and here they kept the simple fix and made it robust.</w:t>
      </w:r>
    </w:p>
    <w:sectPr w:rsidR="00FC693F" w:rsidRPr="0006063C" w:rsidSect="00034616">
      <w:footerReference w:type="default" r:id="rId9"/>
      <w:pgSz w:w="12240" w:h="15840"/>
      <w:pgMar w:top="1440" w:right="1296" w:bottom="144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
      <w:rPr>
        <w:rFonts w:ascii="Arial" w:hAnsi="Arial"/>
        <w:b w:val="0"/>
        <w:i w:val="0"/>
        <w:color w:val="8A8A8A"/>
        <w:sz w:val="14"/>
      </w:rPr>
      <w:t>AI-Powered Six Sigma White Belt  ·  aigproexcellence.com</w:t>
    </w:r>
  </w:p>
  <w:p>
    <w:r>
      <w:rPr>
        <w:rFonts w:ascii="Arial" w:hAnsi="Arial"/>
        <w:b w:val="0"/>
        <w:i w:val="0"/>
        <w:color w:val="8A8A8A"/>
        <w:sz w:val="14"/>
      </w:rPr>
      <w:t>Student handout   ·   Free AI Pulse Newsletter: aipulse.aigproexcellence.com</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