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CONTROL · INSTRUCTOR SOLUTION</w:t>
      </w:r>
    </w:p>
    <w:p>
      <w:pPr>
        <w:spacing w:after="40"/>
      </w:pPr>
      <w:r>
        <w:rPr>
          <w:rFonts w:ascii="Georgia" w:hAnsi="Georgia"/>
          <w:b/>
          <w:i w:val="0"/>
          <w:color w:val="1A1A1A"/>
          <w:sz w:val="42"/>
        </w:rPr>
        <w:t>Sample output: reading the control chart</w:t>
      </w:r>
    </w:p>
    <w:p>
      <w:pPr>
        <w:spacing w:after="160"/>
        <w:pBdr>
          <w:bottom w:val="single" w:sz="18" w:space="1" w:color="B5512B"/>
        </w:pBdr>
      </w:pPr>
    </w:p>
    <w:p>
      <w:pPr>
        <w:spacing w:after="200"/>
      </w:pPr>
      <w:r>
        <w:rPr>
          <w:rFonts w:ascii="Georgia" w:hAnsi="Georgia"/>
          <w:b w:val="0"/>
          <w:i/>
          <w:color w:val="3A3A3A"/>
          <w:sz w:val="23"/>
        </w:rPr>
        <w:t>A representative AI output for the 30-day ED door-to-doctor control chart: the in-control interpretation, and the alternate case flagging the Day 28 point above the upper limit as a special cause to investigate.</w:t>
      </w:r>
    </w:p>
    <w:p>
      <w:pPr>
        <w:spacing w:before="200" w:after="80"/>
      </w:pPr>
      <w:r>
        <w:rPr>
          <w:rFonts w:ascii="Georgia" w:hAnsi="Georgia"/>
          <w:b/>
          <w:i w:val="0"/>
          <w:color w:val="1A1A1A"/>
          <w:sz w:val="25"/>
        </w:rPr>
        <w:t>The calculated lines</w:t>
      </w:r>
    </w:p>
    <w:p>
      <w:pPr>
        <w:spacing w:after="120"/>
      </w:pPr>
      <w:r>
        <w:rPr>
          <w:rFonts w:ascii="Georgia" w:hAnsi="Georgia"/>
          <w:b w:val="0"/>
          <w:i w:val="0"/>
          <w:color w:val="242424"/>
          <w:sz w:val="21"/>
        </w:rPr>
        <w:t>The AI computes all three lines from Priya's 30 numbers using the three-standard-deviation rule. She supplies none of the math, only the data and the rule; the limits come from the process data itself, not from any target or specification.</w:t>
      </w:r>
    </w:p>
    <w:p>
      <w:pPr>
        <w:spacing w:before="200" w:after="80"/>
      </w:pPr>
      <w:r>
        <w:rPr>
          <w:rFonts w:ascii="Georgia" w:hAnsi="Georgia"/>
          <w:b/>
          <w:i w:val="0"/>
          <w:color w:val="1A1A1A"/>
          <w:sz w:val="25"/>
        </w:rPr>
        <w:t>Control limits</w:t>
      </w:r>
    </w:p>
    <w:tbl>
      <w:tblPr>
        <w:tblStyle w:val="TableGrid"/>
        <w:tblW w:type="auto" w:w="0"/>
        <w:tblLook w:firstColumn="1" w:firstRow="1" w:lastColumn="0" w:lastRow="0" w:noHBand="0" w:noVBand="1" w:val="04A0"/>
      </w:tblPr>
      <w:tblGrid>
        <w:gridCol w:w="3216"/>
        <w:gridCol w:w="3216"/>
        <w:gridCol w:w="3216"/>
      </w:tblGrid>
      <w:tr>
        <w:tc>
          <w:tcPr>
            <w:tcW w:type="dxa" w:w="3216"/>
            <w:shd w:val="clear" w:fill="B5512B"/>
          </w:tcPr>
          <w:p>
            <w:r>
              <w:rPr>
                <w:rFonts w:ascii="Arial" w:hAnsi="Arial"/>
                <w:b/>
                <w:i w:val="0"/>
                <w:color w:val="FFFFFF"/>
                <w:sz w:val="19"/>
              </w:rPr>
              <w:t>Line</w:t>
            </w:r>
          </w:p>
        </w:tc>
        <w:tc>
          <w:tcPr>
            <w:tcW w:type="dxa" w:w="3216"/>
            <w:shd w:val="clear" w:fill="B5512B"/>
          </w:tcPr>
          <w:p>
            <w:r>
              <w:rPr>
                <w:rFonts w:ascii="Arial" w:hAnsi="Arial"/>
                <w:b/>
                <w:i w:val="0"/>
                <w:color w:val="FFFFFF"/>
                <w:sz w:val="19"/>
              </w:rPr>
              <w:t>Value</w:t>
            </w:r>
          </w:p>
        </w:tc>
        <w:tc>
          <w:tcPr>
            <w:tcW w:type="dxa" w:w="3216"/>
            <w:shd w:val="clear" w:fill="B5512B"/>
          </w:tcPr>
          <w:p>
            <w:r>
              <w:rPr>
                <w:rFonts w:ascii="Arial" w:hAnsi="Arial"/>
                <w:b/>
                <w:i w:val="0"/>
                <w:color w:val="FFFFFF"/>
                <w:sz w:val="19"/>
              </w:rPr>
              <w:t>What it is</w:t>
            </w:r>
          </w:p>
        </w:tc>
      </w:tr>
      <w:tr>
        <w:tc>
          <w:tcPr>
            <w:tcW w:type="dxa" w:w="3216"/>
          </w:tcPr>
          <w:p>
            <w:r>
              <w:rPr>
                <w:rFonts w:ascii="Georgia" w:hAnsi="Georgia"/>
                <w:b w:val="0"/>
                <w:i w:val="0"/>
                <w:color w:val="242424"/>
                <w:sz w:val="19"/>
              </w:rPr>
              <w:t>Center line (CL)</w:t>
            </w:r>
          </w:p>
        </w:tc>
        <w:tc>
          <w:tcPr>
            <w:tcW w:type="dxa" w:w="3216"/>
          </w:tcPr>
          <w:p>
            <w:r>
              <w:rPr>
                <w:rFonts w:ascii="Georgia" w:hAnsi="Georgia"/>
                <w:b w:val="0"/>
                <w:i w:val="0"/>
                <w:color w:val="242424"/>
                <w:sz w:val="19"/>
              </w:rPr>
              <w:t>about 34 min</w:t>
            </w:r>
          </w:p>
        </w:tc>
        <w:tc>
          <w:tcPr>
            <w:tcW w:type="dxa" w:w="3216"/>
          </w:tcPr>
          <w:p>
            <w:r>
              <w:rPr>
                <w:rFonts w:ascii="Georgia" w:hAnsi="Georgia"/>
                <w:b w:val="0"/>
                <w:i w:val="0"/>
                <w:color w:val="242424"/>
                <w:sz w:val="19"/>
              </w:rPr>
              <w:t>The new post-improvement average, calculated from the data.</w:t>
            </w:r>
          </w:p>
        </w:tc>
      </w:tr>
      <w:tr>
        <w:tc>
          <w:tcPr>
            <w:tcW w:type="dxa" w:w="3216"/>
          </w:tcPr>
          <w:p>
            <w:r>
              <w:rPr>
                <w:rFonts w:ascii="Georgia" w:hAnsi="Georgia"/>
                <w:b w:val="0"/>
                <w:i w:val="0"/>
                <w:color w:val="242424"/>
                <w:sz w:val="19"/>
              </w:rPr>
              <w:t>Upper control limit (UCL)</w:t>
            </w:r>
          </w:p>
        </w:tc>
        <w:tc>
          <w:tcPr>
            <w:tcW w:type="dxa" w:w="3216"/>
          </w:tcPr>
          <w:p>
            <w:r>
              <w:rPr>
                <w:rFonts w:ascii="Georgia" w:hAnsi="Georgia"/>
                <w:b w:val="0"/>
                <w:i w:val="0"/>
                <w:color w:val="242424"/>
                <w:sz w:val="19"/>
              </w:rPr>
              <w:t>about 46 min</w:t>
            </w:r>
          </w:p>
        </w:tc>
        <w:tc>
          <w:tcPr>
            <w:tcW w:type="dxa" w:w="3216"/>
          </w:tcPr>
          <w:p>
            <w:r>
              <w:rPr>
                <w:rFonts w:ascii="Georgia" w:hAnsi="Georgia"/>
                <w:b w:val="0"/>
                <w:i w:val="0"/>
                <w:color w:val="242424"/>
                <w:sz w:val="19"/>
              </w:rPr>
              <w:t>Three standard deviations above the average; the top edge of normal.</w:t>
            </w:r>
          </w:p>
        </w:tc>
      </w:tr>
      <w:tr>
        <w:tc>
          <w:tcPr>
            <w:tcW w:type="dxa" w:w="3216"/>
          </w:tcPr>
          <w:p>
            <w:r>
              <w:rPr>
                <w:rFonts w:ascii="Georgia" w:hAnsi="Georgia"/>
                <w:b w:val="0"/>
                <w:i w:val="0"/>
                <w:color w:val="242424"/>
                <w:sz w:val="19"/>
              </w:rPr>
              <w:t>Lower control limit (LCL)</w:t>
            </w:r>
          </w:p>
        </w:tc>
        <w:tc>
          <w:tcPr>
            <w:tcW w:type="dxa" w:w="3216"/>
          </w:tcPr>
          <w:p>
            <w:r>
              <w:rPr>
                <w:rFonts w:ascii="Georgia" w:hAnsi="Georgia"/>
                <w:b w:val="0"/>
                <w:i w:val="0"/>
                <w:color w:val="242424"/>
                <w:sz w:val="19"/>
              </w:rPr>
              <w:t>about 22 min</w:t>
            </w:r>
          </w:p>
        </w:tc>
        <w:tc>
          <w:tcPr>
            <w:tcW w:type="dxa" w:w="3216"/>
          </w:tcPr>
          <w:p>
            <w:r>
              <w:rPr>
                <w:rFonts w:ascii="Georgia" w:hAnsi="Georgia"/>
                <w:b w:val="0"/>
                <w:i w:val="0"/>
                <w:color w:val="242424"/>
                <w:sz w:val="19"/>
              </w:rPr>
              <w:t>Three standard deviations below the average; the bottom edge of normal.</w:t>
            </w:r>
          </w:p>
        </w:tc>
      </w:tr>
    </w:tbl>
    <w:p>
      <w:pPr>
        <w:spacing w:before="200" w:after="80"/>
      </w:pPr>
      <w:r>
        <w:rPr>
          <w:rFonts w:ascii="Georgia" w:hAnsi="Georgia"/>
          <w:b/>
          <w:i w:val="0"/>
          <w:color w:val="1A1A1A"/>
          <w:sz w:val="25"/>
        </w:rPr>
        <w:t>Case 1: the in-control reading (base data)</w:t>
      </w:r>
    </w:p>
    <w:p>
      <w:pPr>
        <w:spacing w:after="120"/>
      </w:pPr>
      <w:r>
        <w:rPr>
          <w:rFonts w:ascii="Georgia" w:hAnsi="Georgia"/>
          <w:b w:val="0"/>
          <w:i w:val="0"/>
          <w:color w:val="242424"/>
          <w:sz w:val="21"/>
        </w:rPr>
        <w:t>Sample AI verdict: "The process appears to be in statistical control. All thirty points fall within the control limits, and there are no unusual runs or trends. The variation you see is ordinary, everyday common-cause variation, the process behaving normally."</w:t>
      </w:r>
    </w:p>
    <w:p>
      <w:pPr>
        <w:spacing w:after="120"/>
      </w:pPr>
      <w:r>
        <w:rPr>
          <w:rFonts w:ascii="Georgia" w:hAnsi="Georgia"/>
          <w:b w:val="0"/>
          <w:i w:val="0"/>
          <w:color w:val="242424"/>
          <w:sz w:val="21"/>
        </w:rPr>
        <w:t>Correct response: do nothing. The gains are holding. This is the calm, disciplined state the Control phase is meant to protect.</w:t>
      </w:r>
    </w:p>
    <w:p>
      <w:pPr>
        <w:spacing w:before="200" w:after="80"/>
      </w:pPr>
      <w:r>
        <w:rPr>
          <w:rFonts w:ascii="Georgia" w:hAnsi="Georgia"/>
          <w:b/>
          <w:i w:val="0"/>
          <w:color w:val="1A1A1A"/>
          <w:sz w:val="25"/>
        </w:rPr>
        <w:t>Case 2: the special-cause reading (Day 28 spike to 49)</w:t>
      </w:r>
    </w:p>
    <w:p>
      <w:pPr>
        <w:spacing w:after="120"/>
      </w:pPr>
      <w:r>
        <w:rPr>
          <w:rFonts w:ascii="Georgia" w:hAnsi="Georgia"/>
          <w:b w:val="0"/>
          <w:i w:val="0"/>
          <w:color w:val="242424"/>
          <w:sz w:val="21"/>
        </w:rPr>
        <w:t>Sample AI verdict: "The point on Day 28 at 49 minutes is above the upper control limit of 46. This indicates a special cause, something unusual happened that day, and it warrants investigation. The remaining points are within the limits."</w:t>
      </w:r>
    </w:p>
    <w:p>
      <w:pPr>
        <w:spacing w:after="120"/>
      </w:pPr>
      <w:r>
        <w:rPr>
          <w:rFonts w:ascii="Georgia" w:hAnsi="Georgia"/>
          <w:b w:val="0"/>
          <w:i w:val="0"/>
          <w:color w:val="242424"/>
          <w:sz w:val="21"/>
        </w:rPr>
        <w:t>Correct response: investigate Day 28. The chart has done the signal-versus-noise judgment automatically and rung the alarm on exactly one day.</w:t>
      </w:r>
    </w:p>
    <w:p>
      <w:pPr>
        <w:spacing w:before="200" w:after="80"/>
      </w:pPr>
      <w:r>
        <w:rPr>
          <w:rFonts w:ascii="Georgia" w:hAnsi="Georgia"/>
          <w:b/>
          <w:i w:val="0"/>
          <w:color w:val="1A1A1A"/>
          <w:sz w:val="25"/>
        </w:rPr>
        <w:t>What AI did and what it could not</w:t>
      </w:r>
    </w:p>
    <w:p>
      <w:pPr>
        <w:spacing w:after="120"/>
      </w:pPr>
      <w:r>
        <w:rPr>
          <w:rFonts w:ascii="Georgia" w:hAnsi="Georgia"/>
          <w:b w:val="0"/>
          <w:i w:val="0"/>
          <w:color w:val="242424"/>
          <w:sz w:val="21"/>
        </w:rPr>
        <w:t>AI did the entire statistical job instantly and correctly: the limits, the rule-checking, and a plain-language verdict. The math barrier is gone.</w:t>
      </w:r>
    </w:p>
    <w:p>
      <w:pPr>
        <w:spacing w:after="120"/>
      </w:pPr>
      <w:r>
        <w:rPr>
          <w:rFonts w:ascii="Georgia" w:hAnsi="Georgia"/>
          <w:b w:val="0"/>
          <w:i w:val="0"/>
          <w:color w:val="242424"/>
          <w:sz w:val="21"/>
        </w:rPr>
        <w:t>What it cannot do: when it flagged Day 28, it had no idea why. It cannot know that Day 28 was when two triage nurses were out sick. That is Priya's knowledge of her own world. The division of labor: the chart rings the alarm and tells you roughly when; the human investigates and finds the actual cause.</w:t>
      </w:r>
    </w:p>
    <w:p>
      <w:pPr>
        <w:spacing w:before="200" w:after="80"/>
      </w:pPr>
      <w:r>
        <w:rPr>
          <w:rFonts w:ascii="Georgia" w:hAnsi="Georgia"/>
          <w:b/>
          <w:i w:val="0"/>
          <w:color w:val="1A1A1A"/>
          <w:sz w:val="25"/>
        </w:rPr>
        <w:t>The instructor's point</w:t>
      </w:r>
    </w:p>
    <w:p>
      <w:pPr>
        <w:spacing w:after="120"/>
      </w:pPr>
      <w:r>
        <w:rPr>
          <w:rFonts w:ascii="Georgia" w:hAnsi="Georgia"/>
          <w:b w:val="0"/>
          <w:i w:val="0"/>
          <w:color w:val="242424"/>
          <w:sz w:val="21"/>
        </w:rPr>
        <w:t>The single point outside a limit is the heart of control-chart reading. AI flags it reliably and explains it in everyday words, so the tool is now open to a beginner. But control is the action the chart triggers; the chart points at the fire, Priya goes and puts it out.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