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60"/>
        <w:jc w:val="center"/>
      </w:pPr>
      <w:r>
        <w:rPr>
          <w:rFonts w:ascii="Arial" w:cs="Arial" w:eastAsia="Arial" w:hAnsi="Arial"/>
          <w:b/>
          <w:bCs/>
          <w:color w:val="1F3864"/>
          <w:sz w:val="40"/>
          <w:szCs w:val="40"/>
        </w:rPr>
        <w:t xml:space="preserve">MANAGED SUPPORT SERVICES AGREEMENT</w:t>
      </w:r>
    </w:p>
    <w:p>
      <w:pPr>
        <w:spacing w:before="0" w:after="80"/>
        <w:jc w:val="center"/>
      </w:pPr>
      <w:r>
        <w:rPr>
          <w:rFonts w:ascii="Arial" w:cs="Arial" w:eastAsia="Arial" w:hAnsi="Arial"/>
          <w:color w:val="555555"/>
          <w:sz w:val="24"/>
          <w:szCs w:val="24"/>
        </w:rPr>
        <w:t xml:space="preserve">Contract No. NSX-2026-0047</w:t>
      </w:r>
    </w:p>
    <w:p>
      <w:pPr>
        <w:spacing w:before="0" w:after="480"/>
        <w:jc w:val="center"/>
      </w:pPr>
      <w:r>
        <w:rPr>
          <w:rFonts w:ascii="Arial" w:cs="Arial" w:eastAsia="Arial" w:hAnsi="Arial"/>
          <w:color w:val="555555"/>
          <w:sz w:val="24"/>
          <w:szCs w:val="24"/>
        </w:rPr>
        <w:t xml:space="preserve">Effective Date: March 1, 2026</w:t>
      </w:r>
    </w:p>
    <w:p>
      <w:pPr>
        <w:pBdr>
          <w:bottom w:val="single" w:color="2E75B6" w:sz="4" w:space="1"/>
        </w:pBdr>
        <w:spacing w:before="160" w:after="1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Service Provider: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Nexavex Systems, Inc., a Delaware corporation</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Address: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742 Evergreen Parkway, Suite 1100, Springfield, IL 62704</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Contact:</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contracts@nexavex-demo.example.com  |  (555) 012-3456</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Client:</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Brightstone Analytics LLC, a California limited liability company</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Address: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88 Harbor View Blvd, Floor 12, San Francisco, CA 94105</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Contact:</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legal@brightstone-demo.example.com  |  (555) 987-6543</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Contract Term:</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March 1, 2026 — February 28, 2028 (24 months)</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Total Value: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USD $284,400 (Two Hundred Eighty-Four Thousand, Four Hundred Dollars)</w:t>
            </w:r>
          </w:p>
        </w:tc>
      </w:tr>
    </w:tbl>
    <w:p>
      <w:pPr>
        <w:spacing w:before="80" w:after="80"/>
      </w:pPr>
      <w:r>
        <w:t xml:space="preserve"/>
      </w:r>
    </w:p>
    <w:p>
      <w:pPr>
        <w:pBdr>
          <w:bottom w:val="single" w:color="2E75B6" w:sz="4" w:space="1"/>
        </w:pBdr>
        <w:spacing w:before="160" w:after="160"/>
      </w:pPr>
    </w:p>
    <w:p>
      <w:pPr>
        <w:spacing w:before="80" w:after="80"/>
      </w:pPr>
      <w:r>
        <w:t xml:space="preserve"/>
      </w:r>
    </w:p>
    <w:p>
      <w:pPr>
        <w:jc w:val="center"/>
      </w:pPr>
      <w:r>
        <w:rPr>
          <w:rFonts w:ascii="Arial" w:cs="Arial" w:eastAsia="Arial" w:hAnsi="Arial"/>
          <w:i/>
          <w:iCs/>
          <w:color w:val="888888"/>
          <w:sz w:val="18"/>
          <w:szCs w:val="18"/>
        </w:rPr>
        <w:t xml:space="preserve">THIS IS A FICTIONAL DOCUMENT GENERATED FOR SOFTWARE TESTING PURPOSES ONLY. ALL NAMES, COMPANIES, FIGURES, AND TERMS ARE ENTIRELY FICTITIOUS.</w:t>
      </w:r>
    </w:p>
    <w:p>
      <w:pPr>
        <w:spacing w:before="80" w:after="80"/>
      </w:pPr>
      <w:r>
        <w:t xml:space="preserve"/>
      </w:r>
    </w:p>
    <w:p>
      <w:r>
        <w:br w:type="page"/>
      </w:r>
    </w:p>
    <w:p>
      <w:pPr>
        <w:pStyle w:val="Heading1"/>
        <w:spacing w:before="360" w:after="120"/>
      </w:pPr>
      <w:r>
        <w:rPr>
          <w:rFonts w:ascii="Arial" w:cs="Arial" w:eastAsia="Arial" w:hAnsi="Arial"/>
          <w:b/>
          <w:bCs/>
          <w:sz w:val="28"/>
          <w:szCs w:val="28"/>
        </w:rPr>
        <w:t xml:space="preserve">1. DEFINITIONS</w:t>
      </w:r>
    </w:p>
    <w:p>
      <w:pPr>
        <w:spacing w:before="80" w:after="80"/>
        <w:jc w:val="both"/>
      </w:pPr>
      <w:r>
        <w:rPr>
          <w:rFonts w:ascii="Arial" w:cs="Arial" w:eastAsia="Arial" w:hAnsi="Arial"/>
          <w:sz w:val="22"/>
          <w:szCs w:val="22"/>
        </w:rPr>
        <w:t xml:space="preserve">For purposes of this Agreement, the following terms shall have the meanings set forth below:</w:t>
      </w:r>
    </w:p>
    <w:p>
      <w:pPr>
        <w:spacing w:before="80" w:after="80"/>
      </w:pPr>
      <w:r>
        <w:t xml:space="preserve"/>
      </w:r>
    </w:p>
    <w:p>
      <w:pPr>
        <w:spacing w:before="80" w:after="80"/>
      </w:pPr>
      <w:r>
        <w:rPr>
          <w:rFonts w:ascii="Arial" w:cs="Arial" w:eastAsia="Arial" w:hAnsi="Arial"/>
          <w:b/>
          <w:bCs/>
          <w:sz w:val="22"/>
          <w:szCs w:val="22"/>
        </w:rPr>
        <w:t xml:space="preserve">1.1 "Agreement"</w:t>
      </w:r>
      <w:r>
        <w:rPr>
          <w:rFonts w:ascii="Arial" w:cs="Arial" w:eastAsia="Arial" w:hAnsi="Arial"/>
          <w:sz w:val="22"/>
          <w:szCs w:val="22"/>
        </w:rPr>
        <w:t xml:space="preserve"> means this Managed Support Services Agreement, including all Schedules and Exhibits attached hereto, as may be amended from time to time by mutual written consent of the Parties.</w:t>
      </w:r>
    </w:p>
    <w:p>
      <w:pPr>
        <w:spacing w:before="80" w:after="80"/>
      </w:pPr>
      <w:r>
        <w:rPr>
          <w:rFonts w:ascii="Arial" w:cs="Arial" w:eastAsia="Arial" w:hAnsi="Arial"/>
          <w:b/>
          <w:bCs/>
          <w:sz w:val="22"/>
          <w:szCs w:val="22"/>
        </w:rPr>
        <w:t xml:space="preserve">1.2 "Services"</w:t>
      </w:r>
      <w:r>
        <w:rPr>
          <w:rFonts w:ascii="Arial" w:cs="Arial" w:eastAsia="Arial" w:hAnsi="Arial"/>
          <w:sz w:val="22"/>
          <w:szCs w:val="22"/>
        </w:rPr>
        <w:t xml:space="preserve"> means the managed support, maintenance, and professional services described in Schedule A of this Agreement, including all deliverables produced in connection therewith.</w:t>
      </w:r>
    </w:p>
    <w:p>
      <w:pPr>
        <w:spacing w:before="80" w:after="80"/>
      </w:pPr>
      <w:r>
        <w:rPr>
          <w:rFonts w:ascii="Arial" w:cs="Arial" w:eastAsia="Arial" w:hAnsi="Arial"/>
          <w:b/>
          <w:bCs/>
          <w:sz w:val="22"/>
          <w:szCs w:val="22"/>
        </w:rPr>
        <w:t xml:space="preserve">1.3 "Supported Systems"</w:t>
      </w:r>
      <w:r>
        <w:rPr>
          <w:rFonts w:ascii="Arial" w:cs="Arial" w:eastAsia="Arial" w:hAnsi="Arial"/>
          <w:sz w:val="22"/>
          <w:szCs w:val="22"/>
        </w:rPr>
        <w:t xml:space="preserve"> means the Client's software applications, infrastructure components, and related technology assets as identified in Schedule B, as may be updated by written agreement of the Parties.</w:t>
      </w:r>
    </w:p>
    <w:p>
      <w:pPr>
        <w:spacing w:before="80" w:after="80"/>
      </w:pPr>
      <w:r>
        <w:rPr>
          <w:rFonts w:ascii="Arial" w:cs="Arial" w:eastAsia="Arial" w:hAnsi="Arial"/>
          <w:b/>
          <w:bCs/>
          <w:sz w:val="22"/>
          <w:szCs w:val="22"/>
        </w:rPr>
        <w:t xml:space="preserve">1.4 "Incident"</w:t>
      </w:r>
      <w:r>
        <w:rPr>
          <w:rFonts w:ascii="Arial" w:cs="Arial" w:eastAsia="Arial" w:hAnsi="Arial"/>
          <w:sz w:val="22"/>
          <w:szCs w:val="22"/>
        </w:rPr>
        <w:t xml:space="preserve"> means any unplanned interruption, degradation, or failure of a Supported System that requires intervention by Service Provider personnel.</w:t>
      </w:r>
    </w:p>
    <w:p>
      <w:pPr>
        <w:spacing w:before="80" w:after="80"/>
      </w:pPr>
      <w:r>
        <w:rPr>
          <w:rFonts w:ascii="Arial" w:cs="Arial" w:eastAsia="Arial" w:hAnsi="Arial"/>
          <w:b/>
          <w:bCs/>
          <w:sz w:val="22"/>
          <w:szCs w:val="22"/>
        </w:rPr>
        <w:t xml:space="preserve">1.5 "Service Level Agreement" or "SLA"</w:t>
      </w:r>
      <w:r>
        <w:rPr>
          <w:rFonts w:ascii="Arial" w:cs="Arial" w:eastAsia="Arial" w:hAnsi="Arial"/>
          <w:sz w:val="22"/>
          <w:szCs w:val="22"/>
        </w:rPr>
        <w:t xml:space="preserve"> means the performance standards, response times, and resolution targets set forth in Schedule C.</w:t>
      </w:r>
    </w:p>
    <w:p>
      <w:pPr>
        <w:spacing w:before="80" w:after="80"/>
      </w:pPr>
      <w:r>
        <w:rPr>
          <w:rFonts w:ascii="Arial" w:cs="Arial" w:eastAsia="Arial" w:hAnsi="Arial"/>
          <w:b/>
          <w:bCs/>
          <w:sz w:val="22"/>
          <w:szCs w:val="22"/>
        </w:rPr>
        <w:t xml:space="preserve">1.6 "Confidential Information"</w:t>
      </w:r>
      <w:r>
        <w:rPr>
          <w:rFonts w:ascii="Arial" w:cs="Arial" w:eastAsia="Arial" w:hAnsi="Arial"/>
          <w:sz w:val="22"/>
          <w:szCs w:val="22"/>
        </w:rPr>
        <w:t xml:space="preserve"> means any non-public information disclosed by one Party to the other, whether orally, in writing, or by any other means, that is designated as confidential or that reasonably should be understood to be confidential given the nature of the information and the circumstances of disclosure.</w:t>
      </w:r>
    </w:p>
    <w:p>
      <w:pPr>
        <w:spacing w:before="80" w:after="80"/>
      </w:pPr>
      <w:r>
        <w:t xml:space="preserve"/>
      </w:r>
    </w:p>
    <w:p>
      <w:pPr>
        <w:pStyle w:val="Heading1"/>
        <w:spacing w:before="360" w:after="120"/>
      </w:pPr>
      <w:r>
        <w:rPr>
          <w:rFonts w:ascii="Arial" w:cs="Arial" w:eastAsia="Arial" w:hAnsi="Arial"/>
          <w:b/>
          <w:bCs/>
          <w:sz w:val="28"/>
          <w:szCs w:val="28"/>
        </w:rPr>
        <w:t xml:space="preserve">2. SCOPE OF SERVICES</w:t>
      </w:r>
    </w:p>
    <w:p>
      <w:pPr>
        <w:pStyle w:val="Heading2"/>
        <w:spacing w:before="240" w:after="80"/>
      </w:pPr>
      <w:r>
        <w:rPr>
          <w:rFonts w:ascii="Arial" w:cs="Arial" w:eastAsia="Arial" w:hAnsi="Arial"/>
          <w:b/>
          <w:bCs/>
          <w:sz w:val="24"/>
          <w:szCs w:val="24"/>
        </w:rPr>
        <w:t xml:space="preserve">2.1 Standard Support Services</w:t>
      </w:r>
    </w:p>
    <w:p>
      <w:pPr>
        <w:spacing w:before="80" w:after="80"/>
        <w:jc w:val="both"/>
      </w:pPr>
      <w:r>
        <w:rPr>
          <w:rFonts w:ascii="Arial" w:cs="Arial" w:eastAsia="Arial" w:hAnsi="Arial"/>
          <w:sz w:val="22"/>
          <w:szCs w:val="22"/>
        </w:rPr>
        <w:t xml:space="preserve">Subject to the terms and conditions of this Agreement and payment of all applicable fees, Nexavex Systems, Inc. ("Service Provider") shall provide Brightstone Analytics LLC ("Client") with the following managed support services during the Term:</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24/7 monitoring of all Supported Systems via Service Provider's proprietary monitoring platform ("NexWatch"), with automated alerting and escalation procedures</w:t>
      </w:r>
    </w:p>
    <w:p>
      <w:pPr>
        <w:pStyle w:val="ListParagraph"/>
        <w:numPr>
          <w:ilvl w:val="0"/>
          <w:numId w:val="2"/>
        </w:numPr>
        <w:spacing w:before="40" w:after="40"/>
      </w:pPr>
      <w:r>
        <w:rPr>
          <w:rFonts w:ascii="Arial" w:cs="Arial" w:eastAsia="Arial" w:hAnsi="Arial"/>
          <w:sz w:val="22"/>
          <w:szCs w:val="22"/>
        </w:rPr>
        <w:t xml:space="preserve">Tier 1, Tier 2, and Tier 3 technical support for Incidents, accessible via web portal, email, and telephone hotline</w:t>
      </w:r>
    </w:p>
    <w:p>
      <w:pPr>
        <w:pStyle w:val="ListParagraph"/>
        <w:numPr>
          <w:ilvl w:val="0"/>
          <w:numId w:val="2"/>
        </w:numPr>
        <w:spacing w:before="40" w:after="40"/>
      </w:pPr>
      <w:r>
        <w:rPr>
          <w:rFonts w:ascii="Arial" w:cs="Arial" w:eastAsia="Arial" w:hAnsi="Arial"/>
          <w:sz w:val="22"/>
          <w:szCs w:val="22"/>
        </w:rPr>
        <w:t xml:space="preserve">Monthly preventive maintenance windows, scheduled in advance and subject to Client's reasonable approval</w:t>
      </w:r>
    </w:p>
    <w:p>
      <w:pPr>
        <w:pStyle w:val="ListParagraph"/>
        <w:numPr>
          <w:ilvl w:val="0"/>
          <w:numId w:val="2"/>
        </w:numPr>
        <w:spacing w:before="40" w:after="40"/>
      </w:pPr>
      <w:r>
        <w:rPr>
          <w:rFonts w:ascii="Arial" w:cs="Arial" w:eastAsia="Arial" w:hAnsi="Arial"/>
          <w:sz w:val="22"/>
          <w:szCs w:val="22"/>
        </w:rPr>
        <w:t xml:space="preserve">Quarterly performance reviews, capacity planning assessments, and written summary reports</w:t>
      </w:r>
    </w:p>
    <w:p>
      <w:pPr>
        <w:pStyle w:val="ListParagraph"/>
        <w:numPr>
          <w:ilvl w:val="0"/>
          <w:numId w:val="2"/>
        </w:numPr>
        <w:spacing w:before="40" w:after="40"/>
      </w:pPr>
      <w:r>
        <w:rPr>
          <w:rFonts w:ascii="Arial" w:cs="Arial" w:eastAsia="Arial" w:hAnsi="Arial"/>
          <w:sz w:val="22"/>
          <w:szCs w:val="22"/>
        </w:rPr>
        <w:t xml:space="preserve">Security patch management, including evaluation, testing in staging environment, and coordinated deployment to production</w:t>
      </w:r>
    </w:p>
    <w:p>
      <w:pPr>
        <w:pStyle w:val="ListParagraph"/>
        <w:numPr>
          <w:ilvl w:val="0"/>
          <w:numId w:val="2"/>
        </w:numPr>
        <w:spacing w:before="40" w:after="40"/>
      </w:pPr>
      <w:r>
        <w:rPr>
          <w:rFonts w:ascii="Arial" w:cs="Arial" w:eastAsia="Arial" w:hAnsi="Arial"/>
          <w:sz w:val="22"/>
          <w:szCs w:val="22"/>
        </w:rPr>
        <w:t xml:space="preserve">Backup verification and disaster recovery testing twice per calendar year, with documented results</w:t>
      </w:r>
    </w:p>
    <w:p>
      <w:pPr>
        <w:pStyle w:val="ListParagraph"/>
        <w:numPr>
          <w:ilvl w:val="0"/>
          <w:numId w:val="2"/>
        </w:numPr>
        <w:spacing w:before="40" w:after="40"/>
      </w:pPr>
      <w:r>
        <w:rPr>
          <w:rFonts w:ascii="Arial" w:cs="Arial" w:eastAsia="Arial" w:hAnsi="Arial"/>
          <w:sz w:val="22"/>
          <w:szCs w:val="22"/>
        </w:rPr>
        <w:t xml:space="preserve">Access to Service Provider's knowledge base, documentation library, and self-service portal</w:t>
      </w:r>
    </w:p>
    <w:p>
      <w:pPr>
        <w:spacing w:before="80" w:after="80"/>
      </w:pPr>
      <w:r>
        <w:t xml:space="preserve"/>
      </w:r>
    </w:p>
    <w:p>
      <w:pPr>
        <w:pStyle w:val="Heading2"/>
        <w:spacing w:before="240" w:after="80"/>
      </w:pPr>
      <w:r>
        <w:rPr>
          <w:rFonts w:ascii="Arial" w:cs="Arial" w:eastAsia="Arial" w:hAnsi="Arial"/>
          <w:b/>
          <w:bCs/>
          <w:sz w:val="24"/>
          <w:szCs w:val="24"/>
        </w:rPr>
        <w:t xml:space="preserve">2.2 Professional Services</w:t>
      </w:r>
    </w:p>
    <w:p>
      <w:pPr>
        <w:spacing w:before="80" w:after="80"/>
        <w:jc w:val="both"/>
      </w:pPr>
      <w:r>
        <w:rPr>
          <w:rFonts w:ascii="Arial" w:cs="Arial" w:eastAsia="Arial" w:hAnsi="Arial"/>
          <w:sz w:val="22"/>
          <w:szCs w:val="22"/>
        </w:rPr>
        <w:t xml:space="preserve">In addition to Standard Support Services, Client may request Professional Services on an ad hoc basis. Professional Services shall be governed by individual Statements of Work ("SOW") executed by authorized representatives of both Parties. Each SOW shall specify scope, timeline, resource allocation, and applicable fees. Professional Services are billed at the rates set forth in Schedule D.</w:t>
      </w:r>
    </w:p>
    <w:p>
      <w:pPr>
        <w:spacing w:before="80" w:after="80"/>
      </w:pPr>
      <w:r>
        <w:t xml:space="preserve"/>
      </w:r>
    </w:p>
    <w:p>
      <w:pPr>
        <w:pStyle w:val="Heading2"/>
        <w:spacing w:before="240" w:after="80"/>
      </w:pPr>
      <w:r>
        <w:rPr>
          <w:rFonts w:ascii="Arial" w:cs="Arial" w:eastAsia="Arial" w:hAnsi="Arial"/>
          <w:b/>
          <w:bCs/>
          <w:sz w:val="24"/>
          <w:szCs w:val="24"/>
        </w:rPr>
        <w:t xml:space="preserve">2.3 Exclusions</w:t>
      </w:r>
    </w:p>
    <w:p>
      <w:pPr>
        <w:spacing w:before="80" w:after="80"/>
        <w:jc w:val="both"/>
      </w:pPr>
      <w:r>
        <w:rPr>
          <w:rFonts w:ascii="Arial" w:cs="Arial" w:eastAsia="Arial" w:hAnsi="Arial"/>
          <w:sz w:val="22"/>
          <w:szCs w:val="22"/>
        </w:rPr>
        <w:t xml:space="preserve">Unless otherwise agreed in a separate SOW, the following are expressly excluded from the Services: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Development of new software features or functionality not present in the Supported Systems as of the Effective Date</w:t>
      </w:r>
    </w:p>
    <w:p>
      <w:pPr>
        <w:pStyle w:val="ListParagraph"/>
        <w:numPr>
          <w:ilvl w:val="0"/>
          <w:numId w:val="2"/>
        </w:numPr>
        <w:spacing w:before="40" w:after="40"/>
      </w:pPr>
      <w:r>
        <w:rPr>
          <w:rFonts w:ascii="Arial" w:cs="Arial" w:eastAsia="Arial" w:hAnsi="Arial"/>
          <w:sz w:val="22"/>
          <w:szCs w:val="22"/>
        </w:rPr>
        <w:t xml:space="preserve">Support for third-party systems, platforms, or applications not listed in Schedule B</w:t>
      </w:r>
    </w:p>
    <w:p>
      <w:pPr>
        <w:pStyle w:val="ListParagraph"/>
        <w:numPr>
          <w:ilvl w:val="0"/>
          <w:numId w:val="2"/>
        </w:numPr>
        <w:spacing w:before="40" w:after="40"/>
      </w:pPr>
      <w:r>
        <w:rPr>
          <w:rFonts w:ascii="Arial" w:cs="Arial" w:eastAsia="Arial" w:hAnsi="Arial"/>
          <w:sz w:val="22"/>
          <w:szCs w:val="22"/>
        </w:rPr>
        <w:t xml:space="preserve">Hardware procurement, installation, or physical datacenter operations</w:t>
      </w:r>
    </w:p>
    <w:p>
      <w:pPr>
        <w:pStyle w:val="ListParagraph"/>
        <w:numPr>
          <w:ilvl w:val="0"/>
          <w:numId w:val="2"/>
        </w:numPr>
        <w:spacing w:before="40" w:after="40"/>
      </w:pPr>
      <w:r>
        <w:rPr>
          <w:rFonts w:ascii="Arial" w:cs="Arial" w:eastAsia="Arial" w:hAnsi="Arial"/>
          <w:sz w:val="22"/>
          <w:szCs w:val="22"/>
        </w:rPr>
        <w:t xml:space="preserve">End-user training programs or user adoption services</w:t>
      </w:r>
    </w:p>
    <w:p>
      <w:pPr>
        <w:pStyle w:val="ListParagraph"/>
        <w:numPr>
          <w:ilvl w:val="0"/>
          <w:numId w:val="2"/>
        </w:numPr>
        <w:spacing w:before="40" w:after="40"/>
      </w:pPr>
      <w:r>
        <w:rPr>
          <w:rFonts w:ascii="Arial" w:cs="Arial" w:eastAsia="Arial" w:hAnsi="Arial"/>
          <w:sz w:val="22"/>
          <w:szCs w:val="22"/>
        </w:rPr>
        <w:t xml:space="preserve">Legal, regulatory, or compliance consulting of any kind</w:t>
      </w:r>
    </w:p>
    <w:p>
      <w:pPr>
        <w:spacing w:before="80" w:after="80"/>
      </w:pPr>
      <w:r>
        <w:t xml:space="preserve"/>
      </w:r>
    </w:p>
    <w:p>
      <w:pPr>
        <w:pStyle w:val="Heading1"/>
        <w:spacing w:before="360" w:after="120"/>
      </w:pPr>
      <w:r>
        <w:rPr>
          <w:rFonts w:ascii="Arial" w:cs="Arial" w:eastAsia="Arial" w:hAnsi="Arial"/>
          <w:b/>
          <w:bCs/>
          <w:sz w:val="28"/>
          <w:szCs w:val="28"/>
        </w:rPr>
        <w:t xml:space="preserve">3. SERVICE LEVELS AND PERFORMANCE STANDARDS</w:t>
      </w:r>
    </w:p>
    <w:p>
      <w:pPr>
        <w:pStyle w:val="Heading2"/>
        <w:spacing w:before="240" w:after="80"/>
      </w:pPr>
      <w:r>
        <w:rPr>
          <w:rFonts w:ascii="Arial" w:cs="Arial" w:eastAsia="Arial" w:hAnsi="Arial"/>
          <w:b/>
          <w:bCs/>
          <w:sz w:val="24"/>
          <w:szCs w:val="24"/>
        </w:rPr>
        <w:t xml:space="preserve">3.1 Incident Priority Classification</w:t>
      </w:r>
    </w:p>
    <w:p>
      <w:pPr>
        <w:spacing w:before="80" w:after="80"/>
        <w:jc w:val="both"/>
      </w:pPr>
      <w:r>
        <w:rPr>
          <w:rFonts w:ascii="Arial" w:cs="Arial" w:eastAsia="Arial" w:hAnsi="Arial"/>
          <w:sz w:val="22"/>
          <w:szCs w:val="22"/>
        </w:rPr>
        <w:t xml:space="preserve">Service Provider shall classify all Incidents according to the following priority levels and respond within the timeframes specified: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180"/>
        <w:gridCol w:w="218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Initial Response</w:t>
            </w:r>
          </w:p>
        </w:tc>
        <w:tc>
          <w:tcPr>
            <w:tcW w:type="dxa" w:w="2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Resolution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00000"/>
                <w:sz w:val="20"/>
                <w:szCs w:val="20"/>
              </w:rPr>
              <w:t xml:space="preserve">P1 — Critical</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Complete system outage or data loss risk affecting production</w:t>
            </w:r>
          </w:p>
        </w:tc>
        <w:tc>
          <w:tcPr>
            <w:tcW w:type="dxa" w:w="2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 minutes</w:t>
            </w:r>
          </w:p>
        </w:tc>
        <w:tc>
          <w:tcPr>
            <w:tcW w:type="dxa" w:w="2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hours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05C00"/>
                <w:sz w:val="20"/>
                <w:szCs w:val="20"/>
              </w:rPr>
              <w:t xml:space="preserve">P2 — High</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Significant degradation affecting multiple users or core workflows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hour</w:t>
            </w:r>
          </w:p>
        </w:tc>
        <w:tc>
          <w:tcPr>
            <w:tcW w:type="dxa" w:w="2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 business hours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4472C4"/>
                <w:sz w:val="20"/>
                <w:szCs w:val="20"/>
              </w:rPr>
              <w:t xml:space="preserve">P3 — Medium</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Non-critical issue with available workaround; limited user impact</w:t>
            </w:r>
          </w:p>
        </w:tc>
        <w:tc>
          <w:tcPr>
            <w:tcW w:type="dxa" w:w="2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business hours</w:t>
            </w:r>
          </w:p>
        </w:tc>
        <w:tc>
          <w:tcPr>
            <w:tcW w:type="dxa" w:w="2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business days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95959"/>
                <w:sz w:val="20"/>
                <w:szCs w:val="20"/>
              </w:rPr>
              <w:t xml:space="preserve">P4 — Low</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Cosmetic issues, general inquiries, documentation requests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business day</w:t>
            </w:r>
          </w:p>
        </w:tc>
        <w:tc>
          <w:tcPr>
            <w:tcW w:type="dxa" w:w="2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 business days</w:t>
            </w:r>
          </w:p>
        </w:tc>
      </w:tr>
    </w:tbl>
    <w:p>
      <w:pPr>
        <w:spacing w:before="80" w:after="80"/>
      </w:pPr>
      <w:r>
        <w:t xml:space="preserve"/>
      </w:r>
    </w:p>
    <w:p>
      <w:pPr>
        <w:pStyle w:val="Heading2"/>
        <w:spacing w:before="240" w:after="80"/>
      </w:pPr>
      <w:r>
        <w:rPr>
          <w:rFonts w:ascii="Arial" w:cs="Arial" w:eastAsia="Arial" w:hAnsi="Arial"/>
          <w:b/>
          <w:bCs/>
          <w:sz w:val="24"/>
          <w:szCs w:val="24"/>
        </w:rPr>
        <w:t xml:space="preserve">3.2 Uptime Commitment</w:t>
      </w:r>
    </w:p>
    <w:p>
      <w:pPr>
        <w:spacing w:before="80" w:after="80"/>
        <w:jc w:val="both"/>
      </w:pPr>
      <w:r>
        <w:rPr>
          <w:rFonts w:ascii="Arial" w:cs="Arial" w:eastAsia="Arial" w:hAnsi="Arial"/>
          <w:sz w:val="22"/>
          <w:szCs w:val="22"/>
        </w:rPr>
        <w:t xml:space="preserve">Service Provider commits to a monthly Supported Systems availability of 99.5% or greater ("Uptime SLA"), excluding scheduled maintenance windows communicated at least 72 hours in advance, force majeure events, and outages caused by Client's own personnel or third parties outside Service Provider's reasonable control.</w:t>
      </w:r>
    </w:p>
    <w:p>
      <w:pPr>
        <w:spacing w:before="80" w:after="80"/>
      </w:pPr>
      <w:r>
        <w:t xml:space="preserve"/>
      </w:r>
    </w:p>
    <w:p>
      <w:pPr>
        <w:pStyle w:val="Heading2"/>
        <w:spacing w:before="240" w:after="80"/>
      </w:pPr>
      <w:r>
        <w:rPr>
          <w:rFonts w:ascii="Arial" w:cs="Arial" w:eastAsia="Arial" w:hAnsi="Arial"/>
          <w:b/>
          <w:bCs/>
          <w:sz w:val="24"/>
          <w:szCs w:val="24"/>
        </w:rPr>
        <w:t xml:space="preserve">3.3 SLA Credits</w:t>
      </w:r>
    </w:p>
    <w:p>
      <w:pPr>
        <w:spacing w:before="80" w:after="80"/>
        <w:jc w:val="both"/>
      </w:pPr>
      <w:r>
        <w:rPr>
          <w:rFonts w:ascii="Arial" w:cs="Arial" w:eastAsia="Arial" w:hAnsi="Arial"/>
          <w:sz w:val="22"/>
          <w:szCs w:val="22"/>
        </w:rPr>
        <w:t xml:space="preserve">In the event Service Provider fails to meet the Uptime SLA or any P1/P2 response time commitment in a given calendar month, Client shall be entitled to a service credit against the following month's invoice, calculated as follows: (a) 99.0%–99.49% availability: 5% credit; (b) 98.0%–98.99% availability: 10% credit; (c) below 98.0% availability: 20% credit. SLA credits constitute Client's sole and exclusive remedy for service level failures and shall not be construed as an admission of liability.</w:t>
      </w:r>
    </w:p>
    <w:p>
      <w:pPr>
        <w:spacing w:before="80" w:after="80"/>
      </w:pPr>
      <w:r>
        <w:t xml:space="preserve"/>
      </w:r>
    </w:p>
    <w:p>
      <w:pPr>
        <w:pStyle w:val="Heading1"/>
        <w:spacing w:before="360" w:after="120"/>
      </w:pPr>
      <w:r>
        <w:rPr>
          <w:rFonts w:ascii="Arial" w:cs="Arial" w:eastAsia="Arial" w:hAnsi="Arial"/>
          <w:b/>
          <w:bCs/>
          <w:sz w:val="28"/>
          <w:szCs w:val="28"/>
        </w:rPr>
        <w:t xml:space="preserve">4. FEES AND PAYMENT</w:t>
      </w:r>
    </w:p>
    <w:p>
      <w:pPr>
        <w:pStyle w:val="Heading2"/>
        <w:spacing w:before="240" w:after="80"/>
      </w:pPr>
      <w:r>
        <w:rPr>
          <w:rFonts w:ascii="Arial" w:cs="Arial" w:eastAsia="Arial" w:hAnsi="Arial"/>
          <w:b/>
          <w:bCs/>
          <w:sz w:val="24"/>
          <w:szCs w:val="24"/>
        </w:rPr>
        <w:t xml:space="preserve">4.1 Monthly Recurring Fee</w:t>
      </w:r>
    </w:p>
    <w:p>
      <w:pPr>
        <w:spacing w:before="80" w:after="80"/>
        <w:jc w:val="both"/>
      </w:pPr>
      <w:r>
        <w:rPr>
          <w:rFonts w:ascii="Arial" w:cs="Arial" w:eastAsia="Arial" w:hAnsi="Arial"/>
          <w:sz w:val="22"/>
          <w:szCs w:val="22"/>
        </w:rPr>
        <w:t xml:space="preserve">Client shall pay Service Provider a fixed monthly recurring fee of USD $11,850 ("MRF") for Standard Support Services, payable in advance on the first business day of each calendar month. The MRF shall remain fixed for the first twelve (12) months of the Term. Thereafter, Service Provider may increase the MRF by no more than four percent (4%) annually upon sixty (60) days' prior written notice.</w:t>
      </w:r>
    </w:p>
    <w:p>
      <w:pPr>
        <w:spacing w:before="80" w:after="80"/>
      </w:pPr>
      <w:r>
        <w:t xml:space="preserve"/>
      </w:r>
    </w:p>
    <w:p>
      <w:pPr>
        <w:pStyle w:val="Heading2"/>
        <w:spacing w:before="240" w:after="80"/>
      </w:pPr>
      <w:r>
        <w:rPr>
          <w:rFonts w:ascii="Arial" w:cs="Arial" w:eastAsia="Arial" w:hAnsi="Arial"/>
          <w:b/>
          <w:bCs/>
          <w:sz w:val="24"/>
          <w:szCs w:val="24"/>
        </w:rPr>
        <w:t xml:space="preserve">4.2 Professional Services Fees</w:t>
      </w:r>
    </w:p>
    <w:p>
      <w:pPr>
        <w:spacing w:before="80" w:after="80"/>
        <w:jc w:val="both"/>
      </w:pPr>
      <w:r>
        <w:rPr>
          <w:rFonts w:ascii="Arial" w:cs="Arial" w:eastAsia="Arial" w:hAnsi="Arial"/>
          <w:sz w:val="22"/>
          <w:szCs w:val="22"/>
        </w:rPr>
        <w:t xml:space="preserve">Professional Services shall be invoiced separately upon completion of each SOW milestone or monthly in arrears, as specified in the applicable SOW. Standard hourly rates for Professional Services are set forth in Schedule D. Time spent on Professional Services is tracked in thirty (30) minute increments.</w:t>
      </w:r>
    </w:p>
    <w:p>
      <w:pPr>
        <w:spacing w:before="80" w:after="80"/>
      </w:pPr>
      <w:r>
        <w:t xml:space="preserve"/>
      </w:r>
    </w:p>
    <w:p>
      <w:pPr>
        <w:pStyle w:val="Heading2"/>
        <w:spacing w:before="240" w:after="80"/>
      </w:pPr>
      <w:r>
        <w:rPr>
          <w:rFonts w:ascii="Arial" w:cs="Arial" w:eastAsia="Arial" w:hAnsi="Arial"/>
          <w:b/>
          <w:bCs/>
          <w:sz w:val="24"/>
          <w:szCs w:val="24"/>
        </w:rPr>
        <w:t xml:space="preserve">4.3 Payment Terms</w:t>
      </w:r>
    </w:p>
    <w:p>
      <w:pPr>
        <w:spacing w:before="80" w:after="80"/>
        <w:jc w:val="both"/>
      </w:pPr>
      <w:r>
        <w:rPr>
          <w:rFonts w:ascii="Arial" w:cs="Arial" w:eastAsia="Arial" w:hAnsi="Arial"/>
          <w:sz w:val="22"/>
          <w:szCs w:val="22"/>
        </w:rPr>
        <w:t xml:space="preserve">All invoices are due and payable within thirty (30) days of the invoice date. Undisputed amounts not paid within thirty (30) days shall accrue interest at a rate of one and one-half percent (1.5%) per month or the maximum rate permitted by applicable law, whichever is less. Client shall notify Service Provider in writing of any disputed invoice amounts within fifteen (15) days of receipt; undisputed portions remain due as stated.</w:t>
      </w:r>
    </w:p>
    <w:p>
      <w:pPr>
        <w:spacing w:before="80" w:after="80"/>
      </w:pPr>
      <w:r>
        <w:t xml:space="preserve"/>
      </w:r>
    </w:p>
    <w:p>
      <w:pPr>
        <w:pStyle w:val="Heading2"/>
        <w:spacing w:before="240" w:after="80"/>
      </w:pPr>
      <w:r>
        <w:rPr>
          <w:rFonts w:ascii="Arial" w:cs="Arial" w:eastAsia="Arial" w:hAnsi="Arial"/>
          <w:b/>
          <w:bCs/>
          <w:sz w:val="24"/>
          <w:szCs w:val="24"/>
        </w:rPr>
        <w:t xml:space="preserve">4.4 Taxes</w:t>
      </w:r>
    </w:p>
    <w:p>
      <w:pPr>
        <w:spacing w:before="80" w:after="80"/>
        <w:jc w:val="both"/>
      </w:pPr>
      <w:r>
        <w:rPr>
          <w:rFonts w:ascii="Arial" w:cs="Arial" w:eastAsia="Arial" w:hAnsi="Arial"/>
          <w:sz w:val="22"/>
          <w:szCs w:val="22"/>
        </w:rPr>
        <w:t xml:space="preserve">All fees are exclusive of applicable taxes. Client is responsible for all sales, use, excise, value-added, or similar taxes arising from the Services, excluding taxes on Service Provider's net income.</w:t>
      </w:r>
    </w:p>
    <w:p>
      <w:pPr>
        <w:spacing w:before="80" w:after="80"/>
      </w:pPr>
      <w:r>
        <w:t xml:space="preserve"/>
      </w:r>
    </w:p>
    <w:p>
      <w:pPr>
        <w:pStyle w:val="Heading1"/>
        <w:spacing w:before="360" w:after="120"/>
      </w:pPr>
      <w:r>
        <w:rPr>
          <w:rFonts w:ascii="Arial" w:cs="Arial" w:eastAsia="Arial" w:hAnsi="Arial"/>
          <w:b/>
          <w:bCs/>
          <w:sz w:val="28"/>
          <w:szCs w:val="28"/>
        </w:rPr>
        <w:t xml:space="preserve">5. CONFIDENTIALITY</w:t>
      </w:r>
    </w:p>
    <w:p>
      <w:pPr>
        <w:spacing w:before="80" w:after="80"/>
        <w:jc w:val="both"/>
      </w:pPr>
      <w:r>
        <w:rPr>
          <w:rFonts w:ascii="Arial" w:cs="Arial" w:eastAsia="Arial" w:hAnsi="Arial"/>
          <w:sz w:val="22"/>
          <w:szCs w:val="22"/>
        </w:rPr>
        <w:t xml:space="preserve">Each Party agrees to: (a) hold the other Party's Confidential Information in strict confidence using at least the same degree of care it uses to protect its own confidential information, but no less than reasonable care; (b) not disclose such Confidential Information to any third party without prior written consent, except to employees, contractors, or advisors who have a need to know and are bound by confidentiality obligations at least as protective as those herein; and (c) use the other Party's Confidential Information solely to perform or receive the Services.</w:t>
      </w:r>
    </w:p>
    <w:p>
      <w:pPr>
        <w:spacing w:before="80" w:after="80"/>
      </w:pPr>
      <w:r>
        <w:t xml:space="preserve"/>
      </w:r>
    </w:p>
    <w:p>
      <w:pPr>
        <w:spacing w:before="80" w:after="80"/>
        <w:jc w:val="both"/>
      </w:pPr>
      <w:r>
        <w:rPr>
          <w:rFonts w:ascii="Arial" w:cs="Arial" w:eastAsia="Arial" w:hAnsi="Arial"/>
          <w:sz w:val="22"/>
          <w:szCs w:val="22"/>
        </w:rPr>
        <w:t xml:space="preserve">These obligations do not apply to information that: (i) is or becomes publicly available through no fault of the receiving Party; (ii) was rightfully known to the receiving Party prior to disclosure; (iii) is rightfully received from a third party without restriction; or (iv) is required to be disclosed by law or court order, provided the disclosing Party is given prompt written notice and a reasonable opportunity to seek a protective order.</w:t>
      </w:r>
    </w:p>
    <w:p>
      <w:pPr>
        <w:spacing w:before="80" w:after="80"/>
      </w:pPr>
      <w:r>
        <w:t xml:space="preserve"/>
      </w:r>
    </w:p>
    <w:p>
      <w:pPr>
        <w:pStyle w:val="Heading1"/>
        <w:spacing w:before="360" w:after="120"/>
      </w:pPr>
      <w:r>
        <w:rPr>
          <w:rFonts w:ascii="Arial" w:cs="Arial" w:eastAsia="Arial" w:hAnsi="Arial"/>
          <w:b/>
          <w:bCs/>
          <w:sz w:val="28"/>
          <w:szCs w:val="28"/>
        </w:rPr>
        <w:t xml:space="preserve">6. INTELLECTUAL PROPERTY</w:t>
      </w:r>
    </w:p>
    <w:p>
      <w:pPr>
        <w:spacing w:before="80" w:after="80"/>
        <w:jc w:val="both"/>
      </w:pPr>
      <w:r>
        <w:rPr>
          <w:rFonts w:ascii="Arial" w:cs="Arial" w:eastAsia="Arial" w:hAnsi="Arial"/>
          <w:sz w:val="22"/>
          <w:szCs w:val="22"/>
        </w:rPr>
        <w:t xml:space="preserve">Each Party retains all right, title, and interest in and to its pre-existing intellectual property. All work product, tools, methodologies, or deliverables created by Service Provider in connection with the Services that are not derived from Client's Confidential Information or data shall remain the exclusive property of Service Provider, with Service Provider granting Client a non-exclusive, non-transferable, royalty-free license to use such work product solely for Client's internal business purposes during the Term.</w:t>
      </w:r>
    </w:p>
    <w:p>
      <w:pPr>
        <w:spacing w:before="80" w:after="80"/>
      </w:pPr>
      <w:r>
        <w:t xml:space="preserve"/>
      </w:r>
    </w:p>
    <w:p>
      <w:pPr>
        <w:spacing w:before="80" w:after="80"/>
        <w:jc w:val="both"/>
      </w:pPr>
      <w:r>
        <w:rPr>
          <w:rFonts w:ascii="Arial" w:cs="Arial" w:eastAsia="Arial" w:hAnsi="Arial"/>
          <w:sz w:val="22"/>
          <w:szCs w:val="22"/>
        </w:rPr>
        <w:t xml:space="preserve">To the extent any deliverable is specifically identified in a SOW as a "Client Work," Service Provider hereby assigns to Client all right, title, and interest therein upon receipt of full payment for the applicable SOW.</w:t>
      </w:r>
    </w:p>
    <w:p>
      <w:pPr>
        <w:spacing w:before="80" w:after="80"/>
      </w:pPr>
      <w:r>
        <w:t xml:space="preserve"/>
      </w:r>
    </w:p>
    <w:p>
      <w:pPr>
        <w:pStyle w:val="Heading1"/>
        <w:spacing w:before="360" w:after="120"/>
      </w:pPr>
      <w:r>
        <w:rPr>
          <w:rFonts w:ascii="Arial" w:cs="Arial" w:eastAsia="Arial" w:hAnsi="Arial"/>
          <w:b/>
          <w:bCs/>
          <w:sz w:val="28"/>
          <w:szCs w:val="28"/>
        </w:rPr>
        <w:t xml:space="preserve">7. LIMITATION OF LIABILITY</w:t>
      </w:r>
    </w:p>
    <w:p>
      <w:pPr>
        <w:spacing w:before="80" w:after="80"/>
        <w:jc w:val="both"/>
      </w:pPr>
      <w:r>
        <w:rPr>
          <w:rFonts w:ascii="Arial" w:cs="Arial" w:eastAsia="Arial" w:hAnsi="Arial"/>
          <w:sz w:val="22"/>
          <w:szCs w:val="22"/>
        </w:rPr>
        <w:t xml:space="preserve">IN NO EVENT SHALL EITHER PARTY BE LIABLE TO THE OTHER FOR ANY INDIRECT, INCIDENTAL, SPECIAL, CONSEQUENTIAL, EXEMPLARY, OR PUNITIVE DAMAGES, INCLUDING BUT NOT LIMITED TO LOSS OF PROFITS, REVENUE, GOODWILL, OR DATA, ARISING OUT OF OR RELATED TO THIS AGREEMENT, REGARDLESS OF WHETHER SUCH DAMAGES WERE FORESEEABLE OR THE PARTY HAS BEEN ADVISED OF THEIR POSSIBILITY.</w:t>
      </w:r>
    </w:p>
    <w:p>
      <w:pPr>
        <w:spacing w:before="80" w:after="80"/>
      </w:pPr>
      <w:r>
        <w:t xml:space="preserve"/>
      </w:r>
    </w:p>
    <w:p>
      <w:pPr>
        <w:spacing w:before="80" w:after="80"/>
        <w:jc w:val="both"/>
      </w:pPr>
      <w:r>
        <w:rPr>
          <w:rFonts w:ascii="Arial" w:cs="Arial" w:eastAsia="Arial" w:hAnsi="Arial"/>
          <w:sz w:val="22"/>
          <w:szCs w:val="22"/>
        </w:rPr>
        <w:t xml:space="preserve">EACH PARTY'S TOTAL CUMULATIVE LIABILITY ARISING OUT OF OR RELATED TO THIS AGREEMENT SHALL NOT EXCEED THE TOTAL FEES PAID OR PAYABLE BY CLIENT TO SERVICE PROVIDER IN THE TWELVE (12) MONTHS IMMEDIATELY PRECEDING THE EVENT GIVING RISE TO THE CLAIM. THE FOREGOING LIMITATIONS SHALL NOT APPLY TO: (A) EITHER PARTY'S INDEMNIFICATION OBLIGATIONS; (B) A PARTY'S BREACH OF ITS CONFIDENTIALITY OBLIGATIONS; OR (C) CLAIMS ARISING FROM A PARTY'S GROSS NEGLIGENCE OR WILLFUL MISCONDUCT.</w:t>
      </w:r>
    </w:p>
    <w:p>
      <w:pPr>
        <w:spacing w:before="80" w:after="80"/>
      </w:pPr>
      <w:r>
        <w:t xml:space="preserve"/>
      </w:r>
    </w:p>
    <w:p>
      <w:pPr>
        <w:pStyle w:val="Heading1"/>
        <w:spacing w:before="360" w:after="120"/>
      </w:pPr>
      <w:r>
        <w:rPr>
          <w:rFonts w:ascii="Arial" w:cs="Arial" w:eastAsia="Arial" w:hAnsi="Arial"/>
          <w:b/>
          <w:bCs/>
          <w:sz w:val="28"/>
          <w:szCs w:val="28"/>
        </w:rPr>
        <w:t xml:space="preserve">8. TERM AND TERMINATION</w:t>
      </w:r>
    </w:p>
    <w:p>
      <w:pPr>
        <w:pStyle w:val="Heading2"/>
        <w:spacing w:before="240" w:after="80"/>
      </w:pPr>
      <w:r>
        <w:rPr>
          <w:rFonts w:ascii="Arial" w:cs="Arial" w:eastAsia="Arial" w:hAnsi="Arial"/>
          <w:b/>
          <w:bCs/>
          <w:sz w:val="24"/>
          <w:szCs w:val="24"/>
        </w:rPr>
        <w:t xml:space="preserve">8.1 Term</w:t>
      </w:r>
    </w:p>
    <w:p>
      <w:pPr>
        <w:spacing w:before="80" w:after="80"/>
        <w:jc w:val="both"/>
      </w:pPr>
      <w:r>
        <w:rPr>
          <w:rFonts w:ascii="Arial" w:cs="Arial" w:eastAsia="Arial" w:hAnsi="Arial"/>
          <w:sz w:val="22"/>
          <w:szCs w:val="22"/>
        </w:rPr>
        <w:t xml:space="preserve">This Agreement shall commence on the Effective Date and continue for an initial period of twenty-four (24) months ("Initial Term"). Thereafter, the Agreement shall automatically renew for successive twelve (12) month periods unless either Party provides written notice of non-renewal at least ninety (90) days prior to the end of the then-current term.</w:t>
      </w:r>
    </w:p>
    <w:p>
      <w:pPr>
        <w:spacing w:before="80" w:after="80"/>
      </w:pPr>
      <w:r>
        <w:t xml:space="preserve"/>
      </w:r>
    </w:p>
    <w:p>
      <w:pPr>
        <w:pStyle w:val="Heading2"/>
        <w:spacing w:before="240" w:after="80"/>
      </w:pPr>
      <w:r>
        <w:rPr>
          <w:rFonts w:ascii="Arial" w:cs="Arial" w:eastAsia="Arial" w:hAnsi="Arial"/>
          <w:b/>
          <w:bCs/>
          <w:sz w:val="24"/>
          <w:szCs w:val="24"/>
        </w:rPr>
        <w:t xml:space="preserve">8.2 Termination for Cause</w:t>
      </w:r>
    </w:p>
    <w:p>
      <w:pPr>
        <w:spacing w:before="80" w:after="80"/>
        <w:jc w:val="both"/>
      </w:pPr>
      <w:r>
        <w:rPr>
          <w:rFonts w:ascii="Arial" w:cs="Arial" w:eastAsia="Arial" w:hAnsi="Arial"/>
          <w:sz w:val="22"/>
          <w:szCs w:val="22"/>
        </w:rPr>
        <w:t xml:space="preserve">Either Party may terminate this Agreement immediately upon written notice if: (a) the other Party materially breaches this Agreement and fails to cure such breach within thirty (30) days after receiving written notice describing the breach in reasonable detail; (b) the other Party becomes insolvent, makes a general assignment for the benefit of creditors, or becomes subject to bankruptcy or insolvency proceedings.</w:t>
      </w:r>
    </w:p>
    <w:p>
      <w:pPr>
        <w:spacing w:before="80" w:after="80"/>
      </w:pPr>
      <w:r>
        <w:t xml:space="preserve"/>
      </w:r>
    </w:p>
    <w:p>
      <w:pPr>
        <w:pStyle w:val="Heading2"/>
        <w:spacing w:before="240" w:after="80"/>
      </w:pPr>
      <w:r>
        <w:rPr>
          <w:rFonts w:ascii="Arial" w:cs="Arial" w:eastAsia="Arial" w:hAnsi="Arial"/>
          <w:b/>
          <w:bCs/>
          <w:sz w:val="24"/>
          <w:szCs w:val="24"/>
        </w:rPr>
        <w:t xml:space="preserve">8.3 Termination for Convenience</w:t>
      </w:r>
    </w:p>
    <w:p>
      <w:pPr>
        <w:spacing w:before="80" w:after="80"/>
        <w:jc w:val="both"/>
      </w:pPr>
      <w:r>
        <w:rPr>
          <w:rFonts w:ascii="Arial" w:cs="Arial" w:eastAsia="Arial" w:hAnsi="Arial"/>
          <w:sz w:val="22"/>
          <w:szCs w:val="22"/>
        </w:rPr>
        <w:t xml:space="preserve">After the first twelve (12) months of the Initial Term, Client may terminate this Agreement for convenience upon ninety (90) days' prior written notice, subject to payment of an early termination fee equal to two (2) months of the then-current MRF.</w:t>
      </w:r>
    </w:p>
    <w:p>
      <w:pPr>
        <w:spacing w:before="80" w:after="80"/>
      </w:pPr>
      <w:r>
        <w:t xml:space="preserve"/>
      </w:r>
    </w:p>
    <w:p>
      <w:pPr>
        <w:pStyle w:val="Heading2"/>
        <w:spacing w:before="240" w:after="80"/>
      </w:pPr>
      <w:r>
        <w:rPr>
          <w:rFonts w:ascii="Arial" w:cs="Arial" w:eastAsia="Arial" w:hAnsi="Arial"/>
          <w:b/>
          <w:bCs/>
          <w:sz w:val="24"/>
          <w:szCs w:val="24"/>
        </w:rPr>
        <w:t xml:space="preserve">8.4 Effect of Termination</w:t>
      </w:r>
    </w:p>
    <w:p>
      <w:pPr>
        <w:spacing w:before="80" w:after="80"/>
        <w:jc w:val="both"/>
      </w:pPr>
      <w:r>
        <w:rPr>
          <w:rFonts w:ascii="Arial" w:cs="Arial" w:eastAsia="Arial" w:hAnsi="Arial"/>
          <w:sz w:val="22"/>
          <w:szCs w:val="22"/>
        </w:rPr>
        <w:t xml:space="preserve">Upon termination or expiration: (a) each Party shall promptly return or destroy the other Party's Confidential Information; (b) Service Provider shall provide a transition assistance period of up to sixty (60) days at Client's written request, billed at standard Professional Services rates; and (c) all accrued payment obligations shall survive termination. Sections 5, 6, 7, 8.4, 9, and 10 shall survive expiration or termination of this Agreement.</w:t>
      </w:r>
    </w:p>
    <w:p>
      <w:pPr>
        <w:spacing w:before="80" w:after="80"/>
      </w:pPr>
      <w:r>
        <w:t xml:space="preserve"/>
      </w:r>
    </w:p>
    <w:p>
      <w:pPr>
        <w:pStyle w:val="Heading1"/>
        <w:spacing w:before="360" w:after="120"/>
      </w:pPr>
      <w:r>
        <w:rPr>
          <w:rFonts w:ascii="Arial" w:cs="Arial" w:eastAsia="Arial" w:hAnsi="Arial"/>
          <w:b/>
          <w:bCs/>
          <w:sz w:val="28"/>
          <w:szCs w:val="28"/>
        </w:rPr>
        <w:t xml:space="preserve">9. DISPUTE RESOLUTION</w:t>
      </w:r>
    </w:p>
    <w:p>
      <w:pPr>
        <w:spacing w:before="80" w:after="80"/>
        <w:jc w:val="both"/>
      </w:pPr>
      <w:r>
        <w:rPr>
          <w:rFonts w:ascii="Arial" w:cs="Arial" w:eastAsia="Arial" w:hAnsi="Arial"/>
          <w:sz w:val="22"/>
          <w:szCs w:val="22"/>
        </w:rPr>
        <w:t xml:space="preserve">The Parties shall attempt in good faith to resolve any dispute arising out of or relating to this Agreement through escalation to senior management within fifteen (15) days of a written request for such escalation. If senior management cannot resolve the dispute within thirty (30) days of such escalation, either Party may pursue mediation administered by JAMS in Chicago, Illinois. If mediation does not resolve the dispute within sixty (60) days, either Party may pursue binding arbitration under the JAMS Streamlined Arbitration Rules and Procedures.</w:t>
      </w:r>
    </w:p>
    <w:p>
      <w:pPr>
        <w:spacing w:before="80" w:after="80"/>
      </w:pPr>
      <w:r>
        <w:t xml:space="preserve"/>
      </w:r>
    </w:p>
    <w:p>
      <w:pPr>
        <w:spacing w:before="80" w:after="80"/>
        <w:jc w:val="both"/>
      </w:pPr>
      <w:r>
        <w:rPr>
          <w:rFonts w:ascii="Arial" w:cs="Arial" w:eastAsia="Arial" w:hAnsi="Arial"/>
          <w:sz w:val="22"/>
          <w:szCs w:val="22"/>
        </w:rPr>
        <w:t xml:space="preserve">Notwithstanding the foregoing, either Party may seek emergency injunctive relief in a court of competent jurisdiction to prevent irreparable harm. This Agreement shall be governed by the laws of the State of Illinois, without regard to its conflict of law provisions.</w:t>
      </w:r>
    </w:p>
    <w:p>
      <w:pPr>
        <w:spacing w:before="80" w:after="80"/>
      </w:pPr>
      <w:r>
        <w:t xml:space="preserve"/>
      </w:r>
    </w:p>
    <w:p>
      <w:pPr>
        <w:pStyle w:val="Heading1"/>
        <w:spacing w:before="360" w:after="120"/>
      </w:pPr>
      <w:r>
        <w:rPr>
          <w:rFonts w:ascii="Arial" w:cs="Arial" w:eastAsia="Arial" w:hAnsi="Arial"/>
          <w:b/>
          <w:bCs/>
          <w:sz w:val="28"/>
          <w:szCs w:val="28"/>
        </w:rPr>
        <w:t xml:space="preserve">10. GENERAL PROVISIONS</w:t>
      </w:r>
    </w:p>
    <w:p>
      <w:pPr>
        <w:spacing w:before="80" w:after="80"/>
      </w:pPr>
      <w:r>
        <w:rPr>
          <w:rFonts w:ascii="Arial" w:cs="Arial" w:eastAsia="Arial" w:hAnsi="Arial"/>
          <w:b/>
          <w:bCs/>
          <w:sz w:val="22"/>
          <w:szCs w:val="22"/>
        </w:rPr>
        <w:t xml:space="preserve">10.1 Entire Agreement. </w:t>
      </w:r>
      <w:r>
        <w:rPr>
          <w:rFonts w:ascii="Arial" w:cs="Arial" w:eastAsia="Arial" w:hAnsi="Arial"/>
          <w:sz w:val="22"/>
          <w:szCs w:val="22"/>
        </w:rPr>
        <w:t xml:space="preserve">This Agreement, together with all Schedules and Exhibits, constitutes the entire agreement between the Parties with respect to its subject matter and supersedes all prior and contemporaneous proposals, negotiations, representations, and understandings.</w:t>
      </w:r>
    </w:p>
    <w:p>
      <w:pPr>
        <w:spacing w:before="80" w:after="80"/>
      </w:pPr>
      <w:r>
        <w:rPr>
          <w:rFonts w:ascii="Arial" w:cs="Arial" w:eastAsia="Arial" w:hAnsi="Arial"/>
          <w:b/>
          <w:bCs/>
          <w:sz w:val="22"/>
          <w:szCs w:val="22"/>
        </w:rPr>
        <w:t xml:space="preserve">10.2 Amendments. </w:t>
      </w:r>
      <w:r>
        <w:rPr>
          <w:rFonts w:ascii="Arial" w:cs="Arial" w:eastAsia="Arial" w:hAnsi="Arial"/>
          <w:sz w:val="22"/>
          <w:szCs w:val="22"/>
        </w:rPr>
        <w:t xml:space="preserve">No amendment to this Agreement shall be valid unless made in writing and signed by authorized representatives of both Parties.</w:t>
      </w:r>
    </w:p>
    <w:p>
      <w:pPr>
        <w:spacing w:before="80" w:after="80"/>
      </w:pPr>
      <w:r>
        <w:rPr>
          <w:rFonts w:ascii="Arial" w:cs="Arial" w:eastAsia="Arial" w:hAnsi="Arial"/>
          <w:b/>
          <w:bCs/>
          <w:sz w:val="22"/>
          <w:szCs w:val="22"/>
        </w:rPr>
        <w:t xml:space="preserve">10.3 Assignment. </w:t>
      </w:r>
      <w:r>
        <w:rPr>
          <w:rFonts w:ascii="Arial" w:cs="Arial" w:eastAsia="Arial" w:hAnsi="Arial"/>
          <w:sz w:val="22"/>
          <w:szCs w:val="22"/>
        </w:rPr>
        <w:t xml:space="preserve">Neither Party may assign or transfer any of its rights or obligations under this Agreement without the prior written consent of the other Party, except that either Party may assign this Agreement in connection with a merger, acquisition, or sale of all or substantially all of its assets, provided the assignee agrees in writing to be bound by its terms.</w:t>
      </w:r>
    </w:p>
    <w:p>
      <w:pPr>
        <w:spacing w:before="80" w:after="80"/>
      </w:pPr>
      <w:r>
        <w:rPr>
          <w:rFonts w:ascii="Arial" w:cs="Arial" w:eastAsia="Arial" w:hAnsi="Arial"/>
          <w:b/>
          <w:bCs/>
          <w:sz w:val="22"/>
          <w:szCs w:val="22"/>
        </w:rPr>
        <w:t xml:space="preserve">10.4 Force Majeure. </w:t>
      </w:r>
      <w:r>
        <w:rPr>
          <w:rFonts w:ascii="Arial" w:cs="Arial" w:eastAsia="Arial" w:hAnsi="Arial"/>
          <w:sz w:val="22"/>
          <w:szCs w:val="22"/>
        </w:rPr>
        <w:t xml:space="preserve">Neither Party shall be liable for any delay or failure to perform its obligations (excluding payment obligations) to the extent caused by events beyond its reasonable control, including acts of God, government actions, pandemics, cyberattacks by nation-state actors, or failure of third-party internet infrastructure.</w:t>
      </w:r>
    </w:p>
    <w:p>
      <w:pPr>
        <w:spacing w:before="80" w:after="80"/>
      </w:pPr>
      <w:r>
        <w:rPr>
          <w:rFonts w:ascii="Arial" w:cs="Arial" w:eastAsia="Arial" w:hAnsi="Arial"/>
          <w:b/>
          <w:bCs/>
          <w:sz w:val="22"/>
          <w:szCs w:val="22"/>
        </w:rPr>
        <w:t xml:space="preserve">10.5 Notices. </w:t>
      </w:r>
      <w:r>
        <w:rPr>
          <w:rFonts w:ascii="Arial" w:cs="Arial" w:eastAsia="Arial" w:hAnsi="Arial"/>
          <w:sz w:val="22"/>
          <w:szCs w:val="22"/>
        </w:rPr>
        <w:t xml:space="preserve">All notices under this Agreement shall be in writing and delivered by certified mail, overnight courier, or email with read receipt to the addresses set forth on the cover page of this Agreement.</w:t>
      </w:r>
    </w:p>
    <w:p>
      <w:pPr>
        <w:spacing w:before="80" w:after="80"/>
      </w:pPr>
      <w:r>
        <w:rPr>
          <w:rFonts w:ascii="Arial" w:cs="Arial" w:eastAsia="Arial" w:hAnsi="Arial"/>
          <w:b/>
          <w:bCs/>
          <w:sz w:val="22"/>
          <w:szCs w:val="22"/>
        </w:rPr>
        <w:t xml:space="preserve">10.6 Severability. </w:t>
      </w:r>
      <w:r>
        <w:rPr>
          <w:rFonts w:ascii="Arial" w:cs="Arial" w:eastAsia="Arial" w:hAnsi="Arial"/>
          <w:sz w:val="22"/>
          <w:szCs w:val="22"/>
        </w:rPr>
        <w:t xml:space="preserve">If any provision of this Agreement is found to be invalid, illegal, or unenforceable, the remaining provisions shall continue in full force and effect.</w:t>
      </w:r>
    </w:p>
    <w:p>
      <w:pPr>
        <w:spacing w:before="80" w:after="80"/>
      </w:pPr>
      <w:r>
        <w:rPr>
          <w:rFonts w:ascii="Arial" w:cs="Arial" w:eastAsia="Arial" w:hAnsi="Arial"/>
          <w:b/>
          <w:bCs/>
          <w:sz w:val="22"/>
          <w:szCs w:val="22"/>
        </w:rPr>
        <w:t xml:space="preserve">10.7 Waiver. </w:t>
      </w:r>
      <w:r>
        <w:rPr>
          <w:rFonts w:ascii="Arial" w:cs="Arial" w:eastAsia="Arial" w:hAnsi="Arial"/>
          <w:sz w:val="22"/>
          <w:szCs w:val="22"/>
        </w:rPr>
        <w:t xml:space="preserve">No failure or delay by either Party in exercising any right under this Agreement shall operate as a waiver of such right.</w:t>
      </w:r>
    </w:p>
    <w:p>
      <w:pPr>
        <w:spacing w:before="80" w:after="80"/>
      </w:pPr>
      <w:r>
        <w:rPr>
          <w:rFonts w:ascii="Arial" w:cs="Arial" w:eastAsia="Arial" w:hAnsi="Arial"/>
          <w:b/>
          <w:bCs/>
          <w:sz w:val="22"/>
          <w:szCs w:val="22"/>
        </w:rPr>
        <w:t xml:space="preserve">10.8 Counterparts. </w:t>
      </w:r>
      <w:r>
        <w:rPr>
          <w:rFonts w:ascii="Arial" w:cs="Arial" w:eastAsia="Arial" w:hAnsi="Arial"/>
          <w:sz w:val="22"/>
          <w:szCs w:val="22"/>
        </w:rPr>
        <w:t xml:space="preserve">This Agreement may be executed in counterparts, each of which shall be deemed an original, and all of which together shall constitute one and the same instrument. Electronic signatures shall be deemed valid.</w:t>
      </w:r>
    </w:p>
    <w:p>
      <w:pPr>
        <w:spacing w:before="80" w:after="80"/>
      </w:pPr>
      <w:r>
        <w:t xml:space="preserve"/>
      </w:r>
    </w:p>
    <w:p>
      <w:pPr>
        <w:pBdr>
          <w:bottom w:val="single" w:color="2E75B6" w:sz="4" w:space="1"/>
        </w:pBdr>
        <w:spacing w:before="160" w:after="160"/>
      </w:pPr>
    </w:p>
    <w:p>
      <w:pPr>
        <w:spacing w:before="160" w:after="240"/>
        <w:jc w:val="center"/>
      </w:pPr>
      <w:r>
        <w:rPr>
          <w:rFonts w:ascii="Arial" w:cs="Arial" w:eastAsia="Arial" w:hAnsi="Arial"/>
          <w:b/>
          <w:bCs/>
          <w:color w:val="1F3864"/>
          <w:sz w:val="24"/>
          <w:szCs w:val="24"/>
        </w:rPr>
        <w:t xml:space="preserve">SIGNATURE PAGE</w:t>
      </w:r>
    </w:p>
    <w:p>
      <w:pPr>
        <w:spacing w:before="80" w:after="80"/>
        <w:jc w:val="both"/>
      </w:pPr>
      <w:r>
        <w:rPr>
          <w:rFonts w:ascii="Arial" w:cs="Arial" w:eastAsia="Arial" w:hAnsi="Arial"/>
          <w:sz w:val="22"/>
          <w:szCs w:val="22"/>
        </w:rPr>
        <w:t xml:space="preserve">IN WITNESS WHEREOF, the Parties have executed this Agreement as of the Effective Date first written above.</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NEXAVEX SYSTEMS, INC.</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BRIGHTSTONE ANALYTICS LLC</w:t>
            </w:r>
          </w:p>
        </w:tc>
      </w:tr>
      <w:tr>
        <w:tc>
          <w:tcPr>
            <w:tcW w:type="dxa" w:w="4440"/>
            <w:tcBorders>
              <w:top w:val="none" w:color="FFFFFF" w:sz="0"/>
              <w:left w:val="none" w:color="FFFFFF" w:sz="0"/>
              <w:bottom w:val="none" w:color="FFFFFF" w:sz="0"/>
              <w:right w:val="none" w:color="FFFFFF" w:sz="0"/>
            </w:tcBorders>
          </w:tcPr>
          <w:p>
            <w:pPr>
              <w:spacing w:before="80" w:after="80"/>
            </w:pPr>
            <w:r>
              <w:t xml:space="preserve"/>
            </w:r>
          </w:p>
          <w:p>
            <w:pPr>
              <w:spacing w:before="80" w:after="80"/>
            </w:pPr>
            <w:r>
              <w:t xml:space="preserve"/>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Pr>
          <w:p>
            <w:pPr>
              <w:spacing w:before="80" w:after="80"/>
            </w:pPr>
            <w:r>
              <w:t xml:space="preserve"/>
            </w:r>
          </w:p>
          <w:p>
            <w:pPr>
              <w:spacing w:before="80" w:after="80"/>
            </w:pPr>
            <w:r>
              <w:t xml:space="preserve"/>
            </w:r>
          </w:p>
        </w:tc>
      </w:tr>
      <w:tr>
        <w:tc>
          <w:tcPr>
            <w:tcW w:type="dxa" w:w="4440"/>
            <w:tcBorders>
              <w:top w:val="single" w:color="000000" w:sz="4"/>
              <w:left w:val="none" w:color="FFFFFF" w:sz="0"/>
              <w:bottom w:val="none" w:color="FFFFFF" w:sz="0"/>
              <w:right w:val="none" w:color="FFFFFF" w:sz="0"/>
            </w:tcBorders>
          </w:tcPr>
          <w:p>
            <w:r>
              <w:rPr>
                <w:rFonts w:ascii="Arial" w:cs="Arial" w:eastAsia="Arial" w:hAnsi="Arial"/>
                <w:color w:val="888888"/>
                <w:sz w:val="20"/>
                <w:szCs w:val="20"/>
              </w:rPr>
              <w:t xml:space="preserve">Signature</w:t>
            </w:r>
          </w:p>
        </w:tc>
        <w:tc>
          <w:tcPr>
            <w:tcW w:type="dxa" w:w="480"/>
            <w:tcBorders>
              <w:top w:val="none" w:color="FFFFFF" w:sz="0"/>
              <w:left w:val="none" w:color="FFFFFF" w:sz="0"/>
              <w:bottom w:val="none" w:color="FFFFFF" w:sz="0"/>
              <w:right w:val="none" w:color="FFFFFF" w:sz="0"/>
            </w:tcBorders>
          </w:tcPr>
          <w:p/>
        </w:tc>
        <w:tc>
          <w:tcPr>
            <w:tcW w:type="dxa" w:w="4440"/>
            <w:tcBorders>
              <w:top w:val="single" w:color="000000" w:sz="4"/>
              <w:left w:val="none" w:color="FFFFFF" w:sz="0"/>
              <w:bottom w:val="none" w:color="FFFFFF" w:sz="0"/>
              <w:right w:val="none" w:color="FFFFFF" w:sz="0"/>
            </w:tcBorders>
          </w:tcPr>
          <w:p>
            <w:r>
              <w:rPr>
                <w:rFonts w:ascii="Arial" w:cs="Arial" w:eastAsia="Arial" w:hAnsi="Arial"/>
                <w:color w:val="888888"/>
                <w:sz w:val="20"/>
                <w:szCs w:val="20"/>
              </w:rPr>
              <w:t xml:space="preserve">Signature</w:t>
            </w:r>
          </w:p>
        </w:tc>
      </w:tr>
      <w:tr>
        <w:tc>
          <w:tcPr>
            <w:tcW w:type="dxa" w:w="4440"/>
            <w:tcBorders>
              <w:top w:val="none" w:color="FFFFFF" w:sz="0"/>
              <w:left w:val="none" w:color="FFFFFF" w:sz="0"/>
              <w:bottom w:val="none" w:color="FFFFFF" w:sz="0"/>
              <w:right w:val="none" w:color="FFFFFF" w:sz="0"/>
            </w:tcBorders>
            <w:tcMar>
              <w:top w:type="dxa" w:w="80"/>
            </w:tcMar>
          </w:tcPr>
          <w:p>
            <w:r>
              <w:rPr>
                <w:rFonts w:ascii="Arial" w:cs="Arial" w:eastAsia="Arial" w:hAnsi="Arial"/>
                <w:sz w:val="22"/>
                <w:szCs w:val="22"/>
              </w:rPr>
              <w:t xml:space="preserve">Name: Jonathan P. Hartley</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Mar>
              <w:top w:type="dxa" w:w="80"/>
            </w:tcMar>
          </w:tcPr>
          <w:p>
            <w:r>
              <w:rPr>
                <w:rFonts w:ascii="Arial" w:cs="Arial" w:eastAsia="Arial" w:hAnsi="Arial"/>
                <w:sz w:val="22"/>
                <w:szCs w:val="22"/>
              </w:rPr>
              <w:t xml:space="preserve">Name: Dr. Priya Sundaram</w:t>
            </w:r>
          </w:p>
        </w:tc>
      </w:tr>
      <w:tr>
        <w:tc>
          <w:tcPr>
            <w:tcW w:type="dxa" w:w="4440"/>
            <w:tcBorders>
              <w:top w:val="none" w:color="FFFFFF" w:sz="0"/>
              <w:left w:val="none" w:color="FFFFFF" w:sz="0"/>
              <w:bottom w:val="none" w:color="FFFFFF" w:sz="0"/>
              <w:right w:val="none" w:color="FFFFFF" w:sz="0"/>
            </w:tcBorders>
          </w:tcPr>
          <w:p>
            <w:r>
              <w:rPr>
                <w:rFonts w:ascii="Arial" w:cs="Arial" w:eastAsia="Arial" w:hAnsi="Arial"/>
                <w:sz w:val="22"/>
                <w:szCs w:val="22"/>
              </w:rPr>
              <w:t xml:space="preserve">Title: Chief Executive Officer</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Pr>
          <w:p>
            <w:r>
              <w:rPr>
                <w:rFonts w:ascii="Arial" w:cs="Arial" w:eastAsia="Arial" w:hAnsi="Arial"/>
                <w:sz w:val="22"/>
                <w:szCs w:val="22"/>
              </w:rPr>
              <w:t xml:space="preserve">Title: Chief Operating Officer</w:t>
            </w:r>
          </w:p>
        </w:tc>
      </w:tr>
      <w:tr>
        <w:tc>
          <w:tcPr>
            <w:tcW w:type="dxa" w:w="4440"/>
            <w:tcBorders>
              <w:top w:val="none" w:color="FFFFFF" w:sz="0"/>
              <w:left w:val="none" w:color="FFFFFF" w:sz="0"/>
              <w:bottom w:val="none" w:color="FFFFFF" w:sz="0"/>
              <w:right w:val="none" w:color="FFFFFF" w:sz="0"/>
            </w:tcBorders>
          </w:tcPr>
          <w:p>
            <w:r>
              <w:rPr>
                <w:rFonts w:ascii="Arial" w:cs="Arial" w:eastAsia="Arial" w:hAnsi="Arial"/>
                <w:sz w:val="22"/>
                <w:szCs w:val="22"/>
              </w:rPr>
              <w:t xml:space="preserve">Date: _______________________</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Pr>
          <w:p>
            <w:r>
              <w:rPr>
                <w:rFonts w:ascii="Arial" w:cs="Arial" w:eastAsia="Arial" w:hAnsi="Arial"/>
                <w:sz w:val="22"/>
                <w:szCs w:val="22"/>
              </w:rPr>
              <w:t xml:space="preserve">Date: _______________________</w:t>
            </w:r>
          </w:p>
        </w:tc>
      </w:tr>
    </w:tbl>
    <w:p>
      <w:pPr>
        <w:spacing w:before="80" w:after="80"/>
      </w:pPr>
      <w:r>
        <w:t xml:space="preserve"/>
      </w:r>
    </w:p>
    <w:p>
      <w:pPr>
        <w:pBdr>
          <w:bottom w:val="single" w:color="2E75B6" w:sz="4" w:space="1"/>
        </w:pBdr>
        <w:spacing w:before="160" w:after="160"/>
      </w:pPr>
    </w:p>
    <w:p>
      <w:pPr>
        <w:spacing w:before="80" w:after="80"/>
      </w:pPr>
      <w:r>
        <w:t xml:space="preserve"/>
      </w:r>
    </w:p>
    <w:p>
      <w:pPr>
        <w:jc w:val="center"/>
      </w:pPr>
      <w:r>
        <w:rPr>
          <w:rFonts w:ascii="Arial" w:cs="Arial" w:eastAsia="Arial" w:hAnsi="Arial"/>
          <w:i/>
          <w:iCs/>
          <w:color w:val="888888"/>
          <w:sz w:val="18"/>
          <w:szCs w:val="18"/>
        </w:rPr>
        <w:t xml:space="preserve">— SCHEDULES AVAILABLE UPON REQUEST —</w:t>
      </w:r>
    </w:p>
    <w:p>
      <w:pPr>
        <w:jc w:val="center"/>
      </w:pPr>
      <w:r>
        <w:rPr>
          <w:rFonts w:ascii="Arial" w:cs="Arial" w:eastAsia="Arial" w:hAnsi="Arial"/>
          <w:color w:val="888888"/>
          <w:sz w:val="18"/>
          <w:szCs w:val="18"/>
        </w:rPr>
        <w:t xml:space="preserve">Schedule A: Service Description  |  Schedule B: Supported Systems  |  Schedule C: SLA Details  |  Schedule D: Rate Card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8"/>
        <w:szCs w:val="18"/>
      </w:rPr>
      <w:t xml:space="preserve">Confidential — For Testing Purposes Only</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55555"/>
        <w:sz w:val="18"/>
        <w:szCs w:val="18"/>
      </w:rPr>
      <w:t xml:space="preserve">NEXAVEX SYSTEMS, INC.  |  MANAGED SUPPORT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2026-03-05T12:11:03.682Z</dcterms:created>
  <dcterms:modified xsi:type="dcterms:W3CDTF">2026-03-05T12:11:03.683Z</dcterms:modified>
</cp:coreProperties>
</file>

<file path=docProps/custom.xml><?xml version="1.0" encoding="utf-8"?>
<Properties xmlns="http://schemas.openxmlformats.org/officeDocument/2006/custom-properties" xmlns:vt="http://schemas.openxmlformats.org/officeDocument/2006/docPropsVTypes"/>
</file>