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section in the course, which is all about getting to grips with cryptocurrency investing, an aspect which excites many who are getting in this ecosystem.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lecture I want to give you an introductory rundown of what we’ll be discussing in this section, before immersing ourselves with cryptocurrency investing. So lets take it from the top!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Why Day Trading Should Be Ignored For The Masses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We’ll kickstarting this section with a bang, discussing a very important topic. That being why day trading is something that should not be undertaken by the masses, especially those with little or no trading experience.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HODL Strategy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Moving on we’ll be discussing the most popular strategy deployed by those who invest in cryptocurrencies, in fact it is perhaps the most safe strategy for those getting involved.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What Are Initial Coin Offerings?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a term that has been thrown around massively in recent times, due to the large amounts of cash projects have been able to raise. Hence in this section, within this lecture, I will diving deeper into what an initial coin offering actually 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Tracking The Cryptocurrency Markets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you become an investor, you naturally are going to start tracking the markets as you should do. So in this lecture I’ll be sharing some of the best tools to utilise, to keep track of your portfolio.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What Are Security Token Offerings?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we reach this lecture you’ll be fully aware of initial coin offerings, from there I’ll switch over and help you to understand security token offerings and what makes them so different. As well as why so many businesses are now looking to switch their focus to these.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there we’ll then round off with a lecture summarising this section, but as a whole that is how this whole section is structured to help you invest in cryptocurrencies confidently. I look forward to seeing you in the next lecture, where we’ll be going over why day training should be ignored for the most part, if you’re a newbie when it comes to trading.</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