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to the final lecture in this section where we’ll summarise everything we went over. Following which, we’ll move onto the next section which will dive deeper into the ecosystem.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should now have clearer understanding when it comes to investing in cryptocurrencies, following this deep dive which touched upon every aspect of the ecosystem with you.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 is what we discussed in each lecture of this section, should you wish to refer back to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Why Day Trading Should Be Ignored For The Masses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This was something we needed to make crystal clear, how the cryptocurrency markets are so volatile. Hence we started the section with this lecture.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HODL Strategy</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many newbies get started in this space, they want to learn the best strategy they should be applying to maximise their returns. There in this lecture we discussed HODL’ing, which is perhaps the most safest strategy for most, but so happens has been one of the most profitable.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What Are Initial Coin Offerings?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Upon getting involved in the cryptocurrency space, it’s only a matter of time before you hear of initial coin offerings. Therefore, it’s something I wanted to help you understand clearly here.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Pros &amp; Coins Of Initial Coin Offerings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By this point you knew what initial coin offerings were, and due to the large numbers involved it excites many. But it was imperative that we discussed the pros and cons right in this lecture.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Difference Between Utility Tokens &amp; Security Tokens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Learning about ICO’s helps us to understand that the tokens issued are utility tokens, hence in this lecture I wanted to highlight what security tokens are as well as how they differ.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Tracking The Cryptocurrency Markets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Then to sum up this section, I highlighted some tools you should be making use of when it comes to tracking your brand new cryptocurrency investment portfolio.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that’s everything for this quick summary, should you wish to refer back to a specific lecture in this section. We look forward to seeing you in the next section of this course, where we’ll going over how to ensure your cryptocurrency setup is watertight, i.e. secure.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