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final lecture in this section where we’ll summarise everything we went over. Following which, we’ll move onto the next section which will dive into the practical elements of this ecosystem with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should now have clearer understanding when it comes to blockchain technology, following this deep dive which touched upon every aspect of the ecosystem with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what we discussed in each lecture of this section, should you wish to refer back to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What Is The Blockchain?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lecture we went over the general idea of what blockchain technology is, before discussing the deeper variations of blockchain technology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Private &amp; Public Blockchains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then swiftly moved onto discussing the various types of blockchain, simply because it cannot be described solely as one term. Highlighting the differences between private, public and consortium blockchains.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Example Use Cases Of Blockchains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this point you had an understanding of blockchain technology, in this lecture we showcased how all of this comes together to create real life uses cases.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What Are Smart Contracts?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lecture we went over smart contracts, which is a large proportion of the uses cases upon the blockchain - developing smart contracts. They power a whole range of uses cases, so that is something we discussed in this lecture.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How Widely Used Are Dapps?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we moved onto this lecture it was important for us to hone in on the fact of just how widely used decentralised applications (otherwise known as dapps) were. It may have surprised many.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Introducing Web 3.0</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blockchain technology is often referred to as being apart of the web 3.0 era, in this lecture we dived into just what being apart of the web 3.0 entailed.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The Blockchain We'll Be Working With</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Finally in this lecture we highlighted the blockchain we will be working with, hence as we move forward in the course to the practical elements it was clear to you.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that’s everything for this quick summary, should you wish to refer back to a specific lecture in this section. We look forward to seeing you in the next section of this course, where we will start going over the practical elements of this ecosystem.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