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ucgpdwz60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Dashboard Design Principles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 how to integrate different visualizations in a dashboard. See the below PDF with 23 Dashboard Design Principles &amp; Best Practices To Enhance Your Data Analysis.</w:t>
        <w:br w:type="textWrapping"/>
        <w:t xml:space="preserve">﻿﻿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925BEA5-AF0B-419F-8880-E42B2A79BA5A}"/>
</file>

<file path=customXml/itemProps2.xml><?xml version="1.0" encoding="utf-8"?>
<ds:datastoreItem xmlns:ds="http://schemas.openxmlformats.org/officeDocument/2006/customXml" ds:itemID="{0573E51D-0BB3-495A-88CF-CA6758121C39}"/>
</file>

<file path=customXml/itemProps3.xml><?xml version="1.0" encoding="utf-8"?>
<ds:datastoreItem xmlns:ds="http://schemas.openxmlformats.org/officeDocument/2006/customXml" ds:itemID="{3BC87B21-4677-4BA0-8962-F89003C01BD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