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﻿﻿As a data professional, remember that you speak a specific language.</w:t>
        <w:br w:type="textWrapping"/>
        <w:t xml:space="preserve">﻿﻿Different from many of your business colleagues.</w:t>
        <w:br w:type="textWrapping"/>
        <w:t xml:space="preserve">﻿﻿</w:t>
        <w:br w:type="textWrapping"/>
        <w:t xml:space="preserve">﻿﻿Next time, try to speak THEIR language.</w:t>
        <w:br w:type="textWrapping"/>
        <w:t xml:space="preserve">﻿﻿</w:t>
        <w:br w:type="textWrapping"/>
        <w:t xml:space="preserve">﻿﻿Because, when you speak the language of your audience –</w:t>
        <w:br w:type="textWrapping"/>
        <w:t xml:space="preserve">﻿﻿</w:t>
        <w:br w:type="textWrapping"/>
        <w:t xml:space="preserve">﻿﻿Your insights become magnetic.</w:t>
        <w:br w:type="textWrapping"/>
        <w:t xml:space="preserve">﻿﻿</w:t>
        <w:br w:type="textWrapping"/>
        <w:t xml:space="preserve">﻿﻿</w:t>
      </w:r>
      <w:r w:rsidDel="00000000" w:rsidR="00000000" w:rsidRPr="00000000">
        <w:rPr/>
        <w:drawing>
          <wp:inline distB="114300" distT="114300" distL="114300" distR="114300">
            <wp:extent cx="5943600" cy="770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n8op2d6z3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So, how do you speak the language of your audience?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answer this question in more depth later in the course.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 can already give you a quick tip: talk about revenue, profit, risk, and costs.</w:t>
        <w:br w:type="textWrapping"/>
        <w:t xml:space="preserve">﻿﻿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talking about how you did you analysis, talk about what the insights mean to your audience.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impact on THEM?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impact on their key metrics?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does it change revenue, profit, risk, or costs?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the focus of your message.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DB6636C-8B1C-4DA5-81C7-DD9580EF5C49}"/>
</file>

<file path=customXml/itemProps2.xml><?xml version="1.0" encoding="utf-8"?>
<ds:datastoreItem xmlns:ds="http://schemas.openxmlformats.org/officeDocument/2006/customXml" ds:itemID="{5A5311E5-E109-4A01-A724-F815AED7406E}"/>
</file>

<file path=customXml/itemProps3.xml><?xml version="1.0" encoding="utf-8"?>
<ds:datastoreItem xmlns:ds="http://schemas.openxmlformats.org/officeDocument/2006/customXml" ds:itemID="{5E461748-7881-4F96-90B9-7E0D0EF60B7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