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91880" w14:textId="60868DA9" w:rsidR="00F222FD" w:rsidRPr="00203765" w:rsidRDefault="00937292" w:rsidP="00633C26">
      <w:pPr>
        <w:pStyle w:val="Normalright"/>
        <w:rPr>
          <w:rFonts w:asciiTheme="minorHAnsi" w:hAnsiTheme="minorHAnsi"/>
          <w:b/>
          <w:szCs w:val="22"/>
        </w:rPr>
      </w:pPr>
      <w:r w:rsidRPr="00203765">
        <w:rPr>
          <w:rFonts w:asciiTheme="minorHAnsi" w:hAnsiTheme="minorHAnsi"/>
          <w:b/>
          <w:szCs w:val="22"/>
        </w:rPr>
        <w:t>Which data subject right allows the data subject to raise objections against the data controllers?</w:t>
      </w:r>
    </w:p>
    <w:p w14:paraId="2486D20C" w14:textId="0040261F" w:rsidR="00937292" w:rsidRPr="00A346FF" w:rsidRDefault="00937292" w:rsidP="00A346FF">
      <w:pPr>
        <w:pStyle w:val="Normalright"/>
        <w:numPr>
          <w:ilvl w:val="0"/>
          <w:numId w:val="38"/>
        </w:numPr>
        <w:rPr>
          <w:rFonts w:asciiTheme="minorHAnsi" w:hAnsiTheme="minorHAnsi"/>
          <w:szCs w:val="22"/>
        </w:rPr>
      </w:pPr>
      <w:r w:rsidRPr="00A346FF">
        <w:rPr>
          <w:rFonts w:asciiTheme="minorHAnsi" w:hAnsiTheme="minorHAnsi"/>
          <w:szCs w:val="22"/>
        </w:rPr>
        <w:t>The right to data portability</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A346FF">
        <w:rPr>
          <w:rFonts w:asciiTheme="minorHAnsi" w:hAnsiTheme="minorHAnsi"/>
          <w:i/>
          <w:szCs w:val="22"/>
        </w:rPr>
        <w:t xml:space="preserve"> </w:t>
      </w:r>
      <w:r w:rsidR="00A346FF" w:rsidRPr="00D550D9">
        <w:rPr>
          <w:rFonts w:asciiTheme="minorHAnsi" w:hAnsiTheme="minorHAnsi"/>
          <w:i/>
          <w:szCs w:val="22"/>
        </w:rPr>
        <w:t xml:space="preserve">according to this right the </w:t>
      </w:r>
      <w:r w:rsidR="00A346FF" w:rsidRPr="00D550D9">
        <w:rPr>
          <w:rFonts w:asciiTheme="minorHAnsi" w:eastAsia="Times New Roman" w:hAnsiTheme="minorHAnsi"/>
          <w:i/>
          <w:color w:val="222222"/>
          <w:szCs w:val="22"/>
        </w:rPr>
        <w:t>data subjects have the right to move, copy, or transfer personal data from one data controller to another</w:t>
      </w:r>
      <w:r w:rsidR="00A346FF">
        <w:rPr>
          <w:rFonts w:asciiTheme="minorHAnsi" w:eastAsia="Times New Roman" w:hAnsiTheme="minorHAnsi"/>
          <w:i/>
          <w:color w:val="222222"/>
          <w:szCs w:val="22"/>
        </w:rPr>
        <w:t>.</w:t>
      </w:r>
    </w:p>
    <w:p w14:paraId="45B70988" w14:textId="38EF6C26" w:rsidR="00937292" w:rsidRPr="00A346FF" w:rsidRDefault="00937292" w:rsidP="00A346FF">
      <w:pPr>
        <w:pStyle w:val="Normalright"/>
        <w:numPr>
          <w:ilvl w:val="0"/>
          <w:numId w:val="38"/>
        </w:numPr>
        <w:rPr>
          <w:rFonts w:asciiTheme="minorHAnsi" w:hAnsiTheme="minorHAnsi"/>
          <w:szCs w:val="22"/>
        </w:rPr>
      </w:pPr>
      <w:r w:rsidRPr="00A346FF">
        <w:rPr>
          <w:rFonts w:asciiTheme="minorHAnsi" w:hAnsiTheme="minorHAnsi"/>
          <w:szCs w:val="22"/>
          <w:lang w:val="en-IN"/>
        </w:rPr>
        <w:t>The right to object</w:t>
      </w:r>
      <w:r w:rsidR="00A346FF">
        <w:rPr>
          <w:rFonts w:asciiTheme="minorHAnsi" w:hAnsiTheme="minorHAnsi"/>
          <w:szCs w:val="22"/>
          <w:lang w:val="en-IN"/>
        </w:rPr>
        <w:t xml:space="preserve">. </w:t>
      </w:r>
      <w:r w:rsidR="00A346FF" w:rsidRPr="00D550D9">
        <w:rPr>
          <w:rFonts w:asciiTheme="minorHAnsi" w:hAnsiTheme="minorHAnsi"/>
          <w:i/>
          <w:szCs w:val="22"/>
        </w:rPr>
        <w:t>This option is correct because</w:t>
      </w:r>
      <w:r w:rsidR="00A346FF">
        <w:rPr>
          <w:rFonts w:asciiTheme="minorHAnsi" w:hAnsiTheme="minorHAnsi"/>
          <w:i/>
          <w:szCs w:val="22"/>
        </w:rPr>
        <w:t xml:space="preserve"> t</w:t>
      </w:r>
      <w:r w:rsidR="00A346FF" w:rsidRPr="00A346FF">
        <w:rPr>
          <w:rFonts w:asciiTheme="minorHAnsi" w:hAnsiTheme="minorHAnsi"/>
          <w:i/>
          <w:szCs w:val="22"/>
        </w:rPr>
        <w:t>he GDPR enhances th</w:t>
      </w:r>
      <w:r w:rsidR="00A346FF">
        <w:rPr>
          <w:rFonts w:asciiTheme="minorHAnsi" w:hAnsiTheme="minorHAnsi"/>
          <w:i/>
          <w:szCs w:val="22"/>
        </w:rPr>
        <w:t>e</w:t>
      </w:r>
      <w:r w:rsidR="00A346FF" w:rsidRPr="00A346FF">
        <w:rPr>
          <w:rFonts w:asciiTheme="minorHAnsi" w:hAnsiTheme="minorHAnsi"/>
          <w:i/>
          <w:szCs w:val="22"/>
        </w:rPr>
        <w:t xml:space="preserve"> law by allowing the data subject to raise objections against the data controllers and requires them to demonstrate that it either has compelling grounds for continuing the processing, or that the processing is necessary in connection with its legal rights</w:t>
      </w:r>
      <w:r w:rsidR="00A346FF">
        <w:rPr>
          <w:rFonts w:asciiTheme="minorHAnsi" w:hAnsiTheme="minorHAnsi"/>
          <w:i/>
          <w:szCs w:val="22"/>
        </w:rPr>
        <w:t xml:space="preserve"> under the right to object.</w:t>
      </w:r>
    </w:p>
    <w:p w14:paraId="228A8DC0" w14:textId="516F9BD7" w:rsidR="00937292" w:rsidRPr="00A346FF" w:rsidRDefault="00937292" w:rsidP="00A346FF">
      <w:pPr>
        <w:pStyle w:val="Normalright"/>
        <w:numPr>
          <w:ilvl w:val="0"/>
          <w:numId w:val="38"/>
        </w:numPr>
        <w:rPr>
          <w:rFonts w:asciiTheme="minorHAnsi" w:hAnsiTheme="minorHAnsi"/>
          <w:szCs w:val="22"/>
        </w:rPr>
      </w:pPr>
      <w:r w:rsidRPr="00A346FF">
        <w:rPr>
          <w:rFonts w:asciiTheme="minorHAnsi" w:hAnsiTheme="minorHAnsi"/>
          <w:szCs w:val="22"/>
        </w:rPr>
        <w:t xml:space="preserve">The </w:t>
      </w:r>
      <w:r w:rsidRPr="00A346FF">
        <w:rPr>
          <w:rFonts w:asciiTheme="minorHAnsi" w:eastAsia="Times New Roman" w:hAnsiTheme="minorHAnsi"/>
          <w:color w:val="222222"/>
          <w:szCs w:val="22"/>
        </w:rPr>
        <w:t>rights regarding Automated Decision making</w:t>
      </w:r>
      <w:r w:rsidR="00A346FF">
        <w:rPr>
          <w:rFonts w:asciiTheme="minorHAnsi" w:eastAsia="Times New Roman" w:hAnsiTheme="minorHAnsi"/>
          <w:color w:val="222222"/>
          <w:szCs w:val="22"/>
        </w:rPr>
        <w:t xml:space="preserve">. </w:t>
      </w:r>
      <w:r w:rsidR="00A346FF" w:rsidRPr="00D550D9">
        <w:rPr>
          <w:rFonts w:asciiTheme="minorHAnsi" w:hAnsiTheme="minorHAnsi"/>
          <w:i/>
          <w:szCs w:val="22"/>
        </w:rPr>
        <w:t>This option is incorrect because</w:t>
      </w:r>
      <w:r w:rsidR="00A346FF">
        <w:rPr>
          <w:rFonts w:asciiTheme="minorHAnsi" w:hAnsiTheme="minorHAnsi"/>
          <w:i/>
          <w:szCs w:val="22"/>
        </w:rPr>
        <w:t xml:space="preserve"> this right state that </w:t>
      </w:r>
      <w:r w:rsidR="00A346FF" w:rsidRPr="00A346FF">
        <w:rPr>
          <w:rFonts w:asciiTheme="minorHAnsi" w:hAnsiTheme="minorHAnsi"/>
          <w:i/>
          <w:szCs w:val="22"/>
          <w:lang w:val="en-IN"/>
        </w:rPr>
        <w:t xml:space="preserve">the </w:t>
      </w:r>
      <w:r w:rsidR="00A346FF" w:rsidRPr="00A346FF">
        <w:rPr>
          <w:rFonts w:asciiTheme="minorHAnsi" w:hAnsiTheme="minorHAnsi"/>
          <w:i/>
          <w:szCs w:val="22"/>
        </w:rPr>
        <w:t>data subjects have the right not to be subject to decisions based solely on automated processing which significantly affect them</w:t>
      </w:r>
      <w:r w:rsidR="00A346FF">
        <w:rPr>
          <w:rFonts w:asciiTheme="minorHAnsi" w:hAnsiTheme="minorHAnsi"/>
          <w:i/>
          <w:szCs w:val="22"/>
        </w:rPr>
        <w:t>.</w:t>
      </w:r>
    </w:p>
    <w:p w14:paraId="4DEAF18F" w14:textId="04234314" w:rsidR="00937292" w:rsidRPr="00A346FF" w:rsidRDefault="00937292" w:rsidP="00A346FF">
      <w:pPr>
        <w:pStyle w:val="Normalright"/>
        <w:numPr>
          <w:ilvl w:val="0"/>
          <w:numId w:val="38"/>
        </w:numPr>
        <w:rPr>
          <w:rFonts w:asciiTheme="minorHAnsi" w:hAnsiTheme="minorHAnsi"/>
          <w:szCs w:val="22"/>
        </w:rPr>
      </w:pPr>
      <w:r w:rsidRPr="00A346FF">
        <w:rPr>
          <w:rFonts w:asciiTheme="minorHAnsi" w:hAnsiTheme="minorHAnsi"/>
          <w:szCs w:val="22"/>
        </w:rPr>
        <w:t>The right to bring class actions</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A346FF">
        <w:rPr>
          <w:rFonts w:asciiTheme="minorHAnsi" w:hAnsiTheme="minorHAnsi"/>
          <w:i/>
          <w:szCs w:val="22"/>
        </w:rPr>
        <w:t xml:space="preserve"> under this right t</w:t>
      </w:r>
      <w:r w:rsidR="00A346FF" w:rsidRPr="00A346FF">
        <w:rPr>
          <w:rFonts w:asciiTheme="minorHAnsi" w:hAnsiTheme="minorHAnsi"/>
          <w:i/>
          <w:szCs w:val="22"/>
        </w:rPr>
        <w:t>he GDPR permits data subjects the right to be collectively represented by not-for-profit bodies</w:t>
      </w:r>
      <w:r w:rsidR="00FC7EC7">
        <w:rPr>
          <w:rFonts w:asciiTheme="minorHAnsi" w:hAnsiTheme="minorHAnsi"/>
          <w:i/>
          <w:szCs w:val="22"/>
        </w:rPr>
        <w:t>.</w:t>
      </w:r>
    </w:p>
    <w:p w14:paraId="461686D7" w14:textId="1914720A" w:rsidR="00937292" w:rsidRPr="00A346FF" w:rsidRDefault="00937292" w:rsidP="00633C26">
      <w:pPr>
        <w:pStyle w:val="Normalright"/>
        <w:rPr>
          <w:rFonts w:asciiTheme="minorHAnsi" w:hAnsiTheme="minorHAnsi"/>
          <w:szCs w:val="22"/>
        </w:rPr>
      </w:pPr>
      <w:r w:rsidRPr="00A346FF">
        <w:rPr>
          <w:rFonts w:asciiTheme="minorHAnsi" w:hAnsiTheme="minorHAnsi"/>
          <w:szCs w:val="22"/>
        </w:rPr>
        <w:t>Answer: b)</w:t>
      </w:r>
      <w:r w:rsidR="00A346FF">
        <w:rPr>
          <w:rFonts w:asciiTheme="minorHAnsi" w:hAnsiTheme="minorHAnsi"/>
          <w:szCs w:val="22"/>
        </w:rPr>
        <w:t xml:space="preserve"> </w:t>
      </w:r>
      <w:r w:rsidR="00A346FF" w:rsidRPr="00A346FF">
        <w:rPr>
          <w:rFonts w:asciiTheme="minorHAnsi" w:hAnsiTheme="minorHAnsi"/>
          <w:szCs w:val="22"/>
          <w:lang w:val="en-IN"/>
        </w:rPr>
        <w:t>The right to object</w:t>
      </w:r>
      <w:r w:rsidR="00A346FF">
        <w:rPr>
          <w:rFonts w:asciiTheme="minorHAnsi" w:hAnsiTheme="minorHAnsi"/>
          <w:szCs w:val="22"/>
          <w:lang w:val="en-IN"/>
        </w:rPr>
        <w:t>.</w:t>
      </w:r>
    </w:p>
    <w:p w14:paraId="7C6ABBC0" w14:textId="25B1B45B" w:rsidR="00937292" w:rsidRPr="00A346FF" w:rsidRDefault="00937292" w:rsidP="00633C26">
      <w:pPr>
        <w:pStyle w:val="Normalright"/>
        <w:rPr>
          <w:rFonts w:asciiTheme="minorHAnsi" w:hAnsiTheme="minorHAnsi"/>
          <w:szCs w:val="22"/>
        </w:rPr>
      </w:pPr>
    </w:p>
    <w:p w14:paraId="2D60C76C" w14:textId="1AFBBEC3" w:rsidR="00937292" w:rsidRPr="00A346FF" w:rsidRDefault="00937292" w:rsidP="00633C26">
      <w:pPr>
        <w:pStyle w:val="Normalright"/>
        <w:rPr>
          <w:rFonts w:asciiTheme="minorHAnsi" w:hAnsiTheme="minorHAnsi"/>
          <w:szCs w:val="22"/>
        </w:rPr>
      </w:pPr>
    </w:p>
    <w:p w14:paraId="46D1F370" w14:textId="36738ED6" w:rsidR="00937292" w:rsidRPr="00F37DAD" w:rsidRDefault="00937292" w:rsidP="00633C26">
      <w:pPr>
        <w:pStyle w:val="Normalright"/>
        <w:rPr>
          <w:rFonts w:asciiTheme="minorHAnsi" w:eastAsia="Times New Roman" w:hAnsiTheme="minorHAnsi"/>
          <w:b/>
          <w:color w:val="222222"/>
          <w:szCs w:val="22"/>
        </w:rPr>
      </w:pPr>
      <w:r w:rsidRPr="00F37DAD">
        <w:rPr>
          <w:rFonts w:asciiTheme="minorHAnsi" w:hAnsiTheme="minorHAnsi"/>
          <w:b/>
          <w:szCs w:val="22"/>
        </w:rPr>
        <w:t xml:space="preserve">Under which data subject right, </w:t>
      </w:r>
      <w:r w:rsidRPr="00F37DAD">
        <w:rPr>
          <w:rFonts w:asciiTheme="minorHAnsi" w:eastAsia="Times New Roman" w:hAnsiTheme="minorHAnsi"/>
          <w:b/>
          <w:color w:val="222222"/>
          <w:szCs w:val="22"/>
        </w:rPr>
        <w:t>the data subject has the right to demand human intervention, rather than having important decisions made solely by algorithm.</w:t>
      </w:r>
    </w:p>
    <w:p w14:paraId="2A423EAC" w14:textId="51284C07" w:rsidR="00937292" w:rsidRPr="00A346FF" w:rsidRDefault="00937292" w:rsidP="00DC2D35">
      <w:pPr>
        <w:pStyle w:val="Normalright"/>
        <w:numPr>
          <w:ilvl w:val="0"/>
          <w:numId w:val="39"/>
        </w:numPr>
        <w:rPr>
          <w:rFonts w:asciiTheme="minorHAnsi" w:hAnsiTheme="minorHAnsi"/>
          <w:szCs w:val="22"/>
        </w:rPr>
      </w:pPr>
      <w:r w:rsidRPr="00A346FF">
        <w:rPr>
          <w:rFonts w:asciiTheme="minorHAnsi" w:hAnsiTheme="minorHAnsi"/>
          <w:szCs w:val="22"/>
        </w:rPr>
        <w:t xml:space="preserve">The </w:t>
      </w:r>
      <w:r w:rsidRPr="00A346FF">
        <w:rPr>
          <w:rFonts w:asciiTheme="minorHAnsi" w:eastAsia="Times New Roman" w:hAnsiTheme="minorHAnsi"/>
          <w:color w:val="222222"/>
          <w:szCs w:val="22"/>
        </w:rPr>
        <w:t>rights regarding Automated Decision making</w:t>
      </w:r>
      <w:r w:rsidR="00A346FF">
        <w:rPr>
          <w:rFonts w:asciiTheme="minorHAnsi" w:eastAsia="Times New Roman" w:hAnsiTheme="minorHAnsi"/>
          <w:color w:val="222222"/>
          <w:szCs w:val="22"/>
        </w:rPr>
        <w:t xml:space="preserve">. </w:t>
      </w:r>
      <w:r w:rsidR="00A346FF" w:rsidRPr="00D550D9">
        <w:rPr>
          <w:rFonts w:asciiTheme="minorHAnsi" w:hAnsiTheme="minorHAnsi"/>
          <w:i/>
          <w:szCs w:val="22"/>
        </w:rPr>
        <w:t>This option is correct because</w:t>
      </w:r>
      <w:r w:rsidR="00DC2D35">
        <w:rPr>
          <w:rFonts w:asciiTheme="minorHAnsi" w:hAnsiTheme="minorHAnsi"/>
          <w:i/>
          <w:szCs w:val="22"/>
        </w:rPr>
        <w:t xml:space="preserve"> under this a</w:t>
      </w:r>
      <w:r w:rsidR="00DC2D35" w:rsidRPr="00DC2D35">
        <w:rPr>
          <w:rFonts w:asciiTheme="minorHAnsi" w:hAnsiTheme="minorHAnsi"/>
          <w:i/>
          <w:szCs w:val="22"/>
        </w:rPr>
        <w:t xml:space="preserve"> data subject has the right to demand human intervention, rather than having important decisions made solely by algorithm.</w:t>
      </w:r>
    </w:p>
    <w:p w14:paraId="110FB103" w14:textId="4F162205" w:rsidR="00937292" w:rsidRPr="00A346FF" w:rsidRDefault="00937292" w:rsidP="00203765">
      <w:pPr>
        <w:pStyle w:val="Normalright"/>
        <w:numPr>
          <w:ilvl w:val="0"/>
          <w:numId w:val="39"/>
        </w:numPr>
        <w:rPr>
          <w:rFonts w:asciiTheme="minorHAnsi" w:hAnsiTheme="minorHAnsi"/>
          <w:szCs w:val="22"/>
        </w:rPr>
      </w:pPr>
      <w:r w:rsidRPr="00A346FF">
        <w:rPr>
          <w:rFonts w:asciiTheme="minorHAnsi" w:hAnsiTheme="minorHAnsi"/>
          <w:szCs w:val="22"/>
        </w:rPr>
        <w:t>The right to data portability</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DC2D35">
        <w:rPr>
          <w:rFonts w:asciiTheme="minorHAnsi" w:hAnsiTheme="minorHAnsi"/>
          <w:i/>
          <w:szCs w:val="22"/>
        </w:rPr>
        <w:t xml:space="preserve"> </w:t>
      </w:r>
      <w:r w:rsidR="00DC2D35" w:rsidRPr="00D550D9">
        <w:rPr>
          <w:rFonts w:asciiTheme="minorHAnsi" w:hAnsiTheme="minorHAnsi"/>
          <w:i/>
          <w:szCs w:val="22"/>
        </w:rPr>
        <w:t xml:space="preserve">according to this right the </w:t>
      </w:r>
      <w:r w:rsidR="00DC2D35" w:rsidRPr="00D550D9">
        <w:rPr>
          <w:rFonts w:asciiTheme="minorHAnsi" w:eastAsia="Times New Roman" w:hAnsiTheme="minorHAnsi"/>
          <w:i/>
          <w:color w:val="222222"/>
          <w:szCs w:val="22"/>
        </w:rPr>
        <w:t>data subjects have the right to move, copy, or transfer personal data from one data controller to another</w:t>
      </w:r>
      <w:r w:rsidR="00DC2D35">
        <w:rPr>
          <w:rFonts w:asciiTheme="minorHAnsi" w:eastAsia="Times New Roman" w:hAnsiTheme="minorHAnsi"/>
          <w:i/>
          <w:color w:val="222222"/>
          <w:szCs w:val="22"/>
        </w:rPr>
        <w:t>.</w:t>
      </w:r>
    </w:p>
    <w:p w14:paraId="22067391" w14:textId="415EFC00" w:rsidR="00937292" w:rsidRPr="00A346FF" w:rsidRDefault="00937292" w:rsidP="00203765">
      <w:pPr>
        <w:pStyle w:val="Normalright"/>
        <w:numPr>
          <w:ilvl w:val="0"/>
          <w:numId w:val="39"/>
        </w:numPr>
        <w:rPr>
          <w:rFonts w:asciiTheme="minorHAnsi" w:hAnsiTheme="minorHAnsi"/>
          <w:szCs w:val="22"/>
        </w:rPr>
      </w:pPr>
      <w:r w:rsidRPr="00A346FF">
        <w:rPr>
          <w:rFonts w:asciiTheme="minorHAnsi" w:hAnsiTheme="minorHAnsi"/>
          <w:szCs w:val="22"/>
          <w:lang w:val="en-IN"/>
        </w:rPr>
        <w:t>The right to object</w:t>
      </w:r>
      <w:r w:rsidR="00A346FF">
        <w:rPr>
          <w:rFonts w:asciiTheme="minorHAnsi" w:hAnsiTheme="minorHAnsi"/>
          <w:szCs w:val="22"/>
          <w:lang w:val="en-IN"/>
        </w:rPr>
        <w:t xml:space="preserve">. </w:t>
      </w:r>
      <w:r w:rsidR="00A346FF" w:rsidRPr="00D550D9">
        <w:rPr>
          <w:rFonts w:asciiTheme="minorHAnsi" w:hAnsiTheme="minorHAnsi"/>
          <w:i/>
          <w:szCs w:val="22"/>
        </w:rPr>
        <w:t>This option is incorrect because</w:t>
      </w:r>
      <w:r w:rsidR="00DC2D35">
        <w:rPr>
          <w:rFonts w:asciiTheme="minorHAnsi" w:hAnsiTheme="minorHAnsi"/>
          <w:i/>
          <w:szCs w:val="22"/>
        </w:rPr>
        <w:t xml:space="preserve"> under this right</w:t>
      </w:r>
      <w:r w:rsidR="00DC2D35" w:rsidRPr="00A346FF">
        <w:rPr>
          <w:rFonts w:asciiTheme="minorHAnsi" w:hAnsiTheme="minorHAnsi"/>
          <w:i/>
          <w:szCs w:val="22"/>
        </w:rPr>
        <w:t xml:space="preserve"> the data subject </w:t>
      </w:r>
      <w:r w:rsidR="00DC2D35">
        <w:rPr>
          <w:rFonts w:asciiTheme="minorHAnsi" w:hAnsiTheme="minorHAnsi"/>
          <w:i/>
          <w:szCs w:val="22"/>
        </w:rPr>
        <w:t>can</w:t>
      </w:r>
      <w:r w:rsidR="00DC2D35" w:rsidRPr="00A346FF">
        <w:rPr>
          <w:rFonts w:asciiTheme="minorHAnsi" w:hAnsiTheme="minorHAnsi"/>
          <w:i/>
          <w:szCs w:val="22"/>
        </w:rPr>
        <w:t xml:space="preserve"> raise objections against the data controllers and requires them to demonstrate that it either has compelling grounds for continuing the processing, or that the processing is necessary in connection with its legal rights</w:t>
      </w:r>
      <w:r w:rsidR="00DC2D35">
        <w:rPr>
          <w:rFonts w:asciiTheme="minorHAnsi" w:hAnsiTheme="minorHAnsi"/>
          <w:i/>
          <w:szCs w:val="22"/>
        </w:rPr>
        <w:t xml:space="preserve"> under the right to object</w:t>
      </w:r>
      <w:r w:rsidR="00DC2D35">
        <w:rPr>
          <w:rFonts w:asciiTheme="minorHAnsi" w:hAnsiTheme="minorHAnsi"/>
          <w:i/>
          <w:szCs w:val="22"/>
        </w:rPr>
        <w:t>.</w:t>
      </w:r>
    </w:p>
    <w:p w14:paraId="5E6656B8" w14:textId="776BF858" w:rsidR="00937292" w:rsidRPr="00A346FF" w:rsidRDefault="00937292" w:rsidP="00203765">
      <w:pPr>
        <w:pStyle w:val="Normalright"/>
        <w:numPr>
          <w:ilvl w:val="0"/>
          <w:numId w:val="39"/>
        </w:numPr>
        <w:rPr>
          <w:rFonts w:asciiTheme="minorHAnsi" w:hAnsiTheme="minorHAnsi"/>
          <w:szCs w:val="22"/>
        </w:rPr>
      </w:pPr>
      <w:r w:rsidRPr="00A346FF">
        <w:rPr>
          <w:rFonts w:asciiTheme="minorHAnsi" w:hAnsiTheme="minorHAnsi"/>
          <w:szCs w:val="22"/>
        </w:rPr>
        <w:t>The right to bring class actions</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FC7EC7">
        <w:rPr>
          <w:rFonts w:asciiTheme="minorHAnsi" w:hAnsiTheme="minorHAnsi"/>
          <w:i/>
          <w:szCs w:val="22"/>
        </w:rPr>
        <w:t xml:space="preserve"> </w:t>
      </w:r>
      <w:r w:rsidR="00FC7EC7">
        <w:rPr>
          <w:rFonts w:asciiTheme="minorHAnsi" w:hAnsiTheme="minorHAnsi"/>
          <w:i/>
          <w:szCs w:val="22"/>
        </w:rPr>
        <w:t>under this right t</w:t>
      </w:r>
      <w:r w:rsidR="00FC7EC7" w:rsidRPr="00A346FF">
        <w:rPr>
          <w:rFonts w:asciiTheme="minorHAnsi" w:hAnsiTheme="minorHAnsi"/>
          <w:i/>
          <w:szCs w:val="22"/>
        </w:rPr>
        <w:t>he GDPR permits data subjects the right to be collectively represented by not-for-profit bodies</w:t>
      </w:r>
      <w:r w:rsidR="00FC7EC7">
        <w:rPr>
          <w:rFonts w:asciiTheme="minorHAnsi" w:hAnsiTheme="minorHAnsi"/>
          <w:i/>
          <w:szCs w:val="22"/>
        </w:rPr>
        <w:t>.</w:t>
      </w:r>
    </w:p>
    <w:p w14:paraId="1719C583" w14:textId="2BA5F72F" w:rsidR="00937292" w:rsidRPr="00A346FF" w:rsidRDefault="00937292" w:rsidP="00633C26">
      <w:pPr>
        <w:pStyle w:val="Normalright"/>
        <w:rPr>
          <w:rFonts w:asciiTheme="minorHAnsi" w:hAnsiTheme="minorHAnsi"/>
          <w:szCs w:val="22"/>
        </w:rPr>
      </w:pPr>
      <w:r w:rsidRPr="00A346FF">
        <w:rPr>
          <w:rFonts w:asciiTheme="minorHAnsi" w:hAnsiTheme="minorHAnsi"/>
          <w:szCs w:val="22"/>
        </w:rPr>
        <w:t>Answer: a)</w:t>
      </w:r>
      <w:r w:rsidR="00203765">
        <w:rPr>
          <w:rFonts w:asciiTheme="minorHAnsi" w:hAnsiTheme="minorHAnsi"/>
          <w:szCs w:val="22"/>
        </w:rPr>
        <w:t xml:space="preserve"> </w:t>
      </w:r>
      <w:r w:rsidR="00203765" w:rsidRPr="00A346FF">
        <w:rPr>
          <w:rFonts w:asciiTheme="minorHAnsi" w:hAnsiTheme="minorHAnsi"/>
          <w:szCs w:val="22"/>
        </w:rPr>
        <w:t xml:space="preserve">The </w:t>
      </w:r>
      <w:r w:rsidR="00203765" w:rsidRPr="00A346FF">
        <w:rPr>
          <w:rFonts w:asciiTheme="minorHAnsi" w:eastAsia="Times New Roman" w:hAnsiTheme="minorHAnsi"/>
          <w:color w:val="222222"/>
          <w:szCs w:val="22"/>
        </w:rPr>
        <w:t>rights regarding Automated Decision making</w:t>
      </w:r>
      <w:r w:rsidR="00203765">
        <w:rPr>
          <w:rFonts w:asciiTheme="minorHAnsi" w:eastAsia="Times New Roman" w:hAnsiTheme="minorHAnsi"/>
          <w:color w:val="222222"/>
          <w:szCs w:val="22"/>
        </w:rPr>
        <w:t>.</w:t>
      </w:r>
    </w:p>
    <w:p w14:paraId="54DEA303" w14:textId="7C20966F" w:rsidR="00937292" w:rsidRPr="00A346FF" w:rsidRDefault="00937292" w:rsidP="00633C26">
      <w:pPr>
        <w:pStyle w:val="Normalright"/>
        <w:rPr>
          <w:rFonts w:asciiTheme="minorHAnsi" w:hAnsiTheme="minorHAnsi"/>
          <w:szCs w:val="22"/>
        </w:rPr>
      </w:pPr>
    </w:p>
    <w:p w14:paraId="09381331" w14:textId="474503CF" w:rsidR="00937292" w:rsidRPr="00A346FF" w:rsidRDefault="00937292" w:rsidP="00633C26">
      <w:pPr>
        <w:pStyle w:val="Normalright"/>
        <w:rPr>
          <w:rFonts w:asciiTheme="minorHAnsi" w:hAnsiTheme="minorHAnsi"/>
          <w:szCs w:val="22"/>
        </w:rPr>
      </w:pPr>
    </w:p>
    <w:p w14:paraId="3DB00134" w14:textId="09AC4EC5" w:rsidR="00937292" w:rsidRPr="00F37DAD" w:rsidRDefault="00400ACF" w:rsidP="00633C26">
      <w:pPr>
        <w:pStyle w:val="Normalright"/>
        <w:rPr>
          <w:rFonts w:asciiTheme="minorHAnsi" w:hAnsiTheme="minorHAnsi"/>
          <w:b/>
          <w:szCs w:val="22"/>
        </w:rPr>
      </w:pPr>
      <w:r w:rsidRPr="00F37DAD">
        <w:rPr>
          <w:rFonts w:asciiTheme="minorHAnsi" w:eastAsia="Times New Roman" w:hAnsiTheme="minorHAnsi"/>
          <w:b/>
          <w:color w:val="222222"/>
          <w:szCs w:val="22"/>
        </w:rPr>
        <w:t>Which type of</w:t>
      </w:r>
      <w:r w:rsidR="00937292" w:rsidRPr="00F37DAD">
        <w:rPr>
          <w:rFonts w:asciiTheme="minorHAnsi" w:eastAsia="Times New Roman" w:hAnsiTheme="minorHAnsi"/>
          <w:b/>
          <w:color w:val="222222"/>
          <w:szCs w:val="22"/>
        </w:rPr>
        <w:t xml:space="preserve"> decision making could include profiling, such as that of an insurance company when creating a quote</w:t>
      </w:r>
      <w:r w:rsidRPr="00F37DAD">
        <w:rPr>
          <w:rFonts w:asciiTheme="minorHAnsi" w:eastAsia="Times New Roman" w:hAnsiTheme="minorHAnsi"/>
          <w:b/>
          <w:color w:val="222222"/>
          <w:szCs w:val="22"/>
        </w:rPr>
        <w:t>?</w:t>
      </w:r>
    </w:p>
    <w:p w14:paraId="014B0213" w14:textId="1AD97EE7" w:rsidR="00937292" w:rsidRPr="00A346FF" w:rsidRDefault="00937292" w:rsidP="00400ACF">
      <w:pPr>
        <w:pStyle w:val="Normalright"/>
        <w:numPr>
          <w:ilvl w:val="0"/>
          <w:numId w:val="40"/>
        </w:numPr>
        <w:rPr>
          <w:rFonts w:asciiTheme="minorHAnsi" w:hAnsiTheme="minorHAnsi"/>
          <w:szCs w:val="22"/>
        </w:rPr>
      </w:pPr>
      <w:r w:rsidRPr="00A346FF">
        <w:rPr>
          <w:rFonts w:asciiTheme="minorHAnsi" w:hAnsiTheme="minorHAnsi"/>
          <w:szCs w:val="22"/>
        </w:rPr>
        <w:lastRenderedPageBreak/>
        <w:t>Manual</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400ACF">
        <w:rPr>
          <w:rFonts w:asciiTheme="minorHAnsi" w:hAnsiTheme="minorHAnsi"/>
          <w:i/>
          <w:szCs w:val="22"/>
        </w:rPr>
        <w:t xml:space="preserve"> </w:t>
      </w:r>
      <w:r w:rsidR="00A900DC">
        <w:rPr>
          <w:rFonts w:asciiTheme="minorHAnsi" w:hAnsiTheme="minorHAnsi"/>
          <w:i/>
          <w:szCs w:val="22"/>
        </w:rPr>
        <w:t>manual</w:t>
      </w:r>
      <w:r w:rsidR="00A900DC" w:rsidRPr="00400ACF">
        <w:rPr>
          <w:rFonts w:asciiTheme="minorHAnsi" w:hAnsiTheme="minorHAnsi"/>
          <w:i/>
          <w:szCs w:val="22"/>
        </w:rPr>
        <w:t xml:space="preserve"> decision making could</w:t>
      </w:r>
      <w:r w:rsidR="00A900DC">
        <w:rPr>
          <w:rFonts w:asciiTheme="minorHAnsi" w:hAnsiTheme="minorHAnsi"/>
          <w:i/>
          <w:szCs w:val="22"/>
        </w:rPr>
        <w:t xml:space="preserve"> not</w:t>
      </w:r>
      <w:r w:rsidR="00A900DC" w:rsidRPr="00400ACF">
        <w:rPr>
          <w:rFonts w:asciiTheme="minorHAnsi" w:hAnsiTheme="minorHAnsi"/>
          <w:i/>
          <w:szCs w:val="22"/>
        </w:rPr>
        <w:t xml:space="preserve"> include profiling, such as that of an insurance company when creating a quote</w:t>
      </w:r>
      <w:r w:rsidR="00A900DC">
        <w:rPr>
          <w:rFonts w:asciiTheme="minorHAnsi" w:hAnsiTheme="minorHAnsi"/>
          <w:i/>
          <w:szCs w:val="22"/>
        </w:rPr>
        <w:t>.</w:t>
      </w:r>
    </w:p>
    <w:p w14:paraId="5B56106A" w14:textId="57A3B300" w:rsidR="00937292" w:rsidRPr="00A346FF" w:rsidRDefault="00937292" w:rsidP="00A900DC">
      <w:pPr>
        <w:pStyle w:val="Normalright"/>
        <w:numPr>
          <w:ilvl w:val="0"/>
          <w:numId w:val="40"/>
        </w:numPr>
        <w:rPr>
          <w:rFonts w:asciiTheme="minorHAnsi" w:hAnsiTheme="minorHAnsi"/>
          <w:szCs w:val="22"/>
        </w:rPr>
      </w:pPr>
      <w:r w:rsidRPr="00A346FF">
        <w:rPr>
          <w:rFonts w:asciiTheme="minorHAnsi" w:hAnsiTheme="minorHAnsi"/>
          <w:szCs w:val="22"/>
        </w:rPr>
        <w:t>Tactical</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A900DC">
        <w:rPr>
          <w:rFonts w:asciiTheme="minorHAnsi" w:hAnsiTheme="minorHAnsi"/>
          <w:i/>
          <w:szCs w:val="22"/>
        </w:rPr>
        <w:t xml:space="preserve"> t</w:t>
      </w:r>
      <w:r w:rsidR="00A900DC" w:rsidRPr="00A900DC">
        <w:rPr>
          <w:rFonts w:asciiTheme="minorHAnsi" w:hAnsiTheme="minorHAnsi"/>
          <w:i/>
          <w:szCs w:val="22"/>
        </w:rPr>
        <w:t>actical decisions are those which a manager makes over and over again adhering to certain established rules, policies and procedures</w:t>
      </w:r>
      <w:r w:rsidR="009A05C3">
        <w:rPr>
          <w:rFonts w:asciiTheme="minorHAnsi" w:hAnsiTheme="minorHAnsi"/>
          <w:i/>
          <w:szCs w:val="22"/>
        </w:rPr>
        <w:t>.</w:t>
      </w:r>
    </w:p>
    <w:p w14:paraId="7D6CAF86" w14:textId="4D18070F" w:rsidR="00937292" w:rsidRPr="00A346FF" w:rsidRDefault="00937292" w:rsidP="009A05C3">
      <w:pPr>
        <w:pStyle w:val="Normalright"/>
        <w:numPr>
          <w:ilvl w:val="0"/>
          <w:numId w:val="40"/>
        </w:numPr>
        <w:rPr>
          <w:rStyle w:val="Strong"/>
          <w:rFonts w:asciiTheme="minorHAnsi" w:hAnsiTheme="minorHAnsi"/>
          <w:b w:val="0"/>
          <w:szCs w:val="22"/>
        </w:rPr>
      </w:pPr>
      <w:r w:rsidRPr="00A346FF">
        <w:rPr>
          <w:rStyle w:val="Strong"/>
          <w:rFonts w:asciiTheme="minorHAnsi" w:hAnsiTheme="minorHAnsi"/>
          <w:b w:val="0"/>
          <w:szCs w:val="22"/>
        </w:rPr>
        <w:t>Basic and Routine</w:t>
      </w:r>
      <w:r w:rsidR="00A346FF">
        <w:rPr>
          <w:rStyle w:val="Strong"/>
          <w:rFonts w:asciiTheme="minorHAnsi" w:hAnsiTheme="minorHAnsi"/>
          <w:b w:val="0"/>
          <w:szCs w:val="22"/>
        </w:rPr>
        <w:t xml:space="preserve">. </w:t>
      </w:r>
      <w:r w:rsidR="00A346FF" w:rsidRPr="00D550D9">
        <w:rPr>
          <w:rFonts w:asciiTheme="minorHAnsi" w:hAnsiTheme="minorHAnsi"/>
          <w:i/>
          <w:szCs w:val="22"/>
        </w:rPr>
        <w:t>This option is incorrect because</w:t>
      </w:r>
      <w:r w:rsidR="009A05C3">
        <w:rPr>
          <w:rFonts w:asciiTheme="minorHAnsi" w:hAnsiTheme="minorHAnsi"/>
          <w:i/>
          <w:szCs w:val="22"/>
        </w:rPr>
        <w:t xml:space="preserve"> basic decisions are </w:t>
      </w:r>
      <w:r w:rsidR="009A05C3" w:rsidRPr="009A05C3">
        <w:rPr>
          <w:rFonts w:asciiTheme="minorHAnsi" w:hAnsiTheme="minorHAnsi"/>
          <w:i/>
          <w:szCs w:val="22"/>
        </w:rPr>
        <w:t>those which require a good deal of deliberation and are of crucial importance.</w:t>
      </w:r>
    </w:p>
    <w:p w14:paraId="3E87B45E" w14:textId="2D30A6D2" w:rsidR="00A74403" w:rsidRPr="00A346FF" w:rsidRDefault="00A74403" w:rsidP="00400ACF">
      <w:pPr>
        <w:pStyle w:val="Normalright"/>
        <w:numPr>
          <w:ilvl w:val="0"/>
          <w:numId w:val="40"/>
        </w:numPr>
        <w:rPr>
          <w:rFonts w:asciiTheme="minorHAnsi" w:eastAsia="Times New Roman" w:hAnsiTheme="minorHAnsi"/>
          <w:color w:val="222222"/>
          <w:szCs w:val="22"/>
        </w:rPr>
      </w:pPr>
      <w:r w:rsidRPr="00A346FF">
        <w:rPr>
          <w:rFonts w:asciiTheme="minorHAnsi" w:eastAsia="Times New Roman" w:hAnsiTheme="minorHAnsi"/>
          <w:color w:val="222222"/>
          <w:szCs w:val="22"/>
        </w:rPr>
        <w:t>Automated</w:t>
      </w:r>
      <w:r w:rsidR="00A346FF">
        <w:rPr>
          <w:rFonts w:asciiTheme="minorHAnsi" w:eastAsia="Times New Roman" w:hAnsiTheme="minorHAnsi"/>
          <w:color w:val="222222"/>
          <w:szCs w:val="22"/>
        </w:rPr>
        <w:t xml:space="preserve">. </w:t>
      </w:r>
      <w:r w:rsidR="00A346FF" w:rsidRPr="00D550D9">
        <w:rPr>
          <w:rFonts w:asciiTheme="minorHAnsi" w:hAnsiTheme="minorHAnsi"/>
          <w:i/>
          <w:szCs w:val="22"/>
        </w:rPr>
        <w:t>This option is correct because</w:t>
      </w:r>
      <w:r w:rsidR="00400ACF">
        <w:rPr>
          <w:rFonts w:asciiTheme="minorHAnsi" w:hAnsiTheme="minorHAnsi"/>
          <w:i/>
          <w:szCs w:val="22"/>
        </w:rPr>
        <w:t xml:space="preserve"> a</w:t>
      </w:r>
      <w:r w:rsidR="00400ACF" w:rsidRPr="00400ACF">
        <w:rPr>
          <w:rFonts w:asciiTheme="minorHAnsi" w:hAnsiTheme="minorHAnsi"/>
          <w:i/>
          <w:szCs w:val="22"/>
        </w:rPr>
        <w:t>utomated decision making could include profiling, such as that of an insurance company when creating a quote</w:t>
      </w:r>
      <w:r w:rsidR="00400ACF">
        <w:rPr>
          <w:rFonts w:asciiTheme="minorHAnsi" w:hAnsiTheme="minorHAnsi"/>
          <w:i/>
          <w:szCs w:val="22"/>
        </w:rPr>
        <w:t>.</w:t>
      </w:r>
    </w:p>
    <w:p w14:paraId="382F34E3" w14:textId="0C1E5B18" w:rsidR="00937292" w:rsidRPr="00A346FF" w:rsidRDefault="00937292" w:rsidP="00633C26">
      <w:pPr>
        <w:pStyle w:val="Normalright"/>
        <w:rPr>
          <w:rFonts w:asciiTheme="minorHAnsi" w:hAnsiTheme="minorHAnsi"/>
          <w:szCs w:val="22"/>
        </w:rPr>
      </w:pPr>
      <w:r w:rsidRPr="00A346FF">
        <w:rPr>
          <w:rFonts w:asciiTheme="minorHAnsi" w:hAnsiTheme="minorHAnsi"/>
          <w:szCs w:val="22"/>
        </w:rPr>
        <w:t xml:space="preserve">Answer: </w:t>
      </w:r>
      <w:r w:rsidR="00A74403" w:rsidRPr="00A346FF">
        <w:rPr>
          <w:rFonts w:asciiTheme="minorHAnsi" w:hAnsiTheme="minorHAnsi"/>
          <w:szCs w:val="22"/>
        </w:rPr>
        <w:t>d)</w:t>
      </w:r>
      <w:r w:rsidR="009A05C3">
        <w:rPr>
          <w:rFonts w:asciiTheme="minorHAnsi" w:hAnsiTheme="minorHAnsi"/>
          <w:szCs w:val="22"/>
        </w:rPr>
        <w:t xml:space="preserve"> Automated.</w:t>
      </w:r>
    </w:p>
    <w:p w14:paraId="3EBE973F" w14:textId="30BD2A13" w:rsidR="00A74403" w:rsidRPr="00A346FF" w:rsidRDefault="00A74403" w:rsidP="00633C26">
      <w:pPr>
        <w:pStyle w:val="Normalright"/>
        <w:rPr>
          <w:rFonts w:asciiTheme="minorHAnsi" w:hAnsiTheme="minorHAnsi"/>
          <w:szCs w:val="22"/>
        </w:rPr>
      </w:pPr>
    </w:p>
    <w:p w14:paraId="6403DABD" w14:textId="02EB7B93" w:rsidR="00A74403" w:rsidRPr="00A346FF" w:rsidRDefault="00A74403" w:rsidP="00633C26">
      <w:pPr>
        <w:pStyle w:val="Normalright"/>
        <w:rPr>
          <w:rFonts w:asciiTheme="minorHAnsi" w:hAnsiTheme="minorHAnsi"/>
          <w:szCs w:val="22"/>
        </w:rPr>
      </w:pPr>
    </w:p>
    <w:p w14:paraId="725CA594" w14:textId="36D0FDB9" w:rsidR="00633C26" w:rsidRPr="00F21E08" w:rsidRDefault="00633C26" w:rsidP="00633C26">
      <w:pPr>
        <w:pStyle w:val="Normalright"/>
        <w:rPr>
          <w:rFonts w:asciiTheme="minorHAnsi" w:eastAsia="Times New Roman" w:hAnsiTheme="minorHAnsi"/>
          <w:b/>
          <w:color w:val="222222"/>
          <w:szCs w:val="22"/>
        </w:rPr>
      </w:pPr>
      <w:r w:rsidRPr="00F21E08">
        <w:rPr>
          <w:rFonts w:asciiTheme="minorHAnsi" w:eastAsia="Times New Roman" w:hAnsiTheme="minorHAnsi"/>
          <w:b/>
          <w:color w:val="222222"/>
          <w:szCs w:val="22"/>
        </w:rPr>
        <w:t>Who is responsible for allowing data subjects to exercise their rights and to ensure that they can make effective use of them?</w:t>
      </w:r>
    </w:p>
    <w:p w14:paraId="16F384BB" w14:textId="74C97007" w:rsidR="00633C26" w:rsidRPr="00A346FF" w:rsidRDefault="00633C26" w:rsidP="00F21E08">
      <w:pPr>
        <w:pStyle w:val="Normalright"/>
        <w:numPr>
          <w:ilvl w:val="0"/>
          <w:numId w:val="41"/>
        </w:numPr>
        <w:rPr>
          <w:rFonts w:asciiTheme="minorHAnsi" w:hAnsiTheme="minorHAnsi"/>
          <w:szCs w:val="22"/>
        </w:rPr>
      </w:pPr>
      <w:r w:rsidRPr="00A346FF">
        <w:rPr>
          <w:rFonts w:asciiTheme="minorHAnsi" w:hAnsiTheme="minorHAnsi"/>
          <w:szCs w:val="22"/>
        </w:rPr>
        <w:t>Data Protection Officer</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F21E08">
        <w:rPr>
          <w:rFonts w:asciiTheme="minorHAnsi" w:hAnsiTheme="minorHAnsi"/>
          <w:i/>
          <w:szCs w:val="22"/>
        </w:rPr>
        <w:t xml:space="preserve"> d</w:t>
      </w:r>
      <w:r w:rsidR="00F21E08" w:rsidRPr="00F21E08">
        <w:rPr>
          <w:rFonts w:asciiTheme="minorHAnsi" w:hAnsiTheme="minorHAnsi"/>
          <w:i/>
          <w:szCs w:val="22"/>
        </w:rPr>
        <w:t>ata protection officers are responsible for overseeing data protection strategy and implementation to ensure compliance with GDPR requirements.</w:t>
      </w:r>
    </w:p>
    <w:p w14:paraId="1F692E9B" w14:textId="013B1797" w:rsidR="00633C26" w:rsidRPr="00A346FF" w:rsidRDefault="00633C26" w:rsidP="00F21E08">
      <w:pPr>
        <w:pStyle w:val="Normalright"/>
        <w:numPr>
          <w:ilvl w:val="0"/>
          <w:numId w:val="41"/>
        </w:numPr>
        <w:rPr>
          <w:rFonts w:asciiTheme="minorHAnsi" w:hAnsiTheme="minorHAnsi"/>
          <w:szCs w:val="22"/>
        </w:rPr>
      </w:pPr>
      <w:r w:rsidRPr="00A346FF">
        <w:rPr>
          <w:rFonts w:asciiTheme="minorHAnsi" w:hAnsiTheme="minorHAnsi"/>
          <w:szCs w:val="22"/>
        </w:rPr>
        <w:t>Supervisory Authority</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F21E08">
        <w:rPr>
          <w:rFonts w:asciiTheme="minorHAnsi" w:hAnsiTheme="minorHAnsi"/>
          <w:i/>
          <w:szCs w:val="22"/>
        </w:rPr>
        <w:t xml:space="preserve"> supervisory authority is </w:t>
      </w:r>
      <w:r w:rsidR="00F21E08" w:rsidRPr="00F21E08">
        <w:rPr>
          <w:rFonts w:asciiTheme="minorHAnsi" w:hAnsiTheme="minorHAnsi"/>
          <w:i/>
          <w:szCs w:val="22"/>
        </w:rPr>
        <w:t>responsible for monitoring the application of th</w:t>
      </w:r>
      <w:r w:rsidR="00F21E08">
        <w:rPr>
          <w:rFonts w:asciiTheme="minorHAnsi" w:hAnsiTheme="minorHAnsi"/>
          <w:i/>
          <w:szCs w:val="22"/>
        </w:rPr>
        <w:t>e</w:t>
      </w:r>
      <w:r w:rsidR="00F21E08" w:rsidRPr="00F21E08">
        <w:rPr>
          <w:rFonts w:asciiTheme="minorHAnsi" w:hAnsiTheme="minorHAnsi"/>
          <w:i/>
          <w:szCs w:val="22"/>
        </w:rPr>
        <w:t xml:space="preserve"> Regulation, in order to protect the fundamental rights and freedoms of natural persons in relation to processing</w:t>
      </w:r>
      <w:r w:rsidR="00F21E08">
        <w:rPr>
          <w:rFonts w:asciiTheme="minorHAnsi" w:hAnsiTheme="minorHAnsi"/>
          <w:i/>
          <w:szCs w:val="22"/>
        </w:rPr>
        <w:t>.</w:t>
      </w:r>
    </w:p>
    <w:p w14:paraId="488B7642" w14:textId="16A308AC" w:rsidR="00633C26" w:rsidRPr="00A346FF" w:rsidRDefault="00633C26" w:rsidP="00F21E08">
      <w:pPr>
        <w:pStyle w:val="Normalright"/>
        <w:numPr>
          <w:ilvl w:val="0"/>
          <w:numId w:val="41"/>
        </w:numPr>
        <w:rPr>
          <w:rFonts w:asciiTheme="minorHAnsi" w:eastAsia="Times New Roman" w:hAnsiTheme="minorHAnsi"/>
          <w:color w:val="222222"/>
          <w:szCs w:val="22"/>
        </w:rPr>
      </w:pPr>
      <w:r w:rsidRPr="00A346FF">
        <w:rPr>
          <w:rFonts w:asciiTheme="minorHAnsi" w:eastAsia="Times New Roman" w:hAnsiTheme="minorHAnsi"/>
          <w:color w:val="222222"/>
          <w:szCs w:val="22"/>
        </w:rPr>
        <w:t>Data controllers and data processors</w:t>
      </w:r>
      <w:r w:rsidR="00A346FF">
        <w:rPr>
          <w:rFonts w:asciiTheme="minorHAnsi" w:eastAsia="Times New Roman" w:hAnsiTheme="minorHAnsi"/>
          <w:color w:val="222222"/>
          <w:szCs w:val="22"/>
        </w:rPr>
        <w:t xml:space="preserve">. </w:t>
      </w:r>
      <w:r w:rsidR="00A346FF" w:rsidRPr="00D550D9">
        <w:rPr>
          <w:rFonts w:asciiTheme="minorHAnsi" w:hAnsiTheme="minorHAnsi"/>
          <w:i/>
          <w:szCs w:val="22"/>
        </w:rPr>
        <w:t>This option is correct because</w:t>
      </w:r>
      <w:r w:rsidR="00F21E08">
        <w:rPr>
          <w:rFonts w:asciiTheme="minorHAnsi" w:hAnsiTheme="minorHAnsi"/>
          <w:i/>
          <w:szCs w:val="22"/>
        </w:rPr>
        <w:t xml:space="preserve"> d</w:t>
      </w:r>
      <w:r w:rsidR="00F21E08" w:rsidRPr="00F21E08">
        <w:rPr>
          <w:rFonts w:asciiTheme="minorHAnsi" w:hAnsiTheme="minorHAnsi"/>
          <w:i/>
          <w:szCs w:val="22"/>
        </w:rPr>
        <w:t>ata controllers and data processors are responsible for allowing data subjects to exercise their rights and to ensure that they can make effective use of them.</w:t>
      </w:r>
    </w:p>
    <w:p w14:paraId="67CAC49B" w14:textId="32C14915" w:rsidR="00633C26" w:rsidRPr="00A346FF" w:rsidRDefault="00633C26" w:rsidP="00F21E08">
      <w:pPr>
        <w:pStyle w:val="Normalright"/>
        <w:numPr>
          <w:ilvl w:val="0"/>
          <w:numId w:val="41"/>
        </w:numPr>
        <w:rPr>
          <w:rFonts w:asciiTheme="minorHAnsi" w:hAnsiTheme="minorHAnsi"/>
          <w:szCs w:val="22"/>
        </w:rPr>
      </w:pPr>
      <w:r w:rsidRPr="00A346FF">
        <w:rPr>
          <w:rFonts w:asciiTheme="minorHAnsi" w:hAnsiTheme="minorHAnsi"/>
          <w:szCs w:val="22"/>
        </w:rPr>
        <w:t>Board of Directors</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F21E08">
        <w:rPr>
          <w:rFonts w:asciiTheme="minorHAnsi" w:hAnsiTheme="minorHAnsi"/>
          <w:i/>
          <w:szCs w:val="22"/>
        </w:rPr>
        <w:t xml:space="preserve"> t</w:t>
      </w:r>
      <w:r w:rsidR="00F21E08" w:rsidRPr="00F21E08">
        <w:rPr>
          <w:rFonts w:asciiTheme="minorHAnsi" w:hAnsiTheme="minorHAnsi"/>
          <w:i/>
          <w:szCs w:val="22"/>
        </w:rPr>
        <w:t>he board of directors must take a leadership position in moving an organization into compliance with the European Union’s impending General Data Protection Regulation (GDPR</w:t>
      </w:r>
      <w:r w:rsidR="006C73B9">
        <w:rPr>
          <w:rFonts w:asciiTheme="minorHAnsi" w:hAnsiTheme="minorHAnsi"/>
          <w:i/>
          <w:szCs w:val="22"/>
        </w:rPr>
        <w:t>).</w:t>
      </w:r>
    </w:p>
    <w:p w14:paraId="4398241C" w14:textId="77429246" w:rsidR="00633C26" w:rsidRPr="00A346FF" w:rsidRDefault="00633C26" w:rsidP="00633C26">
      <w:pPr>
        <w:pStyle w:val="Normalright"/>
        <w:rPr>
          <w:rFonts w:asciiTheme="minorHAnsi" w:hAnsiTheme="minorHAnsi"/>
          <w:szCs w:val="22"/>
        </w:rPr>
      </w:pPr>
      <w:r w:rsidRPr="00A346FF">
        <w:rPr>
          <w:rFonts w:asciiTheme="minorHAnsi" w:hAnsiTheme="minorHAnsi"/>
          <w:szCs w:val="22"/>
        </w:rPr>
        <w:t>Answer: c)</w:t>
      </w:r>
      <w:r w:rsidR="002603D0">
        <w:rPr>
          <w:rFonts w:asciiTheme="minorHAnsi" w:hAnsiTheme="minorHAnsi"/>
          <w:szCs w:val="22"/>
        </w:rPr>
        <w:t xml:space="preserve"> </w:t>
      </w:r>
      <w:r w:rsidR="002603D0" w:rsidRPr="00A346FF">
        <w:rPr>
          <w:rFonts w:asciiTheme="minorHAnsi" w:eastAsia="Times New Roman" w:hAnsiTheme="minorHAnsi"/>
          <w:color w:val="222222"/>
          <w:szCs w:val="22"/>
        </w:rPr>
        <w:t>Data controllers and data processors</w:t>
      </w:r>
      <w:r w:rsidR="002603D0">
        <w:rPr>
          <w:rFonts w:asciiTheme="minorHAnsi" w:eastAsia="Times New Roman" w:hAnsiTheme="minorHAnsi"/>
          <w:color w:val="222222"/>
          <w:szCs w:val="22"/>
        </w:rPr>
        <w:t>.</w:t>
      </w:r>
    </w:p>
    <w:p w14:paraId="0A3D4D8E" w14:textId="6CD50944" w:rsidR="00633C26" w:rsidRPr="00A346FF" w:rsidRDefault="00633C26" w:rsidP="00633C26">
      <w:pPr>
        <w:pStyle w:val="Normalright"/>
        <w:rPr>
          <w:rFonts w:asciiTheme="minorHAnsi" w:hAnsiTheme="minorHAnsi"/>
          <w:szCs w:val="22"/>
        </w:rPr>
      </w:pPr>
    </w:p>
    <w:p w14:paraId="43D156E3" w14:textId="50FF0C91" w:rsidR="00633C26" w:rsidRPr="00A346FF" w:rsidRDefault="00633C26" w:rsidP="00633C26">
      <w:pPr>
        <w:pStyle w:val="Normalright"/>
        <w:rPr>
          <w:rFonts w:asciiTheme="minorHAnsi" w:hAnsiTheme="minorHAnsi"/>
          <w:szCs w:val="22"/>
        </w:rPr>
      </w:pPr>
    </w:p>
    <w:p w14:paraId="7D3DC3FF" w14:textId="49A12AA1" w:rsidR="00633C26" w:rsidRPr="00F21E08" w:rsidRDefault="00633C26" w:rsidP="00633C26">
      <w:pPr>
        <w:pStyle w:val="Normalright"/>
        <w:rPr>
          <w:rFonts w:asciiTheme="minorHAnsi" w:hAnsiTheme="minorHAnsi"/>
          <w:b/>
          <w:szCs w:val="22"/>
        </w:rPr>
      </w:pPr>
      <w:r w:rsidRPr="00F21E08">
        <w:rPr>
          <w:rFonts w:asciiTheme="minorHAnsi" w:hAnsiTheme="minorHAnsi"/>
          <w:b/>
          <w:szCs w:val="22"/>
        </w:rPr>
        <w:t>Under the right to object, you must inform individuals of their right to object __________________________ and in your privacy notice.</w:t>
      </w:r>
    </w:p>
    <w:p w14:paraId="4BDF93FE" w14:textId="7B0C0669" w:rsidR="00633C26" w:rsidRPr="00A346FF" w:rsidRDefault="00633C26" w:rsidP="006C73B9">
      <w:pPr>
        <w:pStyle w:val="Normalright"/>
        <w:numPr>
          <w:ilvl w:val="0"/>
          <w:numId w:val="42"/>
        </w:numPr>
        <w:rPr>
          <w:rFonts w:asciiTheme="minorHAnsi" w:hAnsiTheme="minorHAnsi"/>
          <w:szCs w:val="22"/>
        </w:rPr>
      </w:pPr>
      <w:r w:rsidRPr="00A346FF">
        <w:rPr>
          <w:rFonts w:asciiTheme="minorHAnsi" w:hAnsiTheme="minorHAnsi"/>
          <w:szCs w:val="22"/>
        </w:rPr>
        <w:t>At the point of first communication.</w:t>
      </w:r>
      <w:r w:rsidR="00A346FF">
        <w:rPr>
          <w:rFonts w:asciiTheme="minorHAnsi" w:hAnsiTheme="minorHAnsi"/>
          <w:szCs w:val="22"/>
        </w:rPr>
        <w:t xml:space="preserve"> </w:t>
      </w:r>
      <w:r w:rsidR="00A346FF" w:rsidRPr="00D550D9">
        <w:rPr>
          <w:rFonts w:asciiTheme="minorHAnsi" w:hAnsiTheme="minorHAnsi"/>
          <w:i/>
          <w:szCs w:val="22"/>
        </w:rPr>
        <w:t>This option is correct because</w:t>
      </w:r>
      <w:r w:rsidR="006C73B9">
        <w:rPr>
          <w:rFonts w:asciiTheme="minorHAnsi" w:hAnsiTheme="minorHAnsi"/>
          <w:i/>
          <w:szCs w:val="22"/>
        </w:rPr>
        <w:t xml:space="preserve"> the right to object</w:t>
      </w:r>
      <w:r w:rsidR="006C73B9" w:rsidRPr="006C73B9">
        <w:rPr>
          <w:rFonts w:asciiTheme="minorHAnsi" w:hAnsiTheme="minorHAnsi"/>
          <w:i/>
          <w:szCs w:val="22"/>
        </w:rPr>
        <w:t xml:space="preserve"> must also be made clear to individuals of their right to object in a privacy notice and “at the point of first communication” when collecting consent for processing data</w:t>
      </w:r>
      <w:r w:rsidR="006C73B9">
        <w:rPr>
          <w:rFonts w:asciiTheme="minorHAnsi" w:hAnsiTheme="minorHAnsi"/>
          <w:i/>
          <w:szCs w:val="22"/>
        </w:rPr>
        <w:t>.</w:t>
      </w:r>
    </w:p>
    <w:p w14:paraId="3681E7C2" w14:textId="6BE92C13" w:rsidR="00633C26" w:rsidRPr="00A346FF" w:rsidRDefault="00633C26" w:rsidP="002603D0">
      <w:pPr>
        <w:pStyle w:val="Normalright"/>
        <w:numPr>
          <w:ilvl w:val="0"/>
          <w:numId w:val="42"/>
        </w:numPr>
        <w:rPr>
          <w:rFonts w:asciiTheme="minorHAnsi" w:hAnsiTheme="minorHAnsi"/>
          <w:szCs w:val="22"/>
        </w:rPr>
      </w:pPr>
      <w:r w:rsidRPr="00A346FF">
        <w:rPr>
          <w:rFonts w:asciiTheme="minorHAnsi" w:hAnsiTheme="minorHAnsi"/>
          <w:szCs w:val="22"/>
        </w:rPr>
        <w:t xml:space="preserve">At the point of </w:t>
      </w:r>
      <w:r w:rsidR="00DB48A7" w:rsidRPr="00A346FF">
        <w:rPr>
          <w:rFonts w:asciiTheme="minorHAnsi" w:hAnsiTheme="minorHAnsi"/>
          <w:szCs w:val="22"/>
        </w:rPr>
        <w:t>signing the document.</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6C73B9">
        <w:rPr>
          <w:rFonts w:asciiTheme="minorHAnsi" w:hAnsiTheme="minorHAnsi"/>
          <w:i/>
          <w:szCs w:val="22"/>
        </w:rPr>
        <w:t xml:space="preserve"> under </w:t>
      </w:r>
      <w:r w:rsidR="006C73B9">
        <w:rPr>
          <w:rFonts w:asciiTheme="minorHAnsi" w:hAnsiTheme="minorHAnsi"/>
          <w:i/>
          <w:szCs w:val="22"/>
        </w:rPr>
        <w:t>the right to object</w:t>
      </w:r>
      <w:r w:rsidR="006C73B9">
        <w:rPr>
          <w:rFonts w:asciiTheme="minorHAnsi" w:hAnsiTheme="minorHAnsi"/>
          <w:i/>
          <w:szCs w:val="22"/>
        </w:rPr>
        <w:t xml:space="preserve"> you</w:t>
      </w:r>
      <w:r w:rsidR="006C73B9" w:rsidRPr="006C73B9">
        <w:rPr>
          <w:rFonts w:asciiTheme="minorHAnsi" w:hAnsiTheme="minorHAnsi"/>
          <w:i/>
          <w:szCs w:val="22"/>
        </w:rPr>
        <w:t xml:space="preserve"> must </w:t>
      </w:r>
      <w:r w:rsidR="006C73B9">
        <w:rPr>
          <w:rFonts w:asciiTheme="minorHAnsi" w:hAnsiTheme="minorHAnsi"/>
          <w:i/>
          <w:szCs w:val="22"/>
        </w:rPr>
        <w:t>inform</w:t>
      </w:r>
      <w:r w:rsidR="006C73B9" w:rsidRPr="006C73B9">
        <w:rPr>
          <w:rFonts w:asciiTheme="minorHAnsi" w:hAnsiTheme="minorHAnsi"/>
          <w:i/>
          <w:szCs w:val="22"/>
        </w:rPr>
        <w:t xml:space="preserve"> individuals of their right to object in a privacy notice and “at the point of first communication”</w:t>
      </w:r>
      <w:r w:rsidR="006C73B9">
        <w:rPr>
          <w:rFonts w:asciiTheme="minorHAnsi" w:hAnsiTheme="minorHAnsi"/>
          <w:i/>
          <w:szCs w:val="22"/>
        </w:rPr>
        <w:t>.</w:t>
      </w:r>
    </w:p>
    <w:p w14:paraId="742FD3D4" w14:textId="35619D30" w:rsidR="00DB48A7" w:rsidRPr="00A346FF" w:rsidRDefault="00DB48A7" w:rsidP="007834E3">
      <w:pPr>
        <w:pStyle w:val="Normalright"/>
        <w:numPr>
          <w:ilvl w:val="0"/>
          <w:numId w:val="42"/>
        </w:numPr>
        <w:rPr>
          <w:rFonts w:asciiTheme="minorHAnsi" w:hAnsiTheme="minorHAnsi"/>
          <w:szCs w:val="22"/>
        </w:rPr>
      </w:pPr>
      <w:r w:rsidRPr="00A346FF">
        <w:rPr>
          <w:rFonts w:asciiTheme="minorHAnsi" w:hAnsiTheme="minorHAnsi"/>
          <w:szCs w:val="22"/>
        </w:rPr>
        <w:t>At the point of last communication.</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7834E3">
        <w:rPr>
          <w:rFonts w:asciiTheme="minorHAnsi" w:hAnsiTheme="minorHAnsi"/>
          <w:i/>
          <w:szCs w:val="22"/>
        </w:rPr>
        <w:t xml:space="preserve"> u</w:t>
      </w:r>
      <w:r w:rsidR="007834E3" w:rsidRPr="007834E3">
        <w:rPr>
          <w:rFonts w:asciiTheme="minorHAnsi" w:hAnsiTheme="minorHAnsi"/>
          <w:i/>
          <w:szCs w:val="22"/>
        </w:rPr>
        <w:t xml:space="preserve">nder the right to object, you must inform individuals of their right to object </w:t>
      </w:r>
      <w:r w:rsidR="007834E3" w:rsidRPr="006C73B9">
        <w:rPr>
          <w:rFonts w:asciiTheme="minorHAnsi" w:hAnsiTheme="minorHAnsi"/>
          <w:i/>
          <w:szCs w:val="22"/>
        </w:rPr>
        <w:t>at the point of first communication</w:t>
      </w:r>
      <w:r w:rsidR="007834E3" w:rsidRPr="007834E3">
        <w:rPr>
          <w:rFonts w:asciiTheme="minorHAnsi" w:hAnsiTheme="minorHAnsi"/>
          <w:i/>
          <w:szCs w:val="22"/>
        </w:rPr>
        <w:t xml:space="preserve"> and in your privacy notice</w:t>
      </w:r>
      <w:r w:rsidR="007834E3">
        <w:rPr>
          <w:rFonts w:asciiTheme="minorHAnsi" w:hAnsiTheme="minorHAnsi"/>
          <w:i/>
          <w:szCs w:val="22"/>
        </w:rPr>
        <w:t>.</w:t>
      </w:r>
    </w:p>
    <w:p w14:paraId="07A46AE5" w14:textId="1DFC8E98" w:rsidR="00DB48A7" w:rsidRPr="00A346FF" w:rsidRDefault="00DB48A7" w:rsidP="002603D0">
      <w:pPr>
        <w:pStyle w:val="Normalright"/>
        <w:numPr>
          <w:ilvl w:val="0"/>
          <w:numId w:val="42"/>
        </w:numPr>
        <w:rPr>
          <w:rFonts w:asciiTheme="minorHAnsi" w:hAnsiTheme="minorHAnsi"/>
          <w:szCs w:val="22"/>
        </w:rPr>
      </w:pPr>
      <w:r w:rsidRPr="00A346FF">
        <w:rPr>
          <w:rFonts w:asciiTheme="minorHAnsi" w:hAnsiTheme="minorHAnsi"/>
          <w:szCs w:val="22"/>
        </w:rPr>
        <w:lastRenderedPageBreak/>
        <w:t>At the point of collecting information.</w:t>
      </w:r>
      <w:r w:rsidR="00A346FF">
        <w:rPr>
          <w:rFonts w:asciiTheme="minorHAnsi" w:hAnsiTheme="minorHAnsi"/>
          <w:szCs w:val="22"/>
        </w:rPr>
        <w:t xml:space="preserve"> </w:t>
      </w:r>
      <w:r w:rsidR="00A346FF" w:rsidRPr="00D550D9">
        <w:rPr>
          <w:rFonts w:asciiTheme="minorHAnsi" w:hAnsiTheme="minorHAnsi"/>
          <w:i/>
          <w:szCs w:val="22"/>
        </w:rPr>
        <w:t>This option is incorrect because</w:t>
      </w:r>
      <w:r w:rsidR="00C97EA5">
        <w:rPr>
          <w:rFonts w:asciiTheme="minorHAnsi" w:hAnsiTheme="minorHAnsi"/>
          <w:i/>
          <w:szCs w:val="22"/>
        </w:rPr>
        <w:t xml:space="preserve"> </w:t>
      </w:r>
      <w:r w:rsidR="00C97EA5">
        <w:rPr>
          <w:rFonts w:asciiTheme="minorHAnsi" w:hAnsiTheme="minorHAnsi"/>
          <w:i/>
          <w:szCs w:val="22"/>
        </w:rPr>
        <w:t>u</w:t>
      </w:r>
      <w:r w:rsidR="00C97EA5" w:rsidRPr="007834E3">
        <w:rPr>
          <w:rFonts w:asciiTheme="minorHAnsi" w:hAnsiTheme="minorHAnsi"/>
          <w:i/>
          <w:szCs w:val="22"/>
        </w:rPr>
        <w:t xml:space="preserve">nder the right to object, you must inform individuals of their right to object </w:t>
      </w:r>
      <w:r w:rsidR="00C97EA5" w:rsidRPr="006C73B9">
        <w:rPr>
          <w:rFonts w:asciiTheme="minorHAnsi" w:hAnsiTheme="minorHAnsi"/>
          <w:i/>
          <w:szCs w:val="22"/>
        </w:rPr>
        <w:t>at the point of first communication</w:t>
      </w:r>
      <w:r w:rsidR="00540CED">
        <w:rPr>
          <w:rFonts w:asciiTheme="minorHAnsi" w:hAnsiTheme="minorHAnsi"/>
          <w:i/>
          <w:szCs w:val="22"/>
        </w:rPr>
        <w:t>.</w:t>
      </w:r>
    </w:p>
    <w:p w14:paraId="6ACD15D7" w14:textId="3FBFE4E0" w:rsidR="003E496D" w:rsidRPr="00A346FF" w:rsidRDefault="003E496D" w:rsidP="00633C26">
      <w:pPr>
        <w:pStyle w:val="Normalright"/>
        <w:rPr>
          <w:rFonts w:asciiTheme="minorHAnsi" w:hAnsiTheme="minorHAnsi"/>
          <w:szCs w:val="22"/>
        </w:rPr>
      </w:pPr>
      <w:r w:rsidRPr="00A346FF">
        <w:rPr>
          <w:rFonts w:asciiTheme="minorHAnsi" w:hAnsiTheme="minorHAnsi"/>
          <w:szCs w:val="22"/>
        </w:rPr>
        <w:t>Answer: a)</w:t>
      </w:r>
      <w:r w:rsidR="002603D0">
        <w:rPr>
          <w:rFonts w:asciiTheme="minorHAnsi" w:hAnsiTheme="minorHAnsi"/>
          <w:szCs w:val="22"/>
        </w:rPr>
        <w:t xml:space="preserve"> </w:t>
      </w:r>
      <w:r w:rsidR="002603D0" w:rsidRPr="00A346FF">
        <w:rPr>
          <w:rFonts w:asciiTheme="minorHAnsi" w:hAnsiTheme="minorHAnsi"/>
          <w:szCs w:val="22"/>
        </w:rPr>
        <w:t>At the point of first communication</w:t>
      </w:r>
      <w:r w:rsidR="002603D0">
        <w:rPr>
          <w:rFonts w:asciiTheme="minorHAnsi" w:hAnsiTheme="minorHAnsi"/>
          <w:szCs w:val="22"/>
        </w:rPr>
        <w:t>.</w:t>
      </w:r>
      <w:bookmarkStart w:id="0" w:name="_GoBack"/>
      <w:bookmarkEnd w:id="0"/>
    </w:p>
    <w:sectPr w:rsidR="003E496D" w:rsidRPr="00A34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25D1F" w14:textId="77777777" w:rsidR="00D56074" w:rsidRDefault="00D56074" w:rsidP="00961FCB">
      <w:r>
        <w:separator/>
      </w:r>
    </w:p>
  </w:endnote>
  <w:endnote w:type="continuationSeparator" w:id="0">
    <w:p w14:paraId="6458E21C" w14:textId="77777777" w:rsidR="00D56074" w:rsidRDefault="00D56074"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8B8E8" w14:textId="77777777" w:rsidR="00D56074" w:rsidRDefault="00D56074" w:rsidP="00961FCB">
      <w:r>
        <w:separator/>
      </w:r>
    </w:p>
  </w:footnote>
  <w:footnote w:type="continuationSeparator" w:id="0">
    <w:p w14:paraId="553DEB1F" w14:textId="77777777" w:rsidR="00D56074" w:rsidRDefault="00D56074"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667F59"/>
    <w:multiLevelType w:val="hybridMultilevel"/>
    <w:tmpl w:val="5ED2EB4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47A8"/>
    <w:multiLevelType w:val="hybridMultilevel"/>
    <w:tmpl w:val="957AD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04FE0"/>
    <w:multiLevelType w:val="hybridMultilevel"/>
    <w:tmpl w:val="3948E718"/>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382F51"/>
    <w:multiLevelType w:val="hybridMultilevel"/>
    <w:tmpl w:val="CBB4A7F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8B48E6"/>
    <w:multiLevelType w:val="hybridMultilevel"/>
    <w:tmpl w:val="A9747076"/>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E43252"/>
    <w:multiLevelType w:val="hybridMultilevel"/>
    <w:tmpl w:val="4656D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B7D2E"/>
    <w:multiLevelType w:val="hybridMultilevel"/>
    <w:tmpl w:val="5B58A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00BFC"/>
    <w:multiLevelType w:val="hybridMultilevel"/>
    <w:tmpl w:val="FECA2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3039B"/>
    <w:multiLevelType w:val="hybridMultilevel"/>
    <w:tmpl w:val="0414B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A1067"/>
    <w:multiLevelType w:val="hybridMultilevel"/>
    <w:tmpl w:val="E45A0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4377A"/>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F212B8"/>
    <w:multiLevelType w:val="hybridMultilevel"/>
    <w:tmpl w:val="BA606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542A6"/>
    <w:multiLevelType w:val="hybridMultilevel"/>
    <w:tmpl w:val="164A64EA"/>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E37F3B"/>
    <w:multiLevelType w:val="hybridMultilevel"/>
    <w:tmpl w:val="7EA27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10B39"/>
    <w:multiLevelType w:val="hybridMultilevel"/>
    <w:tmpl w:val="67020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B7076"/>
    <w:multiLevelType w:val="hybridMultilevel"/>
    <w:tmpl w:val="3D88E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C176F"/>
    <w:multiLevelType w:val="hybridMultilevel"/>
    <w:tmpl w:val="7ED2B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10996"/>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7562D"/>
    <w:multiLevelType w:val="hybridMultilevel"/>
    <w:tmpl w:val="C180F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3170"/>
    <w:multiLevelType w:val="hybridMultilevel"/>
    <w:tmpl w:val="8C0C3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C1092"/>
    <w:multiLevelType w:val="hybridMultilevel"/>
    <w:tmpl w:val="A7DEA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47A6F"/>
    <w:multiLevelType w:val="hybridMultilevel"/>
    <w:tmpl w:val="1B5780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B204E80"/>
    <w:multiLevelType w:val="hybridMultilevel"/>
    <w:tmpl w:val="8422B05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F274A20"/>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F12507"/>
    <w:multiLevelType w:val="hybridMultilevel"/>
    <w:tmpl w:val="8CEA7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8D0202"/>
    <w:multiLevelType w:val="hybridMultilevel"/>
    <w:tmpl w:val="60BEEB2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3B7653B"/>
    <w:multiLevelType w:val="hybridMultilevel"/>
    <w:tmpl w:val="C35EA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10793"/>
    <w:multiLevelType w:val="hybridMultilevel"/>
    <w:tmpl w:val="5B2E2B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EF77313"/>
    <w:multiLevelType w:val="hybridMultilevel"/>
    <w:tmpl w:val="F4608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3E23C5"/>
    <w:multiLevelType w:val="hybridMultilevel"/>
    <w:tmpl w:val="0458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0482D"/>
    <w:multiLevelType w:val="hybridMultilevel"/>
    <w:tmpl w:val="4F40A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523AC8"/>
    <w:multiLevelType w:val="hybridMultilevel"/>
    <w:tmpl w:val="7B34F43C"/>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59FF97C"/>
    <w:multiLevelType w:val="hybridMultilevel"/>
    <w:tmpl w:val="6DEBD7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76724D6"/>
    <w:multiLevelType w:val="hybridMultilevel"/>
    <w:tmpl w:val="38E04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D8929C"/>
    <w:multiLevelType w:val="hybridMultilevel"/>
    <w:tmpl w:val="2ADC5A5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F914A8C"/>
    <w:multiLevelType w:val="hybridMultilevel"/>
    <w:tmpl w:val="1E0864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C437C"/>
    <w:multiLevelType w:val="hybridMultilevel"/>
    <w:tmpl w:val="7B585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7E6CA4"/>
    <w:multiLevelType w:val="hybridMultilevel"/>
    <w:tmpl w:val="1AA82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2438E7"/>
    <w:multiLevelType w:val="hybridMultilevel"/>
    <w:tmpl w:val="45183A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4E4637"/>
    <w:multiLevelType w:val="hybridMultilevel"/>
    <w:tmpl w:val="DA72F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B87D3B"/>
    <w:multiLevelType w:val="hybridMultilevel"/>
    <w:tmpl w:val="4E84A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2"/>
  </w:num>
  <w:num w:numId="3">
    <w:abstractNumId w:val="27"/>
  </w:num>
  <w:num w:numId="4">
    <w:abstractNumId w:val="20"/>
  </w:num>
  <w:num w:numId="5">
    <w:abstractNumId w:val="18"/>
  </w:num>
  <w:num w:numId="6">
    <w:abstractNumId w:val="13"/>
  </w:num>
  <w:num w:numId="7">
    <w:abstractNumId w:val="6"/>
  </w:num>
  <w:num w:numId="8">
    <w:abstractNumId w:val="16"/>
  </w:num>
  <w:num w:numId="9">
    <w:abstractNumId w:val="2"/>
  </w:num>
  <w:num w:numId="10">
    <w:abstractNumId w:val="12"/>
  </w:num>
  <w:num w:numId="11">
    <w:abstractNumId w:val="36"/>
  </w:num>
  <w:num w:numId="12">
    <w:abstractNumId w:val="33"/>
  </w:num>
  <w:num w:numId="13">
    <w:abstractNumId w:val="21"/>
  </w:num>
  <w:num w:numId="14">
    <w:abstractNumId w:val="3"/>
  </w:num>
  <w:num w:numId="15">
    <w:abstractNumId w:val="14"/>
  </w:num>
  <w:num w:numId="16">
    <w:abstractNumId w:val="4"/>
  </w:num>
  <w:num w:numId="17">
    <w:abstractNumId w:val="26"/>
  </w:num>
  <w:num w:numId="18">
    <w:abstractNumId w:val="22"/>
  </w:num>
  <w:num w:numId="19">
    <w:abstractNumId w:val="40"/>
  </w:num>
  <w:num w:numId="20">
    <w:abstractNumId w:val="9"/>
  </w:num>
  <w:num w:numId="21">
    <w:abstractNumId w:val="5"/>
  </w:num>
  <w:num w:numId="22">
    <w:abstractNumId w:val="11"/>
  </w:num>
  <w:num w:numId="23">
    <w:abstractNumId w:val="34"/>
  </w:num>
  <w:num w:numId="24">
    <w:abstractNumId w:val="0"/>
  </w:num>
  <w:num w:numId="25">
    <w:abstractNumId w:val="31"/>
  </w:num>
  <w:num w:numId="26">
    <w:abstractNumId w:val="8"/>
  </w:num>
  <w:num w:numId="27">
    <w:abstractNumId w:val="35"/>
  </w:num>
  <w:num w:numId="28">
    <w:abstractNumId w:val="25"/>
  </w:num>
  <w:num w:numId="29">
    <w:abstractNumId w:val="1"/>
  </w:num>
  <w:num w:numId="30">
    <w:abstractNumId w:val="17"/>
  </w:num>
  <w:num w:numId="31">
    <w:abstractNumId w:val="29"/>
  </w:num>
  <w:num w:numId="32">
    <w:abstractNumId w:val="10"/>
  </w:num>
  <w:num w:numId="33">
    <w:abstractNumId w:val="37"/>
  </w:num>
  <w:num w:numId="34">
    <w:abstractNumId w:val="30"/>
  </w:num>
  <w:num w:numId="35">
    <w:abstractNumId w:val="23"/>
  </w:num>
  <w:num w:numId="36">
    <w:abstractNumId w:val="38"/>
  </w:num>
  <w:num w:numId="37">
    <w:abstractNumId w:val="7"/>
  </w:num>
  <w:num w:numId="38">
    <w:abstractNumId w:val="28"/>
  </w:num>
  <w:num w:numId="39">
    <w:abstractNumId w:val="41"/>
  </w:num>
  <w:num w:numId="40">
    <w:abstractNumId w:val="15"/>
  </w:num>
  <w:num w:numId="41">
    <w:abstractNumId w:val="2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rwUA9e3vfywAAAA="/>
  </w:docVars>
  <w:rsids>
    <w:rsidRoot w:val="00EF4D80"/>
    <w:rsid w:val="000533B6"/>
    <w:rsid w:val="0009411E"/>
    <w:rsid w:val="000975FA"/>
    <w:rsid w:val="00155A75"/>
    <w:rsid w:val="001C3845"/>
    <w:rsid w:val="001C60F6"/>
    <w:rsid w:val="00203765"/>
    <w:rsid w:val="00224086"/>
    <w:rsid w:val="002570A4"/>
    <w:rsid w:val="002603D0"/>
    <w:rsid w:val="002F4F00"/>
    <w:rsid w:val="00323428"/>
    <w:rsid w:val="00333046"/>
    <w:rsid w:val="00343803"/>
    <w:rsid w:val="00362B37"/>
    <w:rsid w:val="00363B72"/>
    <w:rsid w:val="003E496D"/>
    <w:rsid w:val="00400ACF"/>
    <w:rsid w:val="00466785"/>
    <w:rsid w:val="00487F48"/>
    <w:rsid w:val="0049653C"/>
    <w:rsid w:val="004B4D58"/>
    <w:rsid w:val="004E52AD"/>
    <w:rsid w:val="00540CED"/>
    <w:rsid w:val="005E1FD0"/>
    <w:rsid w:val="005E290D"/>
    <w:rsid w:val="005F5878"/>
    <w:rsid w:val="00633C26"/>
    <w:rsid w:val="0067166B"/>
    <w:rsid w:val="006B70AE"/>
    <w:rsid w:val="006C73B9"/>
    <w:rsid w:val="006D768D"/>
    <w:rsid w:val="007834E3"/>
    <w:rsid w:val="007A4287"/>
    <w:rsid w:val="007E0D98"/>
    <w:rsid w:val="0086471B"/>
    <w:rsid w:val="00886CA5"/>
    <w:rsid w:val="008C01E0"/>
    <w:rsid w:val="008F203E"/>
    <w:rsid w:val="00933571"/>
    <w:rsid w:val="00937292"/>
    <w:rsid w:val="00961FCB"/>
    <w:rsid w:val="00974826"/>
    <w:rsid w:val="009A05C3"/>
    <w:rsid w:val="009C4CC1"/>
    <w:rsid w:val="00A256D0"/>
    <w:rsid w:val="00A346FF"/>
    <w:rsid w:val="00A46A82"/>
    <w:rsid w:val="00A52911"/>
    <w:rsid w:val="00A74403"/>
    <w:rsid w:val="00A900DC"/>
    <w:rsid w:val="00AE38DF"/>
    <w:rsid w:val="00C97EA5"/>
    <w:rsid w:val="00CA634E"/>
    <w:rsid w:val="00D56074"/>
    <w:rsid w:val="00DB48A7"/>
    <w:rsid w:val="00DC2D35"/>
    <w:rsid w:val="00E04D72"/>
    <w:rsid w:val="00E76C71"/>
    <w:rsid w:val="00E83911"/>
    <w:rsid w:val="00E84D98"/>
    <w:rsid w:val="00EA1247"/>
    <w:rsid w:val="00EF4D80"/>
    <w:rsid w:val="00F03A71"/>
    <w:rsid w:val="00F1695C"/>
    <w:rsid w:val="00F21E08"/>
    <w:rsid w:val="00F222FD"/>
    <w:rsid w:val="00F37DAD"/>
    <w:rsid w:val="00FC7EC7"/>
    <w:rsid w:val="00FD050B"/>
    <w:rsid w:val="00FF1BF3"/>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095">
      <w:bodyDiv w:val="1"/>
      <w:marLeft w:val="0"/>
      <w:marRight w:val="0"/>
      <w:marTop w:val="0"/>
      <w:marBottom w:val="0"/>
      <w:divBdr>
        <w:top w:val="none" w:sz="0" w:space="0" w:color="auto"/>
        <w:left w:val="none" w:sz="0" w:space="0" w:color="auto"/>
        <w:bottom w:val="none" w:sz="0" w:space="0" w:color="auto"/>
        <w:right w:val="none" w:sz="0" w:space="0" w:color="auto"/>
      </w:divBdr>
    </w:div>
    <w:div w:id="733814777">
      <w:bodyDiv w:val="1"/>
      <w:marLeft w:val="0"/>
      <w:marRight w:val="0"/>
      <w:marTop w:val="0"/>
      <w:marBottom w:val="0"/>
      <w:divBdr>
        <w:top w:val="none" w:sz="0" w:space="0" w:color="auto"/>
        <w:left w:val="none" w:sz="0" w:space="0" w:color="auto"/>
        <w:bottom w:val="none" w:sz="0" w:space="0" w:color="auto"/>
        <w:right w:val="none" w:sz="0" w:space="0" w:color="auto"/>
      </w:divBdr>
    </w:div>
    <w:div w:id="944537593">
      <w:bodyDiv w:val="1"/>
      <w:marLeft w:val="0"/>
      <w:marRight w:val="0"/>
      <w:marTop w:val="0"/>
      <w:marBottom w:val="0"/>
      <w:divBdr>
        <w:top w:val="none" w:sz="0" w:space="0" w:color="auto"/>
        <w:left w:val="none" w:sz="0" w:space="0" w:color="auto"/>
        <w:bottom w:val="none" w:sz="0" w:space="0" w:color="auto"/>
        <w:right w:val="none" w:sz="0" w:space="0" w:color="auto"/>
      </w:divBdr>
    </w:div>
    <w:div w:id="1805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72</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24</cp:revision>
  <dcterms:created xsi:type="dcterms:W3CDTF">2018-05-16T14:51:00Z</dcterms:created>
  <dcterms:modified xsi:type="dcterms:W3CDTF">2018-05-17T12:55:00Z</dcterms:modified>
</cp:coreProperties>
</file>