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510C" w14:textId="0251018A"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b/>
          <w:bCs/>
          <w:color w:val="000000"/>
          <w:szCs w:val="22"/>
          <w:lang w:eastAsia="en-US"/>
        </w:rPr>
        <w:t xml:space="preserve">Which of the following statement is not correct about the Binding Corporate Rules? </w:t>
      </w:r>
    </w:p>
    <w:p w14:paraId="34B0E498" w14:textId="77777777" w:rsidR="004E0B0E" w:rsidRPr="00D61FAE" w:rsidRDefault="006D0A5B" w:rsidP="0088134F">
      <w:pPr>
        <w:pStyle w:val="ListParagraph"/>
        <w:numPr>
          <w:ilvl w:val="0"/>
          <w:numId w:val="16"/>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These are developed to allow personal data transfer between MNCs, international organizations, and groups of companies</w:t>
      </w:r>
      <w:r w:rsidR="00FA758E"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w:t>
      </w:r>
      <w:r w:rsidR="004E0B0E" w:rsidRPr="00D61FAE">
        <w:rPr>
          <w:rFonts w:asciiTheme="minorHAnsi" w:eastAsiaTheme="minorHAnsi" w:hAnsiTheme="minorHAnsi" w:cstheme="minorHAnsi"/>
          <w:i/>
          <w:color w:val="000000"/>
          <w:szCs w:val="22"/>
          <w:lang w:eastAsia="en-US"/>
        </w:rPr>
        <w:t>e Binding Corporate Rules or BCRs are internal rules which define the international policy in a multinational group of companies and international organizations regarding intra-organizational personal data cross-border transfers.</w:t>
      </w:r>
    </w:p>
    <w:p w14:paraId="08F70C94" w14:textId="3D7C927C" w:rsidR="006D0A5B" w:rsidRPr="00D61FAE" w:rsidRDefault="006D0A5B" w:rsidP="0088134F">
      <w:pPr>
        <w:pStyle w:val="ListParagraph"/>
        <w:numPr>
          <w:ilvl w:val="0"/>
          <w:numId w:val="16"/>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Developed as an alternative to the U.S. Department of Commerce EU Safe Harbor</w:t>
      </w:r>
      <w:r w:rsidR="00FA758E"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4E0B0E" w:rsidRPr="00D61FAE">
        <w:rPr>
          <w:rFonts w:asciiTheme="minorHAnsi" w:eastAsiaTheme="minorHAnsi" w:hAnsiTheme="minorHAnsi" w:cstheme="minorHAnsi"/>
          <w:i/>
          <w:color w:val="000000"/>
          <w:szCs w:val="22"/>
          <w:lang w:eastAsia="en-US"/>
        </w:rPr>
        <w:t xml:space="preserve"> Binding Corporate Rules are developed as an alternative to the U.S. Department of Commerce EU Safe Harbor.</w:t>
      </w:r>
    </w:p>
    <w:p w14:paraId="08AA4291" w14:textId="4482195C" w:rsidR="006D0A5B" w:rsidRPr="00D61FAE" w:rsidRDefault="006D0A5B" w:rsidP="00A30264">
      <w:pPr>
        <w:pStyle w:val="ListParagraph"/>
        <w:numPr>
          <w:ilvl w:val="0"/>
          <w:numId w:val="16"/>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BCRs can be used as an alternative means of authorizing transfers of personal data within Europe</w:t>
      </w:r>
      <w:r w:rsidR="00FA758E"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correct because</w:t>
      </w:r>
      <w:r w:rsidR="00A30264" w:rsidRPr="00D61FAE">
        <w:rPr>
          <w:rFonts w:asciiTheme="minorHAnsi" w:eastAsiaTheme="minorHAnsi" w:hAnsiTheme="minorHAnsi" w:cstheme="minorHAnsi"/>
          <w:i/>
          <w:color w:val="000000"/>
          <w:szCs w:val="22"/>
          <w:lang w:eastAsia="en-US"/>
        </w:rPr>
        <w:t xml:space="preserve"> BCRs may be available as an alternative means of authorizing transfers of personal data (e.g., customer databases, HR information, etc.) outside of Europe, not only within Europe.</w:t>
      </w:r>
    </w:p>
    <w:p w14:paraId="06C85C04" w14:textId="58A627CC" w:rsidR="006D0A5B" w:rsidRPr="00D61FAE" w:rsidRDefault="006D0A5B" w:rsidP="00C45A11">
      <w:pPr>
        <w:pStyle w:val="ListParagraph"/>
        <w:numPr>
          <w:ilvl w:val="0"/>
          <w:numId w:val="16"/>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Typically form stringent, intra-corporate global privacy policies, set of practices, processes, and guidelines that satisfy EU standards</w:t>
      </w:r>
      <w:r w:rsidR="00FA758E"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C45A11" w:rsidRPr="00D61FAE">
        <w:rPr>
          <w:rFonts w:asciiTheme="minorHAnsi" w:eastAsiaTheme="minorHAnsi" w:hAnsiTheme="minorHAnsi" w:cstheme="minorHAnsi"/>
          <w:i/>
          <w:color w:val="000000"/>
          <w:szCs w:val="22"/>
          <w:lang w:eastAsia="en-US"/>
        </w:rPr>
        <w:t xml:space="preserve"> BCRs typically form stringent, intra-corporate global privacy policies, set of practices, processes and guidelines that satisfy EU standards and may be available as an alternative means of authorizing transfers of personal data (e.g., customer databases, HR information, etc.) outside of Europe.</w:t>
      </w:r>
    </w:p>
    <w:p w14:paraId="4F7EC6CA" w14:textId="77777777"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p>
    <w:p w14:paraId="39325B96" w14:textId="241E0705" w:rsidR="00745F5E" w:rsidRPr="00D61FAE" w:rsidRDefault="006D0A5B" w:rsidP="00A30264">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Answer: c) Used as an alternative means of authorizing transfers of personal data within Europe</w:t>
      </w:r>
      <w:r w:rsidR="00A30264" w:rsidRPr="00D61FAE">
        <w:rPr>
          <w:rFonts w:asciiTheme="minorHAnsi" w:eastAsiaTheme="minorHAnsi" w:hAnsiTheme="minorHAnsi" w:cstheme="minorHAnsi"/>
          <w:color w:val="000000"/>
          <w:szCs w:val="22"/>
          <w:lang w:eastAsia="en-US"/>
        </w:rPr>
        <w:t>.</w:t>
      </w:r>
    </w:p>
    <w:p w14:paraId="322CAE45" w14:textId="77264B07" w:rsidR="006D0A5B" w:rsidRPr="00D61FAE" w:rsidRDefault="006D0A5B" w:rsidP="00F81EA7">
      <w:pPr>
        <w:jc w:val="both"/>
        <w:rPr>
          <w:rFonts w:asciiTheme="minorHAnsi" w:hAnsiTheme="minorHAnsi" w:cstheme="minorHAnsi"/>
          <w:szCs w:val="22"/>
        </w:rPr>
      </w:pPr>
    </w:p>
    <w:p w14:paraId="13195411" w14:textId="4DBAC1DA" w:rsidR="006D0A5B" w:rsidRPr="00D61FAE" w:rsidRDefault="006D0A5B" w:rsidP="00F81EA7">
      <w:pPr>
        <w:jc w:val="both"/>
        <w:rPr>
          <w:rFonts w:asciiTheme="minorHAnsi" w:hAnsiTheme="minorHAnsi" w:cstheme="minorHAnsi"/>
          <w:szCs w:val="22"/>
        </w:rPr>
      </w:pPr>
    </w:p>
    <w:p w14:paraId="654CB72F" w14:textId="78B1F2EE"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b/>
          <w:bCs/>
          <w:color w:val="000000"/>
          <w:szCs w:val="22"/>
          <w:lang w:eastAsia="en-US"/>
        </w:rPr>
        <w:t xml:space="preserve">“BCRs can authorize themselves to make all transfers automatically for all EU members states.” Is this statement true? </w:t>
      </w:r>
    </w:p>
    <w:p w14:paraId="4B1C6FF3" w14:textId="56E896FE" w:rsidR="006D0A5B" w:rsidRPr="00D61FAE" w:rsidRDefault="006D0A5B" w:rsidP="005E4B7D">
      <w:pPr>
        <w:pStyle w:val="ListParagraph"/>
        <w:numPr>
          <w:ilvl w:val="0"/>
          <w:numId w:val="18"/>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Yes</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5E4B7D" w:rsidRPr="00D61FAE">
        <w:rPr>
          <w:rFonts w:asciiTheme="minorHAnsi" w:eastAsiaTheme="minorHAnsi" w:hAnsiTheme="minorHAnsi" w:cstheme="minorHAnsi"/>
          <w:i/>
          <w:color w:val="000000"/>
          <w:szCs w:val="22"/>
          <w:lang w:eastAsia="en-US"/>
        </w:rPr>
        <w:t xml:space="preserve"> BCRs by themselves do not "authorize" all transfers automatically for all EU member states.</w:t>
      </w:r>
    </w:p>
    <w:p w14:paraId="1CFF8A02" w14:textId="4CA64364" w:rsidR="006D0A5B" w:rsidRPr="00D61FAE" w:rsidRDefault="006D0A5B" w:rsidP="00FA107F">
      <w:pPr>
        <w:pStyle w:val="ListParagraph"/>
        <w:numPr>
          <w:ilvl w:val="0"/>
          <w:numId w:val="18"/>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No</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correct becaus</w:t>
      </w:r>
      <w:r w:rsidR="00FA107F" w:rsidRPr="00D61FAE">
        <w:rPr>
          <w:rFonts w:asciiTheme="minorHAnsi" w:eastAsiaTheme="minorHAnsi" w:hAnsiTheme="minorHAnsi" w:cstheme="minorHAnsi"/>
          <w:i/>
          <w:color w:val="000000"/>
          <w:szCs w:val="22"/>
          <w:lang w:eastAsia="en-US"/>
        </w:rPr>
        <w:t>e BCRs by themselves do not "authorize" all transfers automatically for all EU member states. Most of the member states still require a formal "transfer notification" which is normally granted if the BCR has been accepted by the relevant country.</w:t>
      </w:r>
    </w:p>
    <w:p w14:paraId="125E2235" w14:textId="06729F92" w:rsidR="006D0A5B" w:rsidRPr="00D61FAE" w:rsidRDefault="006D0A5B" w:rsidP="005E4B7D">
      <w:pPr>
        <w:pStyle w:val="ListParagraph"/>
        <w:numPr>
          <w:ilvl w:val="0"/>
          <w:numId w:val="18"/>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Maybe under Specific circumstances</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5E4B7D" w:rsidRPr="00D61FAE">
        <w:rPr>
          <w:rFonts w:asciiTheme="minorHAnsi" w:eastAsiaTheme="minorHAnsi" w:hAnsiTheme="minorHAnsi" w:cstheme="minorHAnsi"/>
          <w:i/>
          <w:color w:val="000000"/>
          <w:szCs w:val="22"/>
          <w:lang w:eastAsia="en-US"/>
        </w:rPr>
        <w:t xml:space="preserve"> Binding Corporate Rules by themselves do not "authorize" all transfers automatically for all EU member states.</w:t>
      </w:r>
    </w:p>
    <w:p w14:paraId="4052F690" w14:textId="01DE5016" w:rsidR="006D0A5B" w:rsidRPr="00D61FAE" w:rsidRDefault="006D0A5B" w:rsidP="005E4B7D">
      <w:pPr>
        <w:pStyle w:val="ListParagraph"/>
        <w:numPr>
          <w:ilvl w:val="0"/>
          <w:numId w:val="18"/>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Not sure</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5E4B7D" w:rsidRPr="00D61FAE">
        <w:rPr>
          <w:rFonts w:asciiTheme="minorHAnsi" w:eastAsiaTheme="minorHAnsi" w:hAnsiTheme="minorHAnsi" w:cstheme="minorHAnsi"/>
          <w:i/>
          <w:color w:val="000000"/>
          <w:szCs w:val="22"/>
          <w:lang w:eastAsia="en-US"/>
        </w:rPr>
        <w:t xml:space="preserve"> BCRs by themselves do not "authorize" all transfers automatically for all EU member states in fact most of the member states require a formal </w:t>
      </w:r>
      <w:r w:rsidR="005E4B7D" w:rsidRPr="00D61FAE">
        <w:rPr>
          <w:rFonts w:asciiTheme="minorHAnsi" w:eastAsiaTheme="minorHAnsi" w:hAnsiTheme="minorHAnsi" w:cstheme="minorHAnsi"/>
          <w:i/>
          <w:color w:val="000000"/>
          <w:szCs w:val="22"/>
          <w:lang w:eastAsia="en-US"/>
        </w:rPr>
        <w:t>"transfer notification"</w:t>
      </w:r>
      <w:r w:rsidR="005E4B7D" w:rsidRPr="00D61FAE">
        <w:rPr>
          <w:rFonts w:asciiTheme="minorHAnsi" w:eastAsiaTheme="minorHAnsi" w:hAnsiTheme="minorHAnsi" w:cstheme="minorHAnsi"/>
          <w:i/>
          <w:color w:val="000000"/>
          <w:szCs w:val="22"/>
          <w:lang w:eastAsia="en-US"/>
        </w:rPr>
        <w:t>.</w:t>
      </w:r>
    </w:p>
    <w:p w14:paraId="49C9CBB4" w14:textId="77777777"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p>
    <w:p w14:paraId="5D98869D" w14:textId="77777777"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 xml:space="preserve">Answer: b) No </w:t>
      </w:r>
    </w:p>
    <w:p w14:paraId="27D29F53" w14:textId="343B978C" w:rsidR="006D0A5B" w:rsidRPr="00D61FAE" w:rsidRDefault="006D0A5B" w:rsidP="00F81EA7">
      <w:pPr>
        <w:jc w:val="both"/>
        <w:rPr>
          <w:rFonts w:asciiTheme="minorHAnsi" w:eastAsiaTheme="minorHAnsi" w:hAnsiTheme="minorHAnsi" w:cstheme="minorHAnsi"/>
          <w:color w:val="000000"/>
          <w:szCs w:val="22"/>
          <w:lang w:eastAsia="en-US"/>
        </w:rPr>
      </w:pPr>
    </w:p>
    <w:p w14:paraId="18310700" w14:textId="2BE651F5" w:rsidR="006D0A5B" w:rsidRPr="00D61FAE" w:rsidRDefault="006D0A5B" w:rsidP="00F81EA7">
      <w:pPr>
        <w:jc w:val="both"/>
        <w:rPr>
          <w:rFonts w:asciiTheme="minorHAnsi" w:hAnsiTheme="minorHAnsi" w:cstheme="minorHAnsi"/>
          <w:szCs w:val="22"/>
        </w:rPr>
      </w:pPr>
    </w:p>
    <w:p w14:paraId="0B526297" w14:textId="1D26292E"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b/>
          <w:bCs/>
          <w:color w:val="000000"/>
          <w:szCs w:val="22"/>
          <w:lang w:eastAsia="en-US"/>
        </w:rPr>
        <w:t xml:space="preserve">The _______________ must be exclusive, reflective of a data subject’s discretionary action, a positive and freely given response to the well-structured, unambiguous description of the processing activity. </w:t>
      </w:r>
    </w:p>
    <w:p w14:paraId="01462A86" w14:textId="5F99F603" w:rsidR="00C9158A" w:rsidRPr="00D61FAE" w:rsidRDefault="006D0A5B" w:rsidP="00B46A96">
      <w:pPr>
        <w:pStyle w:val="ListParagraph"/>
        <w:numPr>
          <w:ilvl w:val="0"/>
          <w:numId w:val="20"/>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lastRenderedPageBreak/>
        <w:t>Right to privacy</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B46A96" w:rsidRPr="00D61FAE">
        <w:rPr>
          <w:rFonts w:asciiTheme="minorHAnsi" w:eastAsiaTheme="minorHAnsi" w:hAnsiTheme="minorHAnsi" w:cstheme="minorHAnsi"/>
          <w:i/>
          <w:color w:val="000000"/>
          <w:szCs w:val="22"/>
          <w:lang w:eastAsia="en-US"/>
        </w:rPr>
        <w:t xml:space="preserve"> right to privacy refers to the concept that one's personal information is protected from public scrutiny.</w:t>
      </w:r>
    </w:p>
    <w:p w14:paraId="729CF1DA" w14:textId="5CA99D53" w:rsidR="006D0A5B" w:rsidRPr="00D61FAE" w:rsidRDefault="006D0A5B" w:rsidP="00C9158A">
      <w:pPr>
        <w:pStyle w:val="ListParagraph"/>
        <w:numPr>
          <w:ilvl w:val="0"/>
          <w:numId w:val="20"/>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Acknowledgement</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B46A96" w:rsidRPr="00D61FAE">
        <w:rPr>
          <w:rFonts w:asciiTheme="minorHAnsi" w:eastAsiaTheme="minorHAnsi" w:hAnsiTheme="minorHAnsi" w:cstheme="minorHAnsi"/>
          <w:i/>
          <w:color w:val="000000"/>
          <w:szCs w:val="22"/>
          <w:lang w:eastAsia="en-US"/>
        </w:rPr>
        <w:t xml:space="preserve"> </w:t>
      </w:r>
      <w:r w:rsidR="00B46A96" w:rsidRPr="00D61FAE">
        <w:rPr>
          <w:rFonts w:asciiTheme="minorHAnsi" w:eastAsiaTheme="minorHAnsi" w:hAnsiTheme="minorHAnsi" w:cstheme="minorHAnsi"/>
          <w:i/>
          <w:color w:val="000000"/>
          <w:szCs w:val="22"/>
          <w:lang w:eastAsia="en-US"/>
        </w:rPr>
        <w:t>consent must be exclusive, reflective of a data subject’s discretionary action, a positive and freely given response to the well-structured, unambiguous description of the processing activity</w:t>
      </w:r>
      <w:r w:rsidR="00B46A96" w:rsidRPr="00D61FAE">
        <w:rPr>
          <w:rFonts w:asciiTheme="minorHAnsi" w:eastAsiaTheme="minorHAnsi" w:hAnsiTheme="minorHAnsi" w:cstheme="minorHAnsi"/>
          <w:i/>
          <w:color w:val="000000"/>
          <w:szCs w:val="22"/>
          <w:lang w:eastAsia="en-US"/>
        </w:rPr>
        <w:t>.</w:t>
      </w:r>
    </w:p>
    <w:p w14:paraId="75C1BDD7" w14:textId="0948D161" w:rsidR="00C9158A" w:rsidRPr="00D61FAE" w:rsidRDefault="006D0A5B" w:rsidP="00B37863">
      <w:pPr>
        <w:pStyle w:val="ListParagraph"/>
        <w:numPr>
          <w:ilvl w:val="0"/>
          <w:numId w:val="20"/>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Consent</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correct because</w:t>
      </w:r>
      <w:r w:rsidR="00B37863" w:rsidRPr="00D61FAE">
        <w:rPr>
          <w:rFonts w:asciiTheme="minorHAnsi" w:eastAsiaTheme="minorHAnsi" w:hAnsiTheme="minorHAnsi" w:cstheme="minorHAnsi"/>
          <w:i/>
          <w:color w:val="000000"/>
          <w:szCs w:val="22"/>
          <w:lang w:eastAsia="en-US"/>
        </w:rPr>
        <w:t xml:space="preserve"> consent must be exclusive, reflective of a data subject’s discretionary action, a positive and freely given response to the well-structured, unambiguous description of the processing activity. The principle of opt-in is obligatory, meaning no processing can take place until consent is assured.</w:t>
      </w:r>
    </w:p>
    <w:p w14:paraId="09F71E7A" w14:textId="4C4E11B0" w:rsidR="006D0A5B" w:rsidRPr="00D61FAE" w:rsidRDefault="006D0A5B" w:rsidP="00B46A96">
      <w:pPr>
        <w:pStyle w:val="ListParagraph"/>
        <w:numPr>
          <w:ilvl w:val="0"/>
          <w:numId w:val="20"/>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Processing</w:t>
      </w:r>
      <w:r w:rsidR="00AE6A4C" w:rsidRPr="00D61FAE">
        <w:rPr>
          <w:rFonts w:asciiTheme="minorHAnsi" w:eastAsiaTheme="minorHAnsi" w:hAnsiTheme="minorHAnsi" w:cstheme="minorHAnsi"/>
          <w:color w:val="000000"/>
          <w:szCs w:val="22"/>
          <w:lang w:eastAsia="en-US"/>
        </w:rPr>
        <w:t xml:space="preserve">. </w:t>
      </w:r>
      <w:r w:rsidR="00676182" w:rsidRPr="00D61FAE">
        <w:rPr>
          <w:rFonts w:asciiTheme="minorHAnsi" w:eastAsiaTheme="minorHAnsi" w:hAnsiTheme="minorHAnsi" w:cstheme="minorHAnsi"/>
          <w:i/>
          <w:color w:val="000000"/>
          <w:szCs w:val="22"/>
          <w:lang w:eastAsia="en-US"/>
        </w:rPr>
        <w:t>This answer is incorrect because</w:t>
      </w:r>
      <w:r w:rsidR="00B46A96" w:rsidRPr="00D61FAE">
        <w:rPr>
          <w:rFonts w:asciiTheme="minorHAnsi" w:eastAsiaTheme="minorHAnsi" w:hAnsiTheme="minorHAnsi" w:cstheme="minorHAnsi"/>
          <w:i/>
          <w:color w:val="000000"/>
          <w:szCs w:val="22"/>
          <w:lang w:eastAsia="en-US"/>
        </w:rPr>
        <w:t xml:space="preserve"> under the GDPR processing means any operation or set of operations which is performed on personal data or on sets of personal data.</w:t>
      </w:r>
    </w:p>
    <w:p w14:paraId="6858DF8C" w14:textId="77777777" w:rsidR="006D0A5B" w:rsidRPr="00D61FAE" w:rsidRDefault="006D0A5B" w:rsidP="00F81EA7">
      <w:pPr>
        <w:autoSpaceDE w:val="0"/>
        <w:autoSpaceDN w:val="0"/>
        <w:adjustRightInd w:val="0"/>
        <w:jc w:val="both"/>
        <w:rPr>
          <w:rFonts w:asciiTheme="minorHAnsi" w:eastAsiaTheme="minorHAnsi" w:hAnsiTheme="minorHAnsi" w:cstheme="minorHAnsi"/>
          <w:color w:val="000000"/>
          <w:szCs w:val="22"/>
          <w:lang w:eastAsia="en-US"/>
        </w:rPr>
      </w:pPr>
    </w:p>
    <w:p w14:paraId="3DE2FE5E" w14:textId="5679D1E4" w:rsidR="006D0A5B" w:rsidRPr="00D61FAE" w:rsidRDefault="006D0A5B" w:rsidP="00B46A96">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Answer: b) Consent</w:t>
      </w:r>
    </w:p>
    <w:p w14:paraId="0C647D2E" w14:textId="0622F7AD" w:rsidR="006D0A5B" w:rsidRPr="00D61FAE" w:rsidRDefault="006D0A5B" w:rsidP="00F81EA7">
      <w:pPr>
        <w:jc w:val="both"/>
        <w:rPr>
          <w:rFonts w:asciiTheme="minorHAnsi" w:hAnsiTheme="minorHAnsi" w:cstheme="minorHAnsi"/>
          <w:szCs w:val="22"/>
        </w:rPr>
      </w:pPr>
    </w:p>
    <w:p w14:paraId="0684508A" w14:textId="1D126373" w:rsidR="006D0A5B" w:rsidRPr="00D61FAE" w:rsidRDefault="006D0A5B" w:rsidP="00F81EA7">
      <w:pPr>
        <w:jc w:val="both"/>
        <w:rPr>
          <w:rFonts w:asciiTheme="minorHAnsi" w:hAnsiTheme="minorHAnsi" w:cstheme="minorHAnsi"/>
          <w:szCs w:val="22"/>
        </w:rPr>
      </w:pPr>
    </w:p>
    <w:p w14:paraId="1FD05280" w14:textId="77777777" w:rsidR="00203703" w:rsidRPr="00D61FAE" w:rsidRDefault="00203703" w:rsidP="00F81EA7">
      <w:pPr>
        <w:jc w:val="both"/>
        <w:rPr>
          <w:rFonts w:asciiTheme="minorHAnsi" w:hAnsiTheme="minorHAnsi" w:cstheme="minorHAnsi"/>
          <w:szCs w:val="22"/>
        </w:rPr>
      </w:pPr>
    </w:p>
    <w:p w14:paraId="0E14D8B1" w14:textId="6CCC5CBF" w:rsidR="006D0A5B" w:rsidRPr="00D61FAE" w:rsidRDefault="00203703" w:rsidP="00F81EA7">
      <w:pPr>
        <w:jc w:val="both"/>
        <w:rPr>
          <w:rFonts w:asciiTheme="minorHAnsi" w:hAnsiTheme="minorHAnsi" w:cstheme="minorHAnsi"/>
          <w:b/>
          <w:szCs w:val="22"/>
        </w:rPr>
      </w:pPr>
      <w:r w:rsidRPr="00D61FAE">
        <w:rPr>
          <w:rFonts w:asciiTheme="minorHAnsi" w:hAnsiTheme="minorHAnsi" w:cstheme="minorHAnsi"/>
          <w:b/>
          <w:szCs w:val="22"/>
        </w:rPr>
        <w:t>T</w:t>
      </w:r>
      <w:r w:rsidR="006D0A5B" w:rsidRPr="00D61FAE">
        <w:rPr>
          <w:rFonts w:asciiTheme="minorHAnsi" w:hAnsiTheme="minorHAnsi" w:cstheme="minorHAnsi"/>
          <w:b/>
          <w:szCs w:val="22"/>
        </w:rPr>
        <w:t>he broad term for any information related to an individual or ‘Data Subject', that can be used to directly or indirectly identify the person</w:t>
      </w:r>
      <w:r w:rsidRPr="00D61FAE">
        <w:rPr>
          <w:rFonts w:asciiTheme="minorHAnsi" w:hAnsiTheme="minorHAnsi" w:cstheme="minorHAnsi"/>
          <w:b/>
          <w:szCs w:val="22"/>
        </w:rPr>
        <w:t>, is known as -</w:t>
      </w:r>
    </w:p>
    <w:p w14:paraId="157EE593" w14:textId="40C8B04F" w:rsidR="00203703" w:rsidRPr="00D61FAE" w:rsidRDefault="00203703" w:rsidP="00D61FAE">
      <w:pPr>
        <w:pStyle w:val="ListParagraph"/>
        <w:numPr>
          <w:ilvl w:val="0"/>
          <w:numId w:val="23"/>
        </w:numPr>
        <w:jc w:val="both"/>
        <w:rPr>
          <w:rFonts w:asciiTheme="minorHAnsi" w:hAnsiTheme="minorHAnsi" w:cstheme="minorHAnsi"/>
          <w:i/>
          <w:szCs w:val="22"/>
        </w:rPr>
      </w:pPr>
      <w:r w:rsidRPr="00D61FAE">
        <w:rPr>
          <w:rFonts w:asciiTheme="minorHAnsi" w:hAnsiTheme="minorHAnsi" w:cstheme="minorHAnsi"/>
          <w:szCs w:val="22"/>
        </w:rPr>
        <w:t xml:space="preserve">Sensitive Personal Data. </w:t>
      </w:r>
      <w:r w:rsidRPr="00D61FAE">
        <w:rPr>
          <w:rFonts w:asciiTheme="minorHAnsi" w:hAnsiTheme="minorHAnsi" w:cstheme="minorHAnsi"/>
          <w:i/>
          <w:szCs w:val="22"/>
        </w:rPr>
        <w:t xml:space="preserve">This answer is </w:t>
      </w:r>
      <w:r w:rsidRPr="00D61FAE">
        <w:rPr>
          <w:rFonts w:asciiTheme="minorHAnsi" w:hAnsiTheme="minorHAnsi" w:cstheme="minorHAnsi"/>
          <w:i/>
          <w:szCs w:val="22"/>
        </w:rPr>
        <w:t>in</w:t>
      </w:r>
      <w:r w:rsidRPr="00D61FAE">
        <w:rPr>
          <w:rFonts w:asciiTheme="minorHAnsi" w:hAnsiTheme="minorHAnsi" w:cstheme="minorHAnsi"/>
          <w:i/>
          <w:szCs w:val="22"/>
        </w:rPr>
        <w:t>correct because</w:t>
      </w:r>
      <w:r w:rsidRPr="00D61FAE">
        <w:rPr>
          <w:rFonts w:asciiTheme="minorHAnsi" w:hAnsiTheme="minorHAnsi" w:cstheme="minorHAnsi"/>
          <w:i/>
          <w:szCs w:val="22"/>
        </w:rPr>
        <w:t xml:space="preserve"> under the GDPR ‘sensitive personal data’ means the special categories of data specifically include genetic data, and biometric data where processed to uniquely identify an individual.</w:t>
      </w:r>
    </w:p>
    <w:p w14:paraId="6E209FC9" w14:textId="5A1E7F68" w:rsidR="00203703" w:rsidRPr="00D61FAE" w:rsidRDefault="00203703" w:rsidP="00D61FAE">
      <w:pPr>
        <w:pStyle w:val="ListParagraph"/>
        <w:numPr>
          <w:ilvl w:val="0"/>
          <w:numId w:val="23"/>
        </w:numPr>
        <w:jc w:val="both"/>
        <w:rPr>
          <w:rFonts w:asciiTheme="minorHAnsi" w:hAnsiTheme="minorHAnsi" w:cstheme="minorHAnsi"/>
          <w:i/>
          <w:szCs w:val="22"/>
        </w:rPr>
      </w:pPr>
      <w:r w:rsidRPr="00D61FAE">
        <w:rPr>
          <w:rStyle w:val="Strong"/>
          <w:rFonts w:asciiTheme="minorHAnsi" w:hAnsiTheme="minorHAnsi" w:cstheme="minorHAnsi"/>
          <w:b w:val="0"/>
          <w:szCs w:val="22"/>
        </w:rPr>
        <w:t>Data relating to criminal offences</w:t>
      </w:r>
      <w:r w:rsidRPr="00D61FAE">
        <w:rPr>
          <w:rStyle w:val="Strong"/>
          <w:rFonts w:asciiTheme="minorHAnsi" w:hAnsiTheme="minorHAnsi" w:cstheme="minorHAnsi"/>
          <w:b w:val="0"/>
          <w:szCs w:val="22"/>
        </w:rPr>
        <w:t xml:space="preserve">. </w:t>
      </w:r>
      <w:r w:rsidRPr="00D61FAE">
        <w:rPr>
          <w:rFonts w:asciiTheme="minorHAnsi" w:hAnsiTheme="minorHAnsi" w:cstheme="minorHAnsi"/>
          <w:i/>
          <w:szCs w:val="22"/>
        </w:rPr>
        <w:t>This answer is incorrect because</w:t>
      </w:r>
      <w:r w:rsidR="00D61FAE" w:rsidRPr="00D61FAE">
        <w:rPr>
          <w:rFonts w:asciiTheme="minorHAnsi" w:hAnsiTheme="minorHAnsi" w:cstheme="minorHAnsi"/>
          <w:i/>
          <w:szCs w:val="22"/>
        </w:rPr>
        <w:t xml:space="preserve"> this criminal law lies outside the EU's legislative competence. Data relating to criminal offences are therefore treated separately from Sensitive Personal Data.</w:t>
      </w:r>
    </w:p>
    <w:p w14:paraId="7E740E30" w14:textId="7ACB9FBC" w:rsidR="00203703" w:rsidRPr="00D61FAE" w:rsidRDefault="00203703" w:rsidP="00D61FAE">
      <w:pPr>
        <w:pStyle w:val="ListParagraph"/>
        <w:numPr>
          <w:ilvl w:val="0"/>
          <w:numId w:val="23"/>
        </w:numPr>
        <w:jc w:val="both"/>
        <w:rPr>
          <w:rFonts w:asciiTheme="minorHAnsi" w:hAnsiTheme="minorHAnsi" w:cstheme="minorHAnsi"/>
          <w:b/>
          <w:szCs w:val="22"/>
        </w:rPr>
      </w:pPr>
      <w:r w:rsidRPr="00D61FAE">
        <w:rPr>
          <w:rStyle w:val="Strong"/>
          <w:rFonts w:asciiTheme="minorHAnsi" w:hAnsiTheme="minorHAnsi" w:cstheme="minorHAnsi"/>
          <w:b w:val="0"/>
          <w:szCs w:val="22"/>
        </w:rPr>
        <w:t>Anonymous data</w:t>
      </w:r>
      <w:r w:rsidRPr="00D61FAE">
        <w:rPr>
          <w:rStyle w:val="Strong"/>
          <w:rFonts w:asciiTheme="minorHAnsi" w:hAnsiTheme="minorHAnsi" w:cstheme="minorHAnsi"/>
          <w:b w:val="0"/>
          <w:szCs w:val="22"/>
        </w:rPr>
        <w:t xml:space="preserve">. </w:t>
      </w:r>
      <w:r w:rsidRPr="00D61FAE">
        <w:rPr>
          <w:rFonts w:asciiTheme="minorHAnsi" w:hAnsiTheme="minorHAnsi" w:cstheme="minorHAnsi"/>
          <w:i/>
          <w:szCs w:val="22"/>
        </w:rPr>
        <w:t>This answer is incorrect because</w:t>
      </w:r>
      <w:r w:rsidR="00D61FAE" w:rsidRPr="00D61FAE">
        <w:rPr>
          <w:rFonts w:asciiTheme="minorHAnsi" w:hAnsiTheme="minorHAnsi" w:cstheme="minorHAnsi"/>
          <w:i/>
          <w:szCs w:val="22"/>
        </w:rPr>
        <w:t xml:space="preserve"> the data that are fully anonymized (i.e., data from which no individuals can be identified) are outside the scope of both the Directive and the GDPR.</w:t>
      </w:r>
    </w:p>
    <w:p w14:paraId="7386E2C3" w14:textId="77777777" w:rsidR="00D61FAE" w:rsidRPr="00D61FAE" w:rsidRDefault="00D61FAE" w:rsidP="00D61FAE">
      <w:pPr>
        <w:pStyle w:val="ListParagraph"/>
        <w:numPr>
          <w:ilvl w:val="0"/>
          <w:numId w:val="23"/>
        </w:numPr>
        <w:jc w:val="both"/>
        <w:rPr>
          <w:rFonts w:asciiTheme="minorHAnsi" w:hAnsiTheme="minorHAnsi" w:cstheme="minorHAnsi"/>
          <w:szCs w:val="22"/>
        </w:rPr>
      </w:pPr>
      <w:r w:rsidRPr="00D61FAE">
        <w:rPr>
          <w:rFonts w:asciiTheme="minorHAnsi" w:hAnsiTheme="minorHAnsi" w:cstheme="minorHAnsi"/>
          <w:szCs w:val="22"/>
        </w:rPr>
        <w:t xml:space="preserve">Personal Data. </w:t>
      </w:r>
      <w:r w:rsidRPr="00D61FAE">
        <w:rPr>
          <w:rFonts w:asciiTheme="minorHAnsi" w:hAnsiTheme="minorHAnsi" w:cstheme="minorHAnsi"/>
          <w:i/>
          <w:szCs w:val="22"/>
        </w:rPr>
        <w:t>This answer is correct because under the GDPR ‘personal data’ means any information relating to an identifiable person who can be directly or indirectly identified in particular by reference to an identifier.</w:t>
      </w:r>
    </w:p>
    <w:p w14:paraId="4FB2B356" w14:textId="7C9FA4EF" w:rsidR="00203703" w:rsidRPr="00D61FAE" w:rsidRDefault="00D61FAE" w:rsidP="00D61FAE">
      <w:pPr>
        <w:jc w:val="both"/>
        <w:rPr>
          <w:rFonts w:asciiTheme="minorHAnsi" w:hAnsiTheme="minorHAnsi" w:cstheme="minorHAnsi"/>
          <w:b/>
          <w:szCs w:val="22"/>
        </w:rPr>
      </w:pPr>
      <w:r w:rsidRPr="00D61FAE">
        <w:rPr>
          <w:rFonts w:asciiTheme="minorHAnsi" w:hAnsiTheme="minorHAnsi" w:cstheme="minorHAnsi"/>
          <w:szCs w:val="22"/>
        </w:rPr>
        <w:t>Answer: d)</w:t>
      </w:r>
      <w:r>
        <w:rPr>
          <w:rFonts w:asciiTheme="minorHAnsi" w:hAnsiTheme="minorHAnsi" w:cstheme="minorHAnsi"/>
          <w:b/>
          <w:szCs w:val="22"/>
        </w:rPr>
        <w:t xml:space="preserve"> </w:t>
      </w:r>
      <w:r w:rsidRPr="00D61FAE">
        <w:rPr>
          <w:rFonts w:asciiTheme="minorHAnsi" w:hAnsiTheme="minorHAnsi" w:cstheme="minorHAnsi"/>
          <w:szCs w:val="22"/>
        </w:rPr>
        <w:t>Personal Data</w:t>
      </w:r>
      <w:r>
        <w:rPr>
          <w:rFonts w:asciiTheme="minorHAnsi" w:hAnsiTheme="minorHAnsi" w:cstheme="minorHAnsi"/>
          <w:szCs w:val="22"/>
        </w:rPr>
        <w:t>.</w:t>
      </w:r>
    </w:p>
    <w:p w14:paraId="768A8609" w14:textId="77777777" w:rsidR="00203703" w:rsidRPr="00D61FAE" w:rsidRDefault="00203703" w:rsidP="00F81EA7">
      <w:pPr>
        <w:jc w:val="both"/>
        <w:rPr>
          <w:rFonts w:asciiTheme="minorHAnsi" w:hAnsiTheme="minorHAnsi" w:cstheme="minorHAnsi"/>
          <w:szCs w:val="22"/>
        </w:rPr>
      </w:pPr>
    </w:p>
    <w:p w14:paraId="11DB8D13" w14:textId="1A670DFD" w:rsidR="006D0A5B" w:rsidRPr="00D61FAE" w:rsidRDefault="006D0A5B" w:rsidP="00F81EA7">
      <w:pPr>
        <w:jc w:val="both"/>
        <w:rPr>
          <w:rFonts w:asciiTheme="minorHAnsi" w:hAnsiTheme="minorHAnsi" w:cstheme="minorHAnsi"/>
          <w:szCs w:val="22"/>
        </w:rPr>
      </w:pPr>
    </w:p>
    <w:p w14:paraId="7E907447" w14:textId="06C9D20A" w:rsidR="00203703" w:rsidRPr="00D61FAE" w:rsidRDefault="00203703" w:rsidP="00F81EA7">
      <w:pPr>
        <w:jc w:val="both"/>
        <w:rPr>
          <w:rFonts w:asciiTheme="minorHAnsi" w:hAnsiTheme="minorHAnsi" w:cstheme="minorHAnsi"/>
          <w:szCs w:val="22"/>
        </w:rPr>
      </w:pPr>
    </w:p>
    <w:p w14:paraId="0E092450" w14:textId="77777777" w:rsidR="00203703" w:rsidRPr="00D61FAE" w:rsidRDefault="00203703" w:rsidP="00203703">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b/>
          <w:bCs/>
          <w:color w:val="000000"/>
          <w:szCs w:val="22"/>
          <w:lang w:eastAsia="en-US"/>
        </w:rPr>
        <w:t xml:space="preserve">According to the General Data Protection Regulation (GDPR), which personal data category is regarded as sensitive data? </w:t>
      </w:r>
    </w:p>
    <w:p w14:paraId="5677A3E4" w14:textId="77777777" w:rsidR="009A56C7" w:rsidRPr="00D61FAE" w:rsidRDefault="009A56C7" w:rsidP="009A56C7">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 xml:space="preserve">Trade union membership. </w:t>
      </w:r>
      <w:r w:rsidRPr="00D61FAE">
        <w:rPr>
          <w:rFonts w:asciiTheme="minorHAnsi" w:eastAsiaTheme="minorHAnsi" w:hAnsiTheme="minorHAnsi" w:cstheme="minorHAnsi"/>
          <w:i/>
          <w:color w:val="000000"/>
          <w:szCs w:val="22"/>
          <w:lang w:eastAsia="en-US"/>
        </w:rPr>
        <w:t>This answer is correct because according to the General Data Protection Regulation (GDPR), membership of a trade union is sensitive data.</w:t>
      </w:r>
    </w:p>
    <w:p w14:paraId="0FC2C0A5" w14:textId="77777777" w:rsidR="00203703" w:rsidRPr="00D61FAE" w:rsidRDefault="00203703" w:rsidP="00203703">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bookmarkStart w:id="0" w:name="_GoBack"/>
      <w:bookmarkEnd w:id="0"/>
      <w:r w:rsidRPr="00D61FAE">
        <w:rPr>
          <w:rFonts w:asciiTheme="minorHAnsi" w:eastAsiaTheme="minorHAnsi" w:hAnsiTheme="minorHAnsi" w:cstheme="minorHAnsi"/>
          <w:color w:val="000000"/>
          <w:szCs w:val="22"/>
          <w:lang w:eastAsia="en-US"/>
        </w:rPr>
        <w:t xml:space="preserve">Credit card details. </w:t>
      </w:r>
      <w:r w:rsidRPr="00D61FAE">
        <w:rPr>
          <w:rFonts w:asciiTheme="minorHAnsi" w:eastAsiaTheme="minorHAnsi" w:hAnsiTheme="minorHAnsi" w:cstheme="minorHAnsi"/>
          <w:i/>
          <w:color w:val="000000"/>
          <w:szCs w:val="22"/>
          <w:lang w:eastAsia="en-US"/>
        </w:rPr>
        <w:t>This answer is incorrect because this information is considered as personal data under the GDPR.</w:t>
      </w:r>
    </w:p>
    <w:p w14:paraId="6F833CE9" w14:textId="77777777" w:rsidR="00203703" w:rsidRPr="00D61FAE" w:rsidRDefault="00203703" w:rsidP="00203703">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 xml:space="preserve">Passport number. </w:t>
      </w:r>
      <w:r w:rsidRPr="00D61FAE">
        <w:rPr>
          <w:rFonts w:asciiTheme="minorHAnsi" w:eastAsiaTheme="minorHAnsi" w:hAnsiTheme="minorHAnsi" w:cstheme="minorHAnsi"/>
          <w:i/>
          <w:color w:val="000000"/>
          <w:szCs w:val="22"/>
          <w:lang w:eastAsia="en-US"/>
        </w:rPr>
        <w:t>This answer is incorrect because passport number is considered as personal data under the GDPR.</w:t>
      </w:r>
    </w:p>
    <w:p w14:paraId="18C497C1" w14:textId="77777777" w:rsidR="00203703" w:rsidRPr="00D61FAE" w:rsidRDefault="00203703" w:rsidP="00203703">
      <w:pPr>
        <w:pStyle w:val="ListParagraph"/>
        <w:numPr>
          <w:ilvl w:val="0"/>
          <w:numId w:val="22"/>
        </w:num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lastRenderedPageBreak/>
        <w:t xml:space="preserve">Social security number. </w:t>
      </w:r>
      <w:r w:rsidRPr="00D61FAE">
        <w:rPr>
          <w:rFonts w:asciiTheme="minorHAnsi" w:eastAsiaTheme="minorHAnsi" w:hAnsiTheme="minorHAnsi" w:cstheme="minorHAnsi"/>
          <w:i/>
          <w:color w:val="000000"/>
          <w:szCs w:val="22"/>
          <w:lang w:eastAsia="en-US"/>
        </w:rPr>
        <w:t>This answer is incorrect because Social Security Number is considered as personal data under the GDPR.</w:t>
      </w:r>
    </w:p>
    <w:p w14:paraId="48FE8A2D" w14:textId="77777777" w:rsidR="00203703" w:rsidRPr="00D61FAE" w:rsidRDefault="00203703" w:rsidP="00203703">
      <w:pPr>
        <w:autoSpaceDE w:val="0"/>
        <w:autoSpaceDN w:val="0"/>
        <w:adjustRightInd w:val="0"/>
        <w:jc w:val="both"/>
        <w:rPr>
          <w:rFonts w:asciiTheme="minorHAnsi" w:eastAsiaTheme="minorHAnsi" w:hAnsiTheme="minorHAnsi" w:cstheme="minorHAnsi"/>
          <w:color w:val="000000"/>
          <w:szCs w:val="22"/>
          <w:lang w:eastAsia="en-US"/>
        </w:rPr>
      </w:pPr>
    </w:p>
    <w:p w14:paraId="078B820F" w14:textId="474DEEDE" w:rsidR="00203703" w:rsidRPr="00D61FAE" w:rsidRDefault="00203703" w:rsidP="00203703">
      <w:pPr>
        <w:autoSpaceDE w:val="0"/>
        <w:autoSpaceDN w:val="0"/>
        <w:adjustRightInd w:val="0"/>
        <w:jc w:val="both"/>
        <w:rPr>
          <w:rFonts w:asciiTheme="minorHAnsi" w:eastAsiaTheme="minorHAnsi" w:hAnsiTheme="minorHAnsi" w:cstheme="minorHAnsi"/>
          <w:color w:val="000000"/>
          <w:szCs w:val="22"/>
          <w:lang w:eastAsia="en-US"/>
        </w:rPr>
      </w:pPr>
      <w:r w:rsidRPr="00D61FAE">
        <w:rPr>
          <w:rFonts w:asciiTheme="minorHAnsi" w:eastAsiaTheme="minorHAnsi" w:hAnsiTheme="minorHAnsi" w:cstheme="minorHAnsi"/>
          <w:color w:val="000000"/>
          <w:szCs w:val="22"/>
          <w:lang w:eastAsia="en-US"/>
        </w:rPr>
        <w:t xml:space="preserve">Answer: </w:t>
      </w:r>
      <w:r w:rsidR="009A56C7">
        <w:rPr>
          <w:rFonts w:asciiTheme="minorHAnsi" w:eastAsiaTheme="minorHAnsi" w:hAnsiTheme="minorHAnsi" w:cstheme="minorHAnsi"/>
          <w:color w:val="000000"/>
          <w:szCs w:val="22"/>
          <w:lang w:eastAsia="en-US"/>
        </w:rPr>
        <w:t>a</w:t>
      </w:r>
      <w:r w:rsidRPr="00D61FAE">
        <w:rPr>
          <w:rFonts w:asciiTheme="minorHAnsi" w:eastAsiaTheme="minorHAnsi" w:hAnsiTheme="minorHAnsi" w:cstheme="minorHAnsi"/>
          <w:color w:val="000000"/>
          <w:szCs w:val="22"/>
          <w:lang w:eastAsia="en-US"/>
        </w:rPr>
        <w:t>) Trade union membership</w:t>
      </w:r>
    </w:p>
    <w:sectPr w:rsidR="00203703" w:rsidRPr="00D61F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3A9FA" w14:textId="77777777" w:rsidR="000A2279" w:rsidRDefault="000A2279" w:rsidP="00961FCB">
      <w:r>
        <w:separator/>
      </w:r>
    </w:p>
  </w:endnote>
  <w:endnote w:type="continuationSeparator" w:id="0">
    <w:p w14:paraId="2FFE2CA6" w14:textId="77777777" w:rsidR="000A2279" w:rsidRDefault="000A2279"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1F55F" w14:textId="77777777" w:rsidR="000A2279" w:rsidRDefault="000A2279" w:rsidP="00961FCB">
      <w:r>
        <w:separator/>
      </w:r>
    </w:p>
  </w:footnote>
  <w:footnote w:type="continuationSeparator" w:id="0">
    <w:p w14:paraId="46BCB8F1" w14:textId="77777777" w:rsidR="000A2279" w:rsidRDefault="000A2279"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CCA5C6"/>
    <w:multiLevelType w:val="hybridMultilevel"/>
    <w:tmpl w:val="F3625E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61C86D"/>
    <w:multiLevelType w:val="hybridMultilevel"/>
    <w:tmpl w:val="E0013A0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815DF35"/>
    <w:multiLevelType w:val="hybridMultilevel"/>
    <w:tmpl w:val="6BCC91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60EEB57"/>
    <w:multiLevelType w:val="hybridMultilevel"/>
    <w:tmpl w:val="FBA041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6E0C97"/>
    <w:multiLevelType w:val="hybridMultilevel"/>
    <w:tmpl w:val="829CF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104B0"/>
    <w:multiLevelType w:val="hybridMultilevel"/>
    <w:tmpl w:val="23A27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83521"/>
    <w:multiLevelType w:val="hybridMultilevel"/>
    <w:tmpl w:val="B8E071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D42C00"/>
    <w:multiLevelType w:val="hybridMultilevel"/>
    <w:tmpl w:val="F206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C313C"/>
    <w:multiLevelType w:val="hybridMultilevel"/>
    <w:tmpl w:val="247E56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341BD"/>
    <w:multiLevelType w:val="hybridMultilevel"/>
    <w:tmpl w:val="19EA74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4268C"/>
    <w:multiLevelType w:val="hybridMultilevel"/>
    <w:tmpl w:val="E5103CCC"/>
    <w:lvl w:ilvl="0" w:tplc="CA7C733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E59F9"/>
    <w:multiLevelType w:val="hybridMultilevel"/>
    <w:tmpl w:val="01CC27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BAEBB"/>
    <w:multiLevelType w:val="hybridMultilevel"/>
    <w:tmpl w:val="17E8CF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2BB54D8"/>
    <w:multiLevelType w:val="hybridMultilevel"/>
    <w:tmpl w:val="51D83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F0785"/>
    <w:multiLevelType w:val="hybridMultilevel"/>
    <w:tmpl w:val="7576B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6217C"/>
    <w:multiLevelType w:val="hybridMultilevel"/>
    <w:tmpl w:val="80E43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AE692"/>
    <w:multiLevelType w:val="hybridMultilevel"/>
    <w:tmpl w:val="D65EC7D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4C85701"/>
    <w:multiLevelType w:val="hybridMultilevel"/>
    <w:tmpl w:val="F7426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FF071"/>
    <w:multiLevelType w:val="hybridMultilevel"/>
    <w:tmpl w:val="12D3ED9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0933F29"/>
    <w:multiLevelType w:val="hybridMultilevel"/>
    <w:tmpl w:val="9704D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9E171"/>
    <w:multiLevelType w:val="hybridMultilevel"/>
    <w:tmpl w:val="A7E4D2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22534BC"/>
    <w:multiLevelType w:val="hybridMultilevel"/>
    <w:tmpl w:val="99A6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66CDD"/>
    <w:multiLevelType w:val="hybridMultilevel"/>
    <w:tmpl w:val="F13E7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3"/>
  </w:num>
  <w:num w:numId="4">
    <w:abstractNumId w:val="7"/>
  </w:num>
  <w:num w:numId="5">
    <w:abstractNumId w:val="21"/>
  </w:num>
  <w:num w:numId="6">
    <w:abstractNumId w:val="1"/>
  </w:num>
  <w:num w:numId="7">
    <w:abstractNumId w:val="6"/>
  </w:num>
  <w:num w:numId="8">
    <w:abstractNumId w:val="20"/>
  </w:num>
  <w:num w:numId="9">
    <w:abstractNumId w:val="3"/>
  </w:num>
  <w:num w:numId="10">
    <w:abstractNumId w:val="12"/>
  </w:num>
  <w:num w:numId="11">
    <w:abstractNumId w:val="16"/>
  </w:num>
  <w:num w:numId="12">
    <w:abstractNumId w:val="2"/>
  </w:num>
  <w:num w:numId="13">
    <w:abstractNumId w:val="0"/>
  </w:num>
  <w:num w:numId="14">
    <w:abstractNumId w:val="18"/>
  </w:num>
  <w:num w:numId="15">
    <w:abstractNumId w:val="4"/>
  </w:num>
  <w:num w:numId="16">
    <w:abstractNumId w:val="15"/>
  </w:num>
  <w:num w:numId="17">
    <w:abstractNumId w:val="19"/>
  </w:num>
  <w:num w:numId="18">
    <w:abstractNumId w:val="9"/>
  </w:num>
  <w:num w:numId="19">
    <w:abstractNumId w:val="8"/>
  </w:num>
  <w:num w:numId="20">
    <w:abstractNumId w:val="22"/>
  </w:num>
  <w:num w:numId="21">
    <w:abstractNumId w:val="11"/>
  </w:num>
  <w:num w:numId="22">
    <w:abstractNumId w:val="14"/>
  </w:num>
  <w:num w:numId="2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NKgFAIhGRHAtAAAA"/>
  </w:docVars>
  <w:rsids>
    <w:rsidRoot w:val="00EF4D80"/>
    <w:rsid w:val="000533B6"/>
    <w:rsid w:val="0009411E"/>
    <w:rsid w:val="000975FA"/>
    <w:rsid w:val="000A2279"/>
    <w:rsid w:val="00155A75"/>
    <w:rsid w:val="00172218"/>
    <w:rsid w:val="001C3845"/>
    <w:rsid w:val="001C60F6"/>
    <w:rsid w:val="001D6D2C"/>
    <w:rsid w:val="00203703"/>
    <w:rsid w:val="00203765"/>
    <w:rsid w:val="00224086"/>
    <w:rsid w:val="002468F1"/>
    <w:rsid w:val="002570A4"/>
    <w:rsid w:val="002603D0"/>
    <w:rsid w:val="002E47F1"/>
    <w:rsid w:val="002F4F00"/>
    <w:rsid w:val="00323428"/>
    <w:rsid w:val="00333046"/>
    <w:rsid w:val="00343803"/>
    <w:rsid w:val="003544FE"/>
    <w:rsid w:val="00362B37"/>
    <w:rsid w:val="00363B72"/>
    <w:rsid w:val="0037493F"/>
    <w:rsid w:val="00390C5E"/>
    <w:rsid w:val="003B1425"/>
    <w:rsid w:val="003C25FE"/>
    <w:rsid w:val="003E496D"/>
    <w:rsid w:val="003F017D"/>
    <w:rsid w:val="00400ACF"/>
    <w:rsid w:val="00466785"/>
    <w:rsid w:val="00487F48"/>
    <w:rsid w:val="0049653C"/>
    <w:rsid w:val="004B4D58"/>
    <w:rsid w:val="004E0B0E"/>
    <w:rsid w:val="004E52AD"/>
    <w:rsid w:val="00527DA8"/>
    <w:rsid w:val="00540CED"/>
    <w:rsid w:val="005E1FD0"/>
    <w:rsid w:val="005E290D"/>
    <w:rsid w:val="005E4B7D"/>
    <w:rsid w:val="005F5878"/>
    <w:rsid w:val="00633C26"/>
    <w:rsid w:val="0067166B"/>
    <w:rsid w:val="00676182"/>
    <w:rsid w:val="00685030"/>
    <w:rsid w:val="006B70AE"/>
    <w:rsid w:val="006C73B9"/>
    <w:rsid w:val="006D0A5B"/>
    <w:rsid w:val="006D768D"/>
    <w:rsid w:val="00745F5E"/>
    <w:rsid w:val="00754A2A"/>
    <w:rsid w:val="007834E3"/>
    <w:rsid w:val="007A4287"/>
    <w:rsid w:val="007E0D98"/>
    <w:rsid w:val="00800963"/>
    <w:rsid w:val="00830D6C"/>
    <w:rsid w:val="0086471B"/>
    <w:rsid w:val="00875582"/>
    <w:rsid w:val="00886CA5"/>
    <w:rsid w:val="008A1427"/>
    <w:rsid w:val="008C01E0"/>
    <w:rsid w:val="008F203E"/>
    <w:rsid w:val="00933571"/>
    <w:rsid w:val="00937292"/>
    <w:rsid w:val="00961FCB"/>
    <w:rsid w:val="00974826"/>
    <w:rsid w:val="00974BB2"/>
    <w:rsid w:val="00976FEC"/>
    <w:rsid w:val="009A05C3"/>
    <w:rsid w:val="009A56C7"/>
    <w:rsid w:val="009C4CC1"/>
    <w:rsid w:val="009D4C8E"/>
    <w:rsid w:val="00A256D0"/>
    <w:rsid w:val="00A256F3"/>
    <w:rsid w:val="00A30264"/>
    <w:rsid w:val="00A346FF"/>
    <w:rsid w:val="00A46A82"/>
    <w:rsid w:val="00A5186A"/>
    <w:rsid w:val="00A52911"/>
    <w:rsid w:val="00A74403"/>
    <w:rsid w:val="00A900DC"/>
    <w:rsid w:val="00AA0C79"/>
    <w:rsid w:val="00AE38DF"/>
    <w:rsid w:val="00AE6A4C"/>
    <w:rsid w:val="00AE7E13"/>
    <w:rsid w:val="00B20DB9"/>
    <w:rsid w:val="00B22083"/>
    <w:rsid w:val="00B37863"/>
    <w:rsid w:val="00B46A96"/>
    <w:rsid w:val="00C45A11"/>
    <w:rsid w:val="00C76120"/>
    <w:rsid w:val="00C9158A"/>
    <w:rsid w:val="00C97EA5"/>
    <w:rsid w:val="00CA634E"/>
    <w:rsid w:val="00D144A1"/>
    <w:rsid w:val="00D56074"/>
    <w:rsid w:val="00D61FAE"/>
    <w:rsid w:val="00DB48A7"/>
    <w:rsid w:val="00DC2D35"/>
    <w:rsid w:val="00DC5ED6"/>
    <w:rsid w:val="00E04D72"/>
    <w:rsid w:val="00E76C71"/>
    <w:rsid w:val="00E83911"/>
    <w:rsid w:val="00E84D98"/>
    <w:rsid w:val="00EA1247"/>
    <w:rsid w:val="00EF4D80"/>
    <w:rsid w:val="00F03A71"/>
    <w:rsid w:val="00F167A7"/>
    <w:rsid w:val="00F1695C"/>
    <w:rsid w:val="00F21E08"/>
    <w:rsid w:val="00F222FD"/>
    <w:rsid w:val="00F258C9"/>
    <w:rsid w:val="00F37DAD"/>
    <w:rsid w:val="00F81EA7"/>
    <w:rsid w:val="00FA107F"/>
    <w:rsid w:val="00FA758E"/>
    <w:rsid w:val="00FC7EC7"/>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49</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16</cp:revision>
  <dcterms:created xsi:type="dcterms:W3CDTF">2018-05-23T09:19:00Z</dcterms:created>
  <dcterms:modified xsi:type="dcterms:W3CDTF">2018-05-23T13:24:00Z</dcterms:modified>
</cp:coreProperties>
</file>