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DFBDC" w14:textId="06FAFFF7" w:rsidR="000F480B" w:rsidRPr="000C4ECE" w:rsidRDefault="000F480B" w:rsidP="000C4ECE">
      <w:pPr>
        <w:spacing w:after="160" w:line="259" w:lineRule="auto"/>
        <w:jc w:val="both"/>
        <w:rPr>
          <w:rFonts w:asciiTheme="minorHAnsi" w:hAnsiTheme="minorHAnsi" w:cstheme="minorHAnsi"/>
          <w:b/>
          <w:color w:val="000000"/>
          <w:sz w:val="20"/>
          <w:szCs w:val="20"/>
          <w:shd w:val="clear" w:color="auto" w:fill="FFFFFF"/>
        </w:rPr>
      </w:pPr>
      <w:r w:rsidRPr="000C4ECE">
        <w:rPr>
          <w:rFonts w:asciiTheme="minorHAnsi" w:hAnsiTheme="minorHAnsi" w:cstheme="minorHAnsi"/>
          <w:b/>
          <w:sz w:val="20"/>
          <w:szCs w:val="20"/>
        </w:rPr>
        <w:t>Under which step of the GDPR, you need to understand what kind of personal data your company has, and how it is used</w:t>
      </w:r>
      <w:r w:rsidRPr="000C4ECE">
        <w:rPr>
          <w:rFonts w:asciiTheme="minorHAnsi" w:hAnsiTheme="minorHAnsi" w:cstheme="minorHAnsi"/>
          <w:b/>
          <w:color w:val="000000"/>
          <w:sz w:val="20"/>
          <w:szCs w:val="20"/>
          <w:shd w:val="clear" w:color="auto" w:fill="FFFFFF"/>
        </w:rPr>
        <w:t>.</w:t>
      </w:r>
    </w:p>
    <w:p w14:paraId="1BC3CF76" w14:textId="7C444591" w:rsidR="000F480B" w:rsidRPr="000C4ECE" w:rsidRDefault="000F480B" w:rsidP="000C4ECE">
      <w:pPr>
        <w:pStyle w:val="ListParagraph"/>
        <w:numPr>
          <w:ilvl w:val="0"/>
          <w:numId w:val="19"/>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Educate your leadership and employees. </w:t>
      </w:r>
      <w:r w:rsidRPr="000C4ECE">
        <w:rPr>
          <w:rFonts w:asciiTheme="minorHAnsi" w:hAnsiTheme="minorHAnsi" w:cstheme="minorHAnsi"/>
          <w:i/>
          <w:sz w:val="20"/>
          <w:szCs w:val="20"/>
        </w:rPr>
        <w:t>This answer is incorrect because in this step you need to make sure that the right people in your organization know about the GDPR. And, they also need to know enough to make good decisions about what you need to do to implement GDPR.</w:t>
      </w:r>
    </w:p>
    <w:p w14:paraId="41FA9F9C" w14:textId="66DA3DFA" w:rsidR="000F480B" w:rsidRPr="000C4ECE" w:rsidRDefault="000F480B" w:rsidP="000C4ECE">
      <w:pPr>
        <w:pStyle w:val="ListParagraph"/>
        <w:numPr>
          <w:ilvl w:val="0"/>
          <w:numId w:val="19"/>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Define and communicate your data protection strategy. </w:t>
      </w:r>
      <w:r w:rsidRPr="000C4ECE">
        <w:rPr>
          <w:rFonts w:asciiTheme="minorHAnsi" w:hAnsiTheme="minorHAnsi" w:cstheme="minorHAnsi"/>
          <w:i/>
          <w:sz w:val="20"/>
          <w:szCs w:val="20"/>
        </w:rPr>
        <w:t xml:space="preserve">This answer is </w:t>
      </w:r>
      <w:r w:rsidRPr="000C4ECE">
        <w:rPr>
          <w:rFonts w:asciiTheme="minorHAnsi" w:hAnsiTheme="minorHAnsi" w:cstheme="minorHAnsi"/>
          <w:i/>
          <w:sz w:val="20"/>
          <w:szCs w:val="20"/>
        </w:rPr>
        <w:t>in</w:t>
      </w:r>
      <w:r w:rsidRPr="000C4ECE">
        <w:rPr>
          <w:rFonts w:asciiTheme="minorHAnsi" w:hAnsiTheme="minorHAnsi" w:cstheme="minorHAnsi"/>
          <w:i/>
          <w:sz w:val="20"/>
          <w:szCs w:val="20"/>
        </w:rPr>
        <w:t>correct because in this step the organizations need to define and communicate data protection strategies. And, every organization should have a written policy and procedure that is specific to their context about how they handle personal data and enact privacy principles.</w:t>
      </w:r>
    </w:p>
    <w:p w14:paraId="46C9F0EC" w14:textId="5A9B7871" w:rsidR="000F480B" w:rsidRPr="000C4ECE" w:rsidRDefault="000F480B" w:rsidP="000C4ECE">
      <w:pPr>
        <w:pStyle w:val="ListParagraph"/>
        <w:numPr>
          <w:ilvl w:val="0"/>
          <w:numId w:val="19"/>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Understand how your organization uses personal data. </w:t>
      </w:r>
      <w:r w:rsidRPr="000C4ECE">
        <w:rPr>
          <w:rFonts w:asciiTheme="minorHAnsi" w:hAnsiTheme="minorHAnsi" w:cstheme="minorHAnsi"/>
          <w:i/>
          <w:sz w:val="20"/>
          <w:szCs w:val="20"/>
        </w:rPr>
        <w:t>This answer is correct because in this step you need to understand what kind of personal data your company has and how it is used. Also, you should document what personal data you hold, where it came from and who you share it with.</w:t>
      </w:r>
    </w:p>
    <w:p w14:paraId="4C2C71FD" w14:textId="77777777" w:rsidR="000F480B" w:rsidRPr="000C4ECE" w:rsidRDefault="000F480B" w:rsidP="000C4ECE">
      <w:pPr>
        <w:pStyle w:val="ListParagraph"/>
        <w:numPr>
          <w:ilvl w:val="0"/>
          <w:numId w:val="19"/>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Identify gaps. </w:t>
      </w:r>
      <w:r w:rsidRPr="000C4ECE">
        <w:rPr>
          <w:rFonts w:asciiTheme="minorHAnsi" w:hAnsiTheme="minorHAnsi" w:cstheme="minorHAnsi"/>
          <w:i/>
          <w:sz w:val="20"/>
          <w:szCs w:val="20"/>
        </w:rPr>
        <w:t>This answer is incorrect because in this step of the GDPR, it is important to identify gaps between the protection policies your organization already have and the policies you have yet to comply in regards to GDPR.</w:t>
      </w:r>
    </w:p>
    <w:p w14:paraId="601DD219" w14:textId="02AD5C9D" w:rsidR="000F480B" w:rsidRPr="000C4ECE" w:rsidRDefault="000F480B" w:rsidP="000C4ECE">
      <w:p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Answer: </w:t>
      </w:r>
      <w:r w:rsidRPr="000C4ECE">
        <w:rPr>
          <w:rFonts w:asciiTheme="minorHAnsi" w:hAnsiTheme="minorHAnsi" w:cstheme="minorHAnsi"/>
          <w:sz w:val="20"/>
          <w:szCs w:val="20"/>
        </w:rPr>
        <w:t>c</w:t>
      </w:r>
      <w:r w:rsidRPr="000C4ECE">
        <w:rPr>
          <w:rFonts w:asciiTheme="minorHAnsi" w:hAnsiTheme="minorHAnsi" w:cstheme="minorHAnsi"/>
          <w:sz w:val="20"/>
          <w:szCs w:val="20"/>
        </w:rPr>
        <w:t>)</w:t>
      </w:r>
    </w:p>
    <w:p w14:paraId="4FC6A623" w14:textId="5D8BC49A" w:rsidR="000F480B" w:rsidRPr="000C4ECE" w:rsidRDefault="000F480B" w:rsidP="000C4ECE">
      <w:pPr>
        <w:spacing w:after="160" w:line="259" w:lineRule="auto"/>
        <w:jc w:val="both"/>
        <w:rPr>
          <w:rFonts w:asciiTheme="minorHAnsi" w:hAnsiTheme="minorHAnsi" w:cstheme="minorHAnsi"/>
          <w:sz w:val="20"/>
          <w:szCs w:val="20"/>
        </w:rPr>
      </w:pPr>
    </w:p>
    <w:p w14:paraId="56022D66" w14:textId="38AC6EAA" w:rsidR="000C4ECE" w:rsidRPr="00386310" w:rsidRDefault="000C4ECE" w:rsidP="000C4ECE">
      <w:pPr>
        <w:spacing w:after="160" w:line="259" w:lineRule="auto"/>
        <w:jc w:val="both"/>
        <w:rPr>
          <w:rFonts w:asciiTheme="minorHAnsi" w:hAnsiTheme="minorHAnsi" w:cstheme="minorHAnsi"/>
          <w:b/>
          <w:sz w:val="20"/>
          <w:szCs w:val="20"/>
        </w:rPr>
      </w:pPr>
      <w:r w:rsidRPr="00386310">
        <w:rPr>
          <w:rFonts w:asciiTheme="minorHAnsi" w:hAnsiTheme="minorHAnsi" w:cstheme="minorHAnsi"/>
          <w:b/>
          <w:sz w:val="20"/>
          <w:szCs w:val="20"/>
        </w:rPr>
        <w:t>In which step of the GDPR, t</w:t>
      </w:r>
      <w:r w:rsidRPr="00386310">
        <w:rPr>
          <w:rFonts w:asciiTheme="minorHAnsi" w:hAnsiTheme="minorHAnsi" w:cstheme="minorHAnsi"/>
          <w:b/>
          <w:sz w:val="20"/>
          <w:szCs w:val="20"/>
        </w:rPr>
        <w:t>he technology our organization has</w:t>
      </w:r>
      <w:r w:rsidRPr="00386310">
        <w:rPr>
          <w:rFonts w:asciiTheme="minorHAnsi" w:hAnsiTheme="minorHAnsi" w:cstheme="minorHAnsi"/>
          <w:b/>
          <w:sz w:val="20"/>
          <w:szCs w:val="20"/>
        </w:rPr>
        <w:t xml:space="preserve"> </w:t>
      </w:r>
      <w:r w:rsidRPr="00386310">
        <w:rPr>
          <w:rFonts w:asciiTheme="minorHAnsi" w:hAnsiTheme="minorHAnsi" w:cstheme="minorHAnsi"/>
          <w:b/>
          <w:sz w:val="20"/>
          <w:szCs w:val="20"/>
        </w:rPr>
        <w:t>needs to support and enable compliance through people and processes.</w:t>
      </w:r>
    </w:p>
    <w:p w14:paraId="54CB6A23" w14:textId="77777777" w:rsidR="006630B5" w:rsidRPr="000C4ECE" w:rsidRDefault="006630B5" w:rsidP="006630B5">
      <w:pPr>
        <w:pStyle w:val="ListParagraph"/>
        <w:numPr>
          <w:ilvl w:val="0"/>
          <w:numId w:val="20"/>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Address challenges around people, process, and technology. </w:t>
      </w:r>
      <w:r w:rsidRPr="000C4ECE">
        <w:rPr>
          <w:rFonts w:asciiTheme="minorHAnsi" w:hAnsiTheme="minorHAnsi" w:cstheme="minorHAnsi"/>
          <w:i/>
          <w:sz w:val="20"/>
          <w:szCs w:val="20"/>
        </w:rPr>
        <w:t>This answer is correct because</w:t>
      </w:r>
      <w:r>
        <w:rPr>
          <w:rFonts w:asciiTheme="minorHAnsi" w:hAnsiTheme="minorHAnsi" w:cstheme="minorHAnsi"/>
          <w:i/>
          <w:sz w:val="20"/>
          <w:szCs w:val="20"/>
        </w:rPr>
        <w:t xml:space="preserve"> in this step we need to </w:t>
      </w:r>
      <w:r w:rsidRPr="00386310">
        <w:rPr>
          <w:rFonts w:asciiTheme="minorHAnsi" w:hAnsiTheme="minorHAnsi" w:cstheme="minorHAnsi"/>
          <w:i/>
          <w:sz w:val="20"/>
          <w:szCs w:val="20"/>
        </w:rPr>
        <w:t>support competent and skilled employees, effective processes, and your overall compliance strategy</w:t>
      </w:r>
      <w:r>
        <w:rPr>
          <w:rFonts w:asciiTheme="minorHAnsi" w:hAnsiTheme="minorHAnsi" w:cstheme="minorHAnsi"/>
          <w:i/>
          <w:sz w:val="20"/>
          <w:szCs w:val="20"/>
        </w:rPr>
        <w:t xml:space="preserve">. Under this step, we also discuss about the impact of the GDPR that has on your technology. </w:t>
      </w:r>
      <w:r w:rsidRPr="00167673">
        <w:rPr>
          <w:rFonts w:asciiTheme="minorHAnsi" w:hAnsiTheme="minorHAnsi" w:cstheme="minorHAnsi"/>
          <w:i/>
          <w:sz w:val="20"/>
          <w:szCs w:val="20"/>
        </w:rPr>
        <w:t>The technology your organization ha</w:t>
      </w:r>
      <w:r>
        <w:rPr>
          <w:rFonts w:asciiTheme="minorHAnsi" w:hAnsiTheme="minorHAnsi" w:cstheme="minorHAnsi"/>
          <w:i/>
          <w:sz w:val="20"/>
          <w:szCs w:val="20"/>
        </w:rPr>
        <w:t>ve</w:t>
      </w:r>
      <w:r w:rsidRPr="00167673">
        <w:rPr>
          <w:rFonts w:asciiTheme="minorHAnsi" w:hAnsiTheme="minorHAnsi" w:cstheme="minorHAnsi"/>
          <w:i/>
          <w:sz w:val="20"/>
          <w:szCs w:val="20"/>
        </w:rPr>
        <w:t xml:space="preserve"> needs to support and enable compliance through people and processes</w:t>
      </w:r>
      <w:r>
        <w:rPr>
          <w:rFonts w:asciiTheme="minorHAnsi" w:hAnsiTheme="minorHAnsi" w:cstheme="minorHAnsi"/>
          <w:i/>
          <w:sz w:val="20"/>
          <w:szCs w:val="20"/>
        </w:rPr>
        <w:t>.</w:t>
      </w:r>
    </w:p>
    <w:p w14:paraId="2210286C" w14:textId="2596B5EA" w:rsidR="000C4ECE" w:rsidRPr="000C4ECE" w:rsidRDefault="000C4ECE" w:rsidP="000C4ECE">
      <w:pPr>
        <w:pStyle w:val="ListParagraph"/>
        <w:numPr>
          <w:ilvl w:val="0"/>
          <w:numId w:val="20"/>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Understand how your organization uses personal data. </w:t>
      </w:r>
      <w:r w:rsidRPr="000C4ECE">
        <w:rPr>
          <w:rFonts w:asciiTheme="minorHAnsi" w:hAnsiTheme="minorHAnsi" w:cstheme="minorHAnsi"/>
          <w:i/>
          <w:sz w:val="20"/>
          <w:szCs w:val="20"/>
        </w:rPr>
        <w:t xml:space="preserve">This answer is </w:t>
      </w:r>
      <w:r w:rsidR="00386310">
        <w:rPr>
          <w:rFonts w:asciiTheme="minorHAnsi" w:hAnsiTheme="minorHAnsi" w:cstheme="minorHAnsi"/>
          <w:i/>
          <w:sz w:val="20"/>
          <w:szCs w:val="20"/>
        </w:rPr>
        <w:t>in</w:t>
      </w:r>
      <w:r w:rsidRPr="000C4ECE">
        <w:rPr>
          <w:rFonts w:asciiTheme="minorHAnsi" w:hAnsiTheme="minorHAnsi" w:cstheme="minorHAnsi"/>
          <w:i/>
          <w:sz w:val="20"/>
          <w:szCs w:val="20"/>
        </w:rPr>
        <w:t>correct because in this step you need to understand what kind of personal data your company has and how it is used. Also, you should document what personal data you hold, where it came from and who you share it with.</w:t>
      </w:r>
    </w:p>
    <w:p w14:paraId="60EB6E3B" w14:textId="77777777" w:rsidR="000C4ECE" w:rsidRPr="000C4ECE" w:rsidRDefault="000C4ECE" w:rsidP="000C4ECE">
      <w:pPr>
        <w:pStyle w:val="ListParagraph"/>
        <w:numPr>
          <w:ilvl w:val="0"/>
          <w:numId w:val="20"/>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Identify gaps. </w:t>
      </w:r>
      <w:r w:rsidRPr="000C4ECE">
        <w:rPr>
          <w:rFonts w:asciiTheme="minorHAnsi" w:hAnsiTheme="minorHAnsi" w:cstheme="minorHAnsi"/>
          <w:i/>
          <w:sz w:val="20"/>
          <w:szCs w:val="20"/>
        </w:rPr>
        <w:t>This answer is incorrect because in this step of the GDPR, it is important to identify gaps between the protection policies your organization already have and the policies you have yet to comply in regards to GDPR.</w:t>
      </w:r>
    </w:p>
    <w:p w14:paraId="272B24A3" w14:textId="5949CC20" w:rsidR="000C4ECE" w:rsidRPr="000C4ECE" w:rsidRDefault="000C4ECE" w:rsidP="000C4ECE">
      <w:pPr>
        <w:pStyle w:val="ListParagraph"/>
        <w:numPr>
          <w:ilvl w:val="0"/>
          <w:numId w:val="20"/>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Define and communicate your data protection strategy. </w:t>
      </w:r>
      <w:r w:rsidR="00386310" w:rsidRPr="000C4ECE">
        <w:rPr>
          <w:rFonts w:asciiTheme="minorHAnsi" w:hAnsiTheme="minorHAnsi" w:cstheme="minorHAnsi"/>
          <w:i/>
          <w:sz w:val="20"/>
          <w:szCs w:val="20"/>
        </w:rPr>
        <w:t xml:space="preserve">This answer is </w:t>
      </w:r>
      <w:r w:rsidR="00386310">
        <w:rPr>
          <w:rFonts w:asciiTheme="minorHAnsi" w:hAnsiTheme="minorHAnsi" w:cstheme="minorHAnsi"/>
          <w:i/>
          <w:sz w:val="20"/>
          <w:szCs w:val="20"/>
        </w:rPr>
        <w:t>in</w:t>
      </w:r>
      <w:r w:rsidR="00386310" w:rsidRPr="000C4ECE">
        <w:rPr>
          <w:rFonts w:asciiTheme="minorHAnsi" w:hAnsiTheme="minorHAnsi" w:cstheme="minorHAnsi"/>
          <w:i/>
          <w:sz w:val="20"/>
          <w:szCs w:val="20"/>
        </w:rPr>
        <w:t>correct because in this step the organizations need to define and communicate data protection strategies. And, every organization should have a written policy and procedure that is specific to their context about how they handle personal data and enact privacy principles.</w:t>
      </w:r>
    </w:p>
    <w:p w14:paraId="3D293AAF" w14:textId="79E92C7A" w:rsidR="000C4ECE" w:rsidRPr="000C4ECE" w:rsidRDefault="000C4ECE" w:rsidP="000C4ECE">
      <w:p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Answer: </w:t>
      </w:r>
      <w:r w:rsidR="006630B5">
        <w:rPr>
          <w:rFonts w:asciiTheme="minorHAnsi" w:hAnsiTheme="minorHAnsi" w:cstheme="minorHAnsi"/>
          <w:sz w:val="20"/>
          <w:szCs w:val="20"/>
        </w:rPr>
        <w:t>a</w:t>
      </w:r>
      <w:r w:rsidRPr="000C4ECE">
        <w:rPr>
          <w:rFonts w:asciiTheme="minorHAnsi" w:hAnsiTheme="minorHAnsi" w:cstheme="minorHAnsi"/>
          <w:sz w:val="20"/>
          <w:szCs w:val="20"/>
        </w:rPr>
        <w:t>)</w:t>
      </w:r>
    </w:p>
    <w:p w14:paraId="570B95BE" w14:textId="77777777" w:rsidR="000C4ECE" w:rsidRPr="000C4ECE" w:rsidRDefault="000C4ECE" w:rsidP="000C4ECE">
      <w:pPr>
        <w:spacing w:after="160" w:line="259" w:lineRule="auto"/>
        <w:jc w:val="both"/>
        <w:rPr>
          <w:rFonts w:asciiTheme="minorHAnsi" w:hAnsiTheme="minorHAnsi" w:cstheme="minorHAnsi"/>
          <w:sz w:val="20"/>
          <w:szCs w:val="20"/>
        </w:rPr>
      </w:pPr>
    </w:p>
    <w:p w14:paraId="45190647" w14:textId="2E8351D7" w:rsidR="000F480B" w:rsidRPr="00C858E6" w:rsidRDefault="000F480B" w:rsidP="000C4ECE">
      <w:pPr>
        <w:spacing w:after="160" w:line="259" w:lineRule="auto"/>
        <w:jc w:val="both"/>
        <w:rPr>
          <w:rFonts w:asciiTheme="minorHAnsi" w:hAnsiTheme="minorHAnsi" w:cstheme="minorHAnsi"/>
          <w:b/>
          <w:sz w:val="20"/>
          <w:szCs w:val="20"/>
        </w:rPr>
      </w:pPr>
      <w:r w:rsidRPr="00C858E6">
        <w:rPr>
          <w:rFonts w:asciiTheme="minorHAnsi" w:hAnsiTheme="minorHAnsi" w:cstheme="minorHAnsi"/>
          <w:b/>
          <w:sz w:val="20"/>
          <w:szCs w:val="20"/>
        </w:rPr>
        <w:t>In which step of the GDPR, we</w:t>
      </w:r>
      <w:r w:rsidRPr="00C858E6">
        <w:rPr>
          <w:rFonts w:asciiTheme="minorHAnsi" w:hAnsiTheme="minorHAnsi" w:cstheme="minorHAnsi"/>
          <w:b/>
          <w:sz w:val="20"/>
          <w:szCs w:val="20"/>
        </w:rPr>
        <w:t xml:space="preserve"> may need to organize an information audit across the organization or within particular business areas.</w:t>
      </w:r>
    </w:p>
    <w:p w14:paraId="7EE76025" w14:textId="221372EE" w:rsidR="000F480B" w:rsidRPr="000C4ECE" w:rsidRDefault="000F480B" w:rsidP="00C858E6">
      <w:pPr>
        <w:pStyle w:val="ListParagraph"/>
        <w:numPr>
          <w:ilvl w:val="0"/>
          <w:numId w:val="23"/>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lastRenderedPageBreak/>
        <w:t xml:space="preserve">Identify gaps. </w:t>
      </w:r>
      <w:r w:rsidRPr="000C4ECE">
        <w:rPr>
          <w:rFonts w:asciiTheme="minorHAnsi" w:hAnsiTheme="minorHAnsi" w:cstheme="minorHAnsi"/>
          <w:i/>
          <w:sz w:val="20"/>
          <w:szCs w:val="20"/>
        </w:rPr>
        <w:t>This answer is incorrect because in this step of the GDPR, it is important to identify gaps between the protection policies your organization already have and the policies you have yet to comply in regards to GDPR</w:t>
      </w:r>
      <w:r w:rsidRPr="000C4ECE">
        <w:rPr>
          <w:rFonts w:asciiTheme="minorHAnsi" w:hAnsiTheme="minorHAnsi" w:cstheme="minorHAnsi"/>
          <w:i/>
          <w:sz w:val="20"/>
          <w:szCs w:val="20"/>
        </w:rPr>
        <w:t>.</w:t>
      </w:r>
    </w:p>
    <w:p w14:paraId="5F2CDF03" w14:textId="6E866874" w:rsidR="000F480B" w:rsidRPr="000C4ECE" w:rsidRDefault="00D91542" w:rsidP="00C858E6">
      <w:pPr>
        <w:pStyle w:val="ListParagraph"/>
        <w:numPr>
          <w:ilvl w:val="0"/>
          <w:numId w:val="23"/>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Address challenges around people, process, and technology</w:t>
      </w:r>
      <w:r w:rsidRPr="000C4ECE">
        <w:rPr>
          <w:rFonts w:asciiTheme="minorHAnsi" w:hAnsiTheme="minorHAnsi" w:cstheme="minorHAnsi"/>
          <w:sz w:val="20"/>
          <w:szCs w:val="20"/>
        </w:rPr>
        <w:t xml:space="preserve">. </w:t>
      </w:r>
      <w:r w:rsidR="00167673" w:rsidRPr="000C4ECE">
        <w:rPr>
          <w:rFonts w:asciiTheme="minorHAnsi" w:hAnsiTheme="minorHAnsi" w:cstheme="minorHAnsi"/>
          <w:i/>
          <w:sz w:val="20"/>
          <w:szCs w:val="20"/>
        </w:rPr>
        <w:t xml:space="preserve">This answer is </w:t>
      </w:r>
      <w:r w:rsidR="00167673">
        <w:rPr>
          <w:rFonts w:asciiTheme="minorHAnsi" w:hAnsiTheme="minorHAnsi" w:cstheme="minorHAnsi"/>
          <w:i/>
          <w:sz w:val="20"/>
          <w:szCs w:val="20"/>
        </w:rPr>
        <w:t>in</w:t>
      </w:r>
      <w:r w:rsidR="00167673" w:rsidRPr="000C4ECE">
        <w:rPr>
          <w:rFonts w:asciiTheme="minorHAnsi" w:hAnsiTheme="minorHAnsi" w:cstheme="minorHAnsi"/>
          <w:i/>
          <w:sz w:val="20"/>
          <w:szCs w:val="20"/>
        </w:rPr>
        <w:t>correct because</w:t>
      </w:r>
      <w:r w:rsidR="00167673">
        <w:rPr>
          <w:rFonts w:asciiTheme="minorHAnsi" w:hAnsiTheme="minorHAnsi" w:cstheme="minorHAnsi"/>
          <w:i/>
          <w:sz w:val="20"/>
          <w:szCs w:val="20"/>
        </w:rPr>
        <w:t xml:space="preserve"> in this step we need to </w:t>
      </w:r>
      <w:r w:rsidR="00167673" w:rsidRPr="00386310">
        <w:rPr>
          <w:rFonts w:asciiTheme="minorHAnsi" w:hAnsiTheme="minorHAnsi" w:cstheme="minorHAnsi"/>
          <w:i/>
          <w:sz w:val="20"/>
          <w:szCs w:val="20"/>
        </w:rPr>
        <w:t>support competent and skilled employees, effective processes, and your overall compliance strategy</w:t>
      </w:r>
      <w:r w:rsidR="00167673">
        <w:rPr>
          <w:rFonts w:asciiTheme="minorHAnsi" w:hAnsiTheme="minorHAnsi" w:cstheme="minorHAnsi"/>
          <w:i/>
          <w:sz w:val="20"/>
          <w:szCs w:val="20"/>
        </w:rPr>
        <w:t>.</w:t>
      </w:r>
    </w:p>
    <w:p w14:paraId="76454401" w14:textId="39A78D8B" w:rsidR="00D91542" w:rsidRPr="00BC3DA8" w:rsidRDefault="00D91542" w:rsidP="00C858E6">
      <w:pPr>
        <w:pStyle w:val="ListParagraph"/>
        <w:numPr>
          <w:ilvl w:val="0"/>
          <w:numId w:val="23"/>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Define and communicate your data protection strategy</w:t>
      </w:r>
      <w:r w:rsidRPr="000C4ECE">
        <w:rPr>
          <w:rFonts w:asciiTheme="minorHAnsi" w:hAnsiTheme="minorHAnsi" w:cstheme="minorHAnsi"/>
          <w:sz w:val="20"/>
          <w:szCs w:val="20"/>
        </w:rPr>
        <w:t xml:space="preserve">. </w:t>
      </w:r>
      <w:r w:rsidR="00167673" w:rsidRPr="000C4ECE">
        <w:rPr>
          <w:rFonts w:asciiTheme="minorHAnsi" w:hAnsiTheme="minorHAnsi" w:cstheme="minorHAnsi"/>
          <w:i/>
          <w:sz w:val="20"/>
          <w:szCs w:val="20"/>
        </w:rPr>
        <w:t xml:space="preserve">This answer is </w:t>
      </w:r>
      <w:r w:rsidR="00167673">
        <w:rPr>
          <w:rFonts w:asciiTheme="minorHAnsi" w:hAnsiTheme="minorHAnsi" w:cstheme="minorHAnsi"/>
          <w:i/>
          <w:sz w:val="20"/>
          <w:szCs w:val="20"/>
        </w:rPr>
        <w:t>in</w:t>
      </w:r>
      <w:r w:rsidR="00167673" w:rsidRPr="000C4ECE">
        <w:rPr>
          <w:rFonts w:asciiTheme="minorHAnsi" w:hAnsiTheme="minorHAnsi" w:cstheme="minorHAnsi"/>
          <w:i/>
          <w:sz w:val="20"/>
          <w:szCs w:val="20"/>
        </w:rPr>
        <w:t>correct because in this step the organizations need to define and communicate data protection strategies. And, every organization should have a written policy and procedure that is specific to their context about how they handle personal data and enact privacy principles.</w:t>
      </w:r>
    </w:p>
    <w:p w14:paraId="6BEDD965" w14:textId="2F0862D9" w:rsidR="00BC3DA8" w:rsidRPr="00BC3DA8" w:rsidRDefault="00BC3DA8" w:rsidP="00BC3DA8">
      <w:pPr>
        <w:pStyle w:val="ListParagraph"/>
        <w:numPr>
          <w:ilvl w:val="0"/>
          <w:numId w:val="23"/>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Understand how your organization uses personal data. </w:t>
      </w:r>
      <w:r w:rsidRPr="000C4ECE">
        <w:rPr>
          <w:rFonts w:asciiTheme="minorHAnsi" w:hAnsiTheme="minorHAnsi" w:cstheme="minorHAnsi"/>
          <w:i/>
          <w:sz w:val="20"/>
          <w:szCs w:val="20"/>
        </w:rPr>
        <w:t xml:space="preserve">This answer is correct because in this step you need to understand what kind of personal data your company has and how it is used. Also, </w:t>
      </w:r>
      <w:r>
        <w:rPr>
          <w:rFonts w:asciiTheme="minorHAnsi" w:hAnsiTheme="minorHAnsi" w:cstheme="minorHAnsi"/>
          <w:i/>
          <w:sz w:val="20"/>
          <w:szCs w:val="20"/>
        </w:rPr>
        <w:t xml:space="preserve">in this step </w:t>
      </w:r>
      <w:r w:rsidRPr="000C4ECE">
        <w:rPr>
          <w:rFonts w:asciiTheme="minorHAnsi" w:hAnsiTheme="minorHAnsi" w:cstheme="minorHAnsi"/>
          <w:i/>
          <w:sz w:val="20"/>
          <w:szCs w:val="20"/>
        </w:rPr>
        <w:t>you</w:t>
      </w:r>
      <w:r w:rsidRPr="00167673">
        <w:rPr>
          <w:rFonts w:asciiTheme="minorHAnsi" w:hAnsiTheme="minorHAnsi" w:cstheme="minorHAnsi"/>
          <w:i/>
          <w:sz w:val="20"/>
          <w:szCs w:val="20"/>
        </w:rPr>
        <w:t xml:space="preserve"> may need to organize an information audit across the organization or within particular business areas</w:t>
      </w:r>
      <w:r>
        <w:rPr>
          <w:rFonts w:asciiTheme="minorHAnsi" w:hAnsiTheme="minorHAnsi" w:cstheme="minorHAnsi"/>
          <w:i/>
          <w:sz w:val="20"/>
          <w:szCs w:val="20"/>
        </w:rPr>
        <w:t>.</w:t>
      </w:r>
    </w:p>
    <w:p w14:paraId="236FD9D8" w14:textId="0BCC98FC" w:rsidR="00D91542" w:rsidRPr="000C4ECE" w:rsidRDefault="00D91542" w:rsidP="000C4ECE">
      <w:p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Answer: </w:t>
      </w:r>
      <w:r w:rsidR="00BC3DA8">
        <w:rPr>
          <w:rFonts w:asciiTheme="minorHAnsi" w:hAnsiTheme="minorHAnsi" w:cstheme="minorHAnsi"/>
          <w:sz w:val="20"/>
          <w:szCs w:val="20"/>
        </w:rPr>
        <w:t>d</w:t>
      </w:r>
      <w:r w:rsidRPr="000C4ECE">
        <w:rPr>
          <w:rFonts w:asciiTheme="minorHAnsi" w:hAnsiTheme="minorHAnsi" w:cstheme="minorHAnsi"/>
          <w:sz w:val="20"/>
          <w:szCs w:val="20"/>
        </w:rPr>
        <w:t>)</w:t>
      </w:r>
    </w:p>
    <w:p w14:paraId="7C71441B" w14:textId="204EAC9B" w:rsidR="00D91542" w:rsidRPr="000C4ECE" w:rsidRDefault="00D91542" w:rsidP="000C4ECE">
      <w:pPr>
        <w:spacing w:after="160" w:line="259" w:lineRule="auto"/>
        <w:jc w:val="both"/>
        <w:rPr>
          <w:rFonts w:asciiTheme="minorHAnsi" w:hAnsiTheme="minorHAnsi" w:cstheme="minorHAnsi"/>
          <w:sz w:val="20"/>
          <w:szCs w:val="20"/>
        </w:rPr>
      </w:pPr>
    </w:p>
    <w:p w14:paraId="39325B96" w14:textId="6510C5E2" w:rsidR="00745F5E" w:rsidRPr="00F47360" w:rsidRDefault="00D91542" w:rsidP="000C4ECE">
      <w:pPr>
        <w:jc w:val="both"/>
        <w:rPr>
          <w:rFonts w:asciiTheme="minorHAnsi" w:hAnsiTheme="minorHAnsi" w:cstheme="minorHAnsi"/>
          <w:b/>
          <w:sz w:val="20"/>
          <w:szCs w:val="20"/>
        </w:rPr>
      </w:pPr>
      <w:r w:rsidRPr="00F47360">
        <w:rPr>
          <w:rFonts w:asciiTheme="minorHAnsi" w:hAnsiTheme="minorHAnsi" w:cstheme="minorHAnsi"/>
          <w:b/>
          <w:sz w:val="20"/>
          <w:szCs w:val="20"/>
        </w:rPr>
        <w:t xml:space="preserve">Under which step of the GDPR, we </w:t>
      </w:r>
      <w:r w:rsidRPr="00F47360">
        <w:rPr>
          <w:rFonts w:asciiTheme="minorHAnsi" w:hAnsiTheme="minorHAnsi" w:cstheme="minorHAnsi"/>
          <w:b/>
          <w:sz w:val="20"/>
          <w:szCs w:val="20"/>
        </w:rPr>
        <w:t>identify gaps between the protection policies your organization already ha</w:t>
      </w:r>
      <w:r w:rsidRPr="00F47360">
        <w:rPr>
          <w:rFonts w:asciiTheme="minorHAnsi" w:hAnsiTheme="minorHAnsi" w:cstheme="minorHAnsi"/>
          <w:b/>
          <w:sz w:val="20"/>
          <w:szCs w:val="20"/>
        </w:rPr>
        <w:t>ve</w:t>
      </w:r>
      <w:r w:rsidRPr="00F47360">
        <w:rPr>
          <w:rFonts w:asciiTheme="minorHAnsi" w:hAnsiTheme="minorHAnsi" w:cstheme="minorHAnsi"/>
          <w:b/>
          <w:sz w:val="20"/>
          <w:szCs w:val="20"/>
        </w:rPr>
        <w:t xml:space="preserve"> and the policies you have yet to comply in regards to GDPR.</w:t>
      </w:r>
    </w:p>
    <w:p w14:paraId="2BC71597" w14:textId="2DFFDF10" w:rsidR="00D91542" w:rsidRPr="000C4ECE" w:rsidRDefault="00D91542" w:rsidP="000C4ECE">
      <w:pPr>
        <w:pStyle w:val="ListParagraph"/>
        <w:numPr>
          <w:ilvl w:val="0"/>
          <w:numId w:val="21"/>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Understand how your organization uses personal data. </w:t>
      </w:r>
      <w:r w:rsidRPr="000C4ECE">
        <w:rPr>
          <w:rFonts w:asciiTheme="minorHAnsi" w:hAnsiTheme="minorHAnsi" w:cstheme="minorHAnsi"/>
          <w:i/>
          <w:sz w:val="20"/>
          <w:szCs w:val="20"/>
        </w:rPr>
        <w:t xml:space="preserve">This answer is </w:t>
      </w:r>
      <w:r w:rsidR="00DB31AC">
        <w:rPr>
          <w:rFonts w:asciiTheme="minorHAnsi" w:hAnsiTheme="minorHAnsi" w:cstheme="minorHAnsi"/>
          <w:i/>
          <w:sz w:val="20"/>
          <w:szCs w:val="20"/>
        </w:rPr>
        <w:t>in</w:t>
      </w:r>
      <w:r w:rsidRPr="000C4ECE">
        <w:rPr>
          <w:rFonts w:asciiTheme="minorHAnsi" w:hAnsiTheme="minorHAnsi" w:cstheme="minorHAnsi"/>
          <w:i/>
          <w:sz w:val="20"/>
          <w:szCs w:val="20"/>
        </w:rPr>
        <w:t>correct because in this step you need to understand what kind of personal data your company has and how it is used. Also, you should document what personal data you hold, where it came from and who you share it with.</w:t>
      </w:r>
    </w:p>
    <w:p w14:paraId="0F93F928" w14:textId="3A69A8A9" w:rsidR="00D91542" w:rsidRPr="000C4ECE" w:rsidRDefault="00D91542" w:rsidP="000C4ECE">
      <w:pPr>
        <w:pStyle w:val="ListParagraph"/>
        <w:numPr>
          <w:ilvl w:val="0"/>
          <w:numId w:val="21"/>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Identify personal data handling, managing and policy related gaps</w:t>
      </w:r>
      <w:r w:rsidRPr="000C4ECE">
        <w:rPr>
          <w:rFonts w:asciiTheme="minorHAnsi" w:hAnsiTheme="minorHAnsi" w:cstheme="minorHAnsi"/>
          <w:sz w:val="20"/>
          <w:szCs w:val="20"/>
        </w:rPr>
        <w:t xml:space="preserve">. </w:t>
      </w:r>
      <w:r w:rsidRPr="000C4ECE">
        <w:rPr>
          <w:rFonts w:asciiTheme="minorHAnsi" w:hAnsiTheme="minorHAnsi" w:cstheme="minorHAnsi"/>
          <w:i/>
          <w:sz w:val="20"/>
          <w:szCs w:val="20"/>
        </w:rPr>
        <w:t xml:space="preserve">This answer is correct because in this step of the GDPR, </w:t>
      </w:r>
      <w:r w:rsidR="00DB31AC">
        <w:rPr>
          <w:rFonts w:asciiTheme="minorHAnsi" w:hAnsiTheme="minorHAnsi" w:cstheme="minorHAnsi"/>
          <w:i/>
          <w:sz w:val="20"/>
          <w:szCs w:val="20"/>
        </w:rPr>
        <w:t>we</w:t>
      </w:r>
      <w:r w:rsidRPr="000C4ECE">
        <w:rPr>
          <w:rFonts w:asciiTheme="minorHAnsi" w:hAnsiTheme="minorHAnsi" w:cstheme="minorHAnsi"/>
          <w:i/>
          <w:sz w:val="20"/>
          <w:szCs w:val="20"/>
        </w:rPr>
        <w:t xml:space="preserve"> identify gaps between the protection policies your organization already have and the policies you have yet to comply in regards to GDPR.</w:t>
      </w:r>
    </w:p>
    <w:p w14:paraId="3ACA28F5" w14:textId="458046C8" w:rsidR="00D91542" w:rsidRPr="000C4ECE" w:rsidRDefault="00D91542" w:rsidP="000C4ECE">
      <w:pPr>
        <w:pStyle w:val="ListParagraph"/>
        <w:numPr>
          <w:ilvl w:val="0"/>
          <w:numId w:val="21"/>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Address challenges around people, process, and technology. </w:t>
      </w:r>
      <w:r w:rsidR="00DB31AC" w:rsidRPr="000C4ECE">
        <w:rPr>
          <w:rFonts w:asciiTheme="minorHAnsi" w:hAnsiTheme="minorHAnsi" w:cstheme="minorHAnsi"/>
          <w:i/>
          <w:sz w:val="20"/>
          <w:szCs w:val="20"/>
        </w:rPr>
        <w:t xml:space="preserve">This answer is </w:t>
      </w:r>
      <w:r w:rsidR="00DB31AC">
        <w:rPr>
          <w:rFonts w:asciiTheme="minorHAnsi" w:hAnsiTheme="minorHAnsi" w:cstheme="minorHAnsi"/>
          <w:i/>
          <w:sz w:val="20"/>
          <w:szCs w:val="20"/>
        </w:rPr>
        <w:t>in</w:t>
      </w:r>
      <w:r w:rsidR="00DB31AC" w:rsidRPr="000C4ECE">
        <w:rPr>
          <w:rFonts w:asciiTheme="minorHAnsi" w:hAnsiTheme="minorHAnsi" w:cstheme="minorHAnsi"/>
          <w:i/>
          <w:sz w:val="20"/>
          <w:szCs w:val="20"/>
        </w:rPr>
        <w:t>correct because</w:t>
      </w:r>
      <w:r w:rsidR="00DB31AC">
        <w:rPr>
          <w:rFonts w:asciiTheme="minorHAnsi" w:hAnsiTheme="minorHAnsi" w:cstheme="minorHAnsi"/>
          <w:i/>
          <w:sz w:val="20"/>
          <w:szCs w:val="20"/>
        </w:rPr>
        <w:t xml:space="preserve"> in this step we need to </w:t>
      </w:r>
      <w:r w:rsidR="00DB31AC" w:rsidRPr="00386310">
        <w:rPr>
          <w:rFonts w:asciiTheme="minorHAnsi" w:hAnsiTheme="minorHAnsi" w:cstheme="minorHAnsi"/>
          <w:i/>
          <w:sz w:val="20"/>
          <w:szCs w:val="20"/>
        </w:rPr>
        <w:t>support competent and skilled employees, effective processes, and your overall compliance strategy</w:t>
      </w:r>
      <w:r w:rsidR="00DB31AC">
        <w:rPr>
          <w:rFonts w:asciiTheme="minorHAnsi" w:hAnsiTheme="minorHAnsi" w:cstheme="minorHAnsi"/>
          <w:i/>
          <w:sz w:val="20"/>
          <w:szCs w:val="20"/>
        </w:rPr>
        <w:t>.</w:t>
      </w:r>
    </w:p>
    <w:p w14:paraId="78920608" w14:textId="3CD6AEE5" w:rsidR="00D91542" w:rsidRPr="000C4ECE" w:rsidRDefault="00D91542" w:rsidP="000C4ECE">
      <w:pPr>
        <w:pStyle w:val="ListParagraph"/>
        <w:numPr>
          <w:ilvl w:val="0"/>
          <w:numId w:val="21"/>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Define and communicate your data protection strategy. </w:t>
      </w:r>
      <w:r w:rsidR="00DB31AC" w:rsidRPr="000C4ECE">
        <w:rPr>
          <w:rFonts w:asciiTheme="minorHAnsi" w:hAnsiTheme="minorHAnsi" w:cstheme="minorHAnsi"/>
          <w:i/>
          <w:sz w:val="20"/>
          <w:szCs w:val="20"/>
        </w:rPr>
        <w:t xml:space="preserve">This answer is </w:t>
      </w:r>
      <w:r w:rsidR="00DB31AC">
        <w:rPr>
          <w:rFonts w:asciiTheme="minorHAnsi" w:hAnsiTheme="minorHAnsi" w:cstheme="minorHAnsi"/>
          <w:i/>
          <w:sz w:val="20"/>
          <w:szCs w:val="20"/>
        </w:rPr>
        <w:t>in</w:t>
      </w:r>
      <w:r w:rsidR="00DB31AC" w:rsidRPr="000C4ECE">
        <w:rPr>
          <w:rFonts w:asciiTheme="minorHAnsi" w:hAnsiTheme="minorHAnsi" w:cstheme="minorHAnsi"/>
          <w:i/>
          <w:sz w:val="20"/>
          <w:szCs w:val="20"/>
        </w:rPr>
        <w:t>correct because in this step the organizations need to define and communicate data protection strategies. And, every organization should have a written policy and procedure that is specific to their context about how they handle personal data and enact privacy principles.</w:t>
      </w:r>
    </w:p>
    <w:p w14:paraId="4F845754" w14:textId="18BE5E90" w:rsidR="00D91542" w:rsidRPr="000C4ECE" w:rsidRDefault="00D91542" w:rsidP="000C4ECE">
      <w:pPr>
        <w:jc w:val="both"/>
        <w:rPr>
          <w:rFonts w:asciiTheme="minorHAnsi" w:hAnsiTheme="minorHAnsi" w:cstheme="minorHAnsi"/>
          <w:sz w:val="20"/>
          <w:szCs w:val="20"/>
        </w:rPr>
      </w:pPr>
      <w:r w:rsidRPr="000C4ECE">
        <w:rPr>
          <w:rFonts w:asciiTheme="minorHAnsi" w:hAnsiTheme="minorHAnsi" w:cstheme="minorHAnsi"/>
          <w:sz w:val="20"/>
          <w:szCs w:val="20"/>
        </w:rPr>
        <w:t>Answer: b)</w:t>
      </w:r>
    </w:p>
    <w:p w14:paraId="5A3E80E5" w14:textId="2AE3AF14" w:rsidR="00D91542" w:rsidRPr="000C4ECE" w:rsidRDefault="00D91542" w:rsidP="000C4ECE">
      <w:pPr>
        <w:jc w:val="both"/>
        <w:rPr>
          <w:rFonts w:asciiTheme="minorHAnsi" w:hAnsiTheme="minorHAnsi" w:cstheme="minorHAnsi"/>
          <w:sz w:val="20"/>
          <w:szCs w:val="20"/>
        </w:rPr>
      </w:pPr>
    </w:p>
    <w:p w14:paraId="31CF9313" w14:textId="77777777" w:rsidR="00F47360" w:rsidRDefault="00F47360" w:rsidP="000C4ECE">
      <w:pPr>
        <w:jc w:val="both"/>
        <w:rPr>
          <w:rFonts w:asciiTheme="minorHAnsi" w:hAnsiTheme="minorHAnsi" w:cstheme="minorHAnsi"/>
          <w:b/>
          <w:sz w:val="20"/>
          <w:szCs w:val="20"/>
        </w:rPr>
      </w:pPr>
    </w:p>
    <w:p w14:paraId="13EEBDC9" w14:textId="75B81376" w:rsidR="00D91542" w:rsidRPr="00F47360" w:rsidRDefault="000C4ECE" w:rsidP="000C4ECE">
      <w:pPr>
        <w:jc w:val="both"/>
        <w:rPr>
          <w:rFonts w:asciiTheme="minorHAnsi" w:hAnsiTheme="minorHAnsi" w:cstheme="minorHAnsi"/>
          <w:b/>
          <w:sz w:val="20"/>
          <w:szCs w:val="20"/>
        </w:rPr>
      </w:pPr>
      <w:r w:rsidRPr="00F47360">
        <w:rPr>
          <w:rFonts w:asciiTheme="minorHAnsi" w:hAnsiTheme="minorHAnsi" w:cstheme="minorHAnsi"/>
          <w:b/>
          <w:sz w:val="20"/>
          <w:szCs w:val="20"/>
        </w:rPr>
        <w:t xml:space="preserve">Under which step of the GDPR, we </w:t>
      </w:r>
      <w:r w:rsidRPr="00F47360">
        <w:rPr>
          <w:rFonts w:asciiTheme="minorHAnsi" w:hAnsiTheme="minorHAnsi" w:cstheme="minorHAnsi"/>
          <w:b/>
          <w:sz w:val="20"/>
          <w:szCs w:val="20"/>
        </w:rPr>
        <w:t>need to revise or modify our data processing procedures, implementation, and the security of these processes- in order to bridge the gaps of compliance in our organization</w:t>
      </w:r>
      <w:r w:rsidRPr="00F47360">
        <w:rPr>
          <w:rFonts w:asciiTheme="minorHAnsi" w:hAnsiTheme="minorHAnsi" w:cstheme="minorHAnsi"/>
          <w:b/>
          <w:sz w:val="20"/>
          <w:szCs w:val="20"/>
        </w:rPr>
        <w:t>.</w:t>
      </w:r>
    </w:p>
    <w:p w14:paraId="4AA47940" w14:textId="1861A208" w:rsidR="000C4ECE" w:rsidRPr="000C4ECE" w:rsidRDefault="000C4ECE" w:rsidP="000C4ECE">
      <w:pPr>
        <w:pStyle w:val="ListParagraph"/>
        <w:numPr>
          <w:ilvl w:val="0"/>
          <w:numId w:val="22"/>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Understand how your organization uses personal data. </w:t>
      </w:r>
      <w:r w:rsidRPr="000C4ECE">
        <w:rPr>
          <w:rFonts w:asciiTheme="minorHAnsi" w:hAnsiTheme="minorHAnsi" w:cstheme="minorHAnsi"/>
          <w:i/>
          <w:sz w:val="20"/>
          <w:szCs w:val="20"/>
        </w:rPr>
        <w:t xml:space="preserve">This answer is </w:t>
      </w:r>
      <w:r w:rsidR="00C41AC0">
        <w:rPr>
          <w:rFonts w:asciiTheme="minorHAnsi" w:hAnsiTheme="minorHAnsi" w:cstheme="minorHAnsi"/>
          <w:i/>
          <w:sz w:val="20"/>
          <w:szCs w:val="20"/>
        </w:rPr>
        <w:t>in</w:t>
      </w:r>
      <w:r w:rsidRPr="000C4ECE">
        <w:rPr>
          <w:rFonts w:asciiTheme="minorHAnsi" w:hAnsiTheme="minorHAnsi" w:cstheme="minorHAnsi"/>
          <w:i/>
          <w:sz w:val="20"/>
          <w:szCs w:val="20"/>
        </w:rPr>
        <w:t>correct because in this step you need to understand what kind of personal data your company has and how it is used. Also, you should document what personal data you hold, where it came from and who you share it with.</w:t>
      </w:r>
    </w:p>
    <w:p w14:paraId="22CC6C63" w14:textId="77777777" w:rsidR="000C4ECE" w:rsidRPr="000C4ECE" w:rsidRDefault="000C4ECE" w:rsidP="000C4ECE">
      <w:pPr>
        <w:pStyle w:val="ListParagraph"/>
        <w:numPr>
          <w:ilvl w:val="0"/>
          <w:numId w:val="22"/>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Identify personal data handling, managing and policy related gaps. </w:t>
      </w:r>
      <w:r w:rsidRPr="000C4ECE">
        <w:rPr>
          <w:rFonts w:asciiTheme="minorHAnsi" w:hAnsiTheme="minorHAnsi" w:cstheme="minorHAnsi"/>
          <w:i/>
          <w:sz w:val="20"/>
          <w:szCs w:val="20"/>
        </w:rPr>
        <w:t>This answer is incorrect because in this step of the GDPR, it is important to identify gaps between the protection policies your organization already have and the policies you have yet to comply in regards to GDPR.</w:t>
      </w:r>
    </w:p>
    <w:p w14:paraId="1766C72B" w14:textId="1D759DD0" w:rsidR="000C4ECE" w:rsidRPr="000C4ECE" w:rsidRDefault="000C4ECE" w:rsidP="00C41AC0">
      <w:pPr>
        <w:pStyle w:val="ListParagraph"/>
        <w:numPr>
          <w:ilvl w:val="0"/>
          <w:numId w:val="22"/>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lastRenderedPageBreak/>
        <w:t xml:space="preserve">Address challenges around people, process, and technology. </w:t>
      </w:r>
      <w:r w:rsidR="00C41AC0" w:rsidRPr="000C4ECE">
        <w:rPr>
          <w:rFonts w:asciiTheme="minorHAnsi" w:hAnsiTheme="minorHAnsi" w:cstheme="minorHAnsi"/>
          <w:i/>
          <w:sz w:val="20"/>
          <w:szCs w:val="20"/>
        </w:rPr>
        <w:t>This answer is correct because</w:t>
      </w:r>
      <w:r w:rsidR="00C41AC0">
        <w:rPr>
          <w:rFonts w:asciiTheme="minorHAnsi" w:hAnsiTheme="minorHAnsi" w:cstheme="minorHAnsi"/>
          <w:i/>
          <w:sz w:val="20"/>
          <w:szCs w:val="20"/>
        </w:rPr>
        <w:t xml:space="preserve"> in this step we need to </w:t>
      </w:r>
      <w:r w:rsidR="00C41AC0" w:rsidRPr="00386310">
        <w:rPr>
          <w:rFonts w:asciiTheme="minorHAnsi" w:hAnsiTheme="minorHAnsi" w:cstheme="minorHAnsi"/>
          <w:i/>
          <w:sz w:val="20"/>
          <w:szCs w:val="20"/>
        </w:rPr>
        <w:t>support competent and skilled employees, effective processes, and your overall compliance strategy</w:t>
      </w:r>
      <w:r w:rsidR="00C41AC0">
        <w:rPr>
          <w:rFonts w:asciiTheme="minorHAnsi" w:hAnsiTheme="minorHAnsi" w:cstheme="minorHAnsi"/>
          <w:i/>
          <w:sz w:val="20"/>
          <w:szCs w:val="20"/>
        </w:rPr>
        <w:t>.</w:t>
      </w:r>
      <w:r w:rsidR="00C41AC0">
        <w:rPr>
          <w:rFonts w:asciiTheme="minorHAnsi" w:hAnsiTheme="minorHAnsi" w:cstheme="minorHAnsi"/>
          <w:i/>
          <w:sz w:val="20"/>
          <w:szCs w:val="20"/>
        </w:rPr>
        <w:t xml:space="preserve"> In this step, y</w:t>
      </w:r>
      <w:r w:rsidR="00C41AC0" w:rsidRPr="00C41AC0">
        <w:rPr>
          <w:rFonts w:asciiTheme="minorHAnsi" w:hAnsiTheme="minorHAnsi" w:cstheme="minorHAnsi"/>
          <w:i/>
          <w:sz w:val="20"/>
          <w:szCs w:val="20"/>
        </w:rPr>
        <w:t>ou may need to revise or modify your data processing procedures, implementation, and the security of these processes- in order to bridge the gaps of compliance in your organization.</w:t>
      </w:r>
    </w:p>
    <w:p w14:paraId="5CF36EBF" w14:textId="17FC8556" w:rsidR="000C4ECE" w:rsidRPr="000C4ECE" w:rsidRDefault="000C4ECE" w:rsidP="000C4ECE">
      <w:pPr>
        <w:pStyle w:val="ListParagraph"/>
        <w:numPr>
          <w:ilvl w:val="0"/>
          <w:numId w:val="22"/>
        </w:numPr>
        <w:spacing w:after="160" w:line="259" w:lineRule="auto"/>
        <w:jc w:val="both"/>
        <w:rPr>
          <w:rFonts w:asciiTheme="minorHAnsi" w:hAnsiTheme="minorHAnsi" w:cstheme="minorHAnsi"/>
          <w:sz w:val="20"/>
          <w:szCs w:val="20"/>
        </w:rPr>
      </w:pPr>
      <w:r w:rsidRPr="000C4ECE">
        <w:rPr>
          <w:rFonts w:asciiTheme="minorHAnsi" w:hAnsiTheme="minorHAnsi" w:cstheme="minorHAnsi"/>
          <w:sz w:val="20"/>
          <w:szCs w:val="20"/>
        </w:rPr>
        <w:t xml:space="preserve">Define and communicate your data protection strategy. </w:t>
      </w:r>
      <w:r w:rsidR="00C41AC0" w:rsidRPr="000C4ECE">
        <w:rPr>
          <w:rFonts w:asciiTheme="minorHAnsi" w:hAnsiTheme="minorHAnsi" w:cstheme="minorHAnsi"/>
          <w:i/>
          <w:sz w:val="20"/>
          <w:szCs w:val="20"/>
        </w:rPr>
        <w:t xml:space="preserve">This answer is </w:t>
      </w:r>
      <w:r w:rsidR="00C41AC0">
        <w:rPr>
          <w:rFonts w:asciiTheme="minorHAnsi" w:hAnsiTheme="minorHAnsi" w:cstheme="minorHAnsi"/>
          <w:i/>
          <w:sz w:val="20"/>
          <w:szCs w:val="20"/>
        </w:rPr>
        <w:t>in</w:t>
      </w:r>
      <w:r w:rsidR="00C41AC0" w:rsidRPr="000C4ECE">
        <w:rPr>
          <w:rFonts w:asciiTheme="minorHAnsi" w:hAnsiTheme="minorHAnsi" w:cstheme="minorHAnsi"/>
          <w:i/>
          <w:sz w:val="20"/>
          <w:szCs w:val="20"/>
        </w:rPr>
        <w:t>correct because in this step the organizations need to define and communicate data protection strategies. And, every organization should have a written policy and procedure that is specific to their context about how they handle personal data and enact privacy principles.</w:t>
      </w:r>
    </w:p>
    <w:p w14:paraId="01EC8316" w14:textId="1B1C6279" w:rsidR="000C4ECE" w:rsidRPr="000C4ECE" w:rsidRDefault="000C4ECE" w:rsidP="000C4ECE">
      <w:pPr>
        <w:jc w:val="both"/>
        <w:rPr>
          <w:rFonts w:asciiTheme="minorHAnsi" w:hAnsiTheme="minorHAnsi" w:cstheme="minorHAnsi"/>
          <w:sz w:val="20"/>
          <w:szCs w:val="20"/>
        </w:rPr>
      </w:pPr>
      <w:r w:rsidRPr="000C4ECE">
        <w:rPr>
          <w:rFonts w:asciiTheme="minorHAnsi" w:hAnsiTheme="minorHAnsi" w:cstheme="minorHAnsi"/>
          <w:sz w:val="20"/>
          <w:szCs w:val="20"/>
        </w:rPr>
        <w:t xml:space="preserve">Answer: </w:t>
      </w:r>
      <w:r w:rsidR="00F468C7">
        <w:rPr>
          <w:rFonts w:asciiTheme="minorHAnsi" w:hAnsiTheme="minorHAnsi" w:cstheme="minorHAnsi"/>
          <w:sz w:val="20"/>
          <w:szCs w:val="20"/>
        </w:rPr>
        <w:t>c</w:t>
      </w:r>
      <w:r w:rsidRPr="000C4ECE">
        <w:rPr>
          <w:rFonts w:asciiTheme="minorHAnsi" w:hAnsiTheme="minorHAnsi" w:cstheme="minorHAnsi"/>
          <w:sz w:val="20"/>
          <w:szCs w:val="20"/>
        </w:rPr>
        <w:t>)</w:t>
      </w:r>
    </w:p>
    <w:p w14:paraId="54FC10A1" w14:textId="657DD478" w:rsidR="000C4ECE" w:rsidRPr="000C4ECE" w:rsidRDefault="000C4ECE" w:rsidP="000C4ECE">
      <w:pPr>
        <w:jc w:val="both"/>
        <w:rPr>
          <w:rFonts w:asciiTheme="minorHAnsi" w:hAnsiTheme="minorHAnsi" w:cstheme="minorHAnsi"/>
          <w:sz w:val="20"/>
          <w:szCs w:val="20"/>
        </w:rPr>
      </w:pPr>
      <w:bookmarkStart w:id="0" w:name="_GoBack"/>
      <w:bookmarkEnd w:id="0"/>
    </w:p>
    <w:p w14:paraId="274CDC22" w14:textId="4AA5C457" w:rsidR="000C4ECE" w:rsidRPr="000C4ECE" w:rsidRDefault="000C4ECE" w:rsidP="000C4ECE">
      <w:pPr>
        <w:jc w:val="both"/>
        <w:rPr>
          <w:rFonts w:asciiTheme="minorHAnsi" w:hAnsiTheme="minorHAnsi" w:cstheme="minorHAnsi"/>
          <w:sz w:val="20"/>
          <w:szCs w:val="20"/>
        </w:rPr>
      </w:pPr>
    </w:p>
    <w:p w14:paraId="546A1C17" w14:textId="77777777" w:rsidR="000C4ECE" w:rsidRPr="000C4ECE" w:rsidRDefault="000C4ECE" w:rsidP="000C4ECE">
      <w:pPr>
        <w:jc w:val="both"/>
        <w:rPr>
          <w:rFonts w:asciiTheme="minorHAnsi" w:hAnsiTheme="minorHAnsi" w:cstheme="minorHAnsi"/>
          <w:sz w:val="20"/>
          <w:szCs w:val="20"/>
        </w:rPr>
      </w:pPr>
    </w:p>
    <w:sectPr w:rsidR="000C4ECE" w:rsidRPr="000C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0CFB2" w14:textId="77777777" w:rsidR="00FC67C2" w:rsidRDefault="00FC67C2" w:rsidP="00961FCB">
      <w:r>
        <w:separator/>
      </w:r>
    </w:p>
  </w:endnote>
  <w:endnote w:type="continuationSeparator" w:id="0">
    <w:p w14:paraId="3A6896AE" w14:textId="77777777" w:rsidR="00FC67C2" w:rsidRDefault="00FC67C2"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A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EBCFE" w14:textId="77777777" w:rsidR="00FC67C2" w:rsidRDefault="00FC67C2" w:rsidP="00961FCB">
      <w:r>
        <w:separator/>
      </w:r>
    </w:p>
  </w:footnote>
  <w:footnote w:type="continuationSeparator" w:id="0">
    <w:p w14:paraId="742A5F8A" w14:textId="77777777" w:rsidR="00FC67C2" w:rsidRDefault="00FC67C2"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61C86D"/>
    <w:multiLevelType w:val="hybridMultilevel"/>
    <w:tmpl w:val="E0013A0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0EEB57"/>
    <w:multiLevelType w:val="hybridMultilevel"/>
    <w:tmpl w:val="FBA041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6104B0"/>
    <w:multiLevelType w:val="hybridMultilevel"/>
    <w:tmpl w:val="23A27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B1E25"/>
    <w:multiLevelType w:val="hybridMultilevel"/>
    <w:tmpl w:val="4C56D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83521"/>
    <w:multiLevelType w:val="hybridMultilevel"/>
    <w:tmpl w:val="B8E071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4D42C00"/>
    <w:multiLevelType w:val="hybridMultilevel"/>
    <w:tmpl w:val="F206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E7EFE"/>
    <w:multiLevelType w:val="hybridMultilevel"/>
    <w:tmpl w:val="4EFC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A5509"/>
    <w:multiLevelType w:val="hybridMultilevel"/>
    <w:tmpl w:val="34368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A1F5A"/>
    <w:multiLevelType w:val="hybridMultilevel"/>
    <w:tmpl w:val="2E8C1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3E4E"/>
    <w:multiLevelType w:val="hybridMultilevel"/>
    <w:tmpl w:val="E1CAA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049B0"/>
    <w:multiLevelType w:val="hybridMultilevel"/>
    <w:tmpl w:val="77BE1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BAEBB"/>
    <w:multiLevelType w:val="hybridMultilevel"/>
    <w:tmpl w:val="17E8CF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2BB54D8"/>
    <w:multiLevelType w:val="hybridMultilevel"/>
    <w:tmpl w:val="51D83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04B53"/>
    <w:multiLevelType w:val="hybridMultilevel"/>
    <w:tmpl w:val="CCC2D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05E95"/>
    <w:multiLevelType w:val="hybridMultilevel"/>
    <w:tmpl w:val="26FAD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85701"/>
    <w:multiLevelType w:val="hybridMultilevel"/>
    <w:tmpl w:val="F7426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C3455"/>
    <w:multiLevelType w:val="hybridMultilevel"/>
    <w:tmpl w:val="4EFC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77368"/>
    <w:multiLevelType w:val="hybridMultilevel"/>
    <w:tmpl w:val="4EFC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9E171"/>
    <w:multiLevelType w:val="hybridMultilevel"/>
    <w:tmpl w:val="A7E4D2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96C2BBE"/>
    <w:multiLevelType w:val="hybridMultilevel"/>
    <w:tmpl w:val="4EFC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B09D3"/>
    <w:multiLevelType w:val="hybridMultilevel"/>
    <w:tmpl w:val="170A4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534BC"/>
    <w:multiLevelType w:val="hybridMultilevel"/>
    <w:tmpl w:val="99A6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F0A36"/>
    <w:multiLevelType w:val="hybridMultilevel"/>
    <w:tmpl w:val="EF60E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5"/>
  </w:num>
  <w:num w:numId="5">
    <w:abstractNumId w:val="21"/>
  </w:num>
  <w:num w:numId="6">
    <w:abstractNumId w:val="0"/>
  </w:num>
  <w:num w:numId="7">
    <w:abstractNumId w:val="4"/>
  </w:num>
  <w:num w:numId="8">
    <w:abstractNumId w:val="18"/>
  </w:num>
  <w:num w:numId="9">
    <w:abstractNumId w:val="1"/>
  </w:num>
  <w:num w:numId="10">
    <w:abstractNumId w:val="11"/>
  </w:num>
  <w:num w:numId="11">
    <w:abstractNumId w:val="20"/>
  </w:num>
  <w:num w:numId="12">
    <w:abstractNumId w:val="8"/>
  </w:num>
  <w:num w:numId="13">
    <w:abstractNumId w:val="22"/>
  </w:num>
  <w:num w:numId="14">
    <w:abstractNumId w:val="7"/>
  </w:num>
  <w:num w:numId="15">
    <w:abstractNumId w:val="13"/>
  </w:num>
  <w:num w:numId="16">
    <w:abstractNumId w:val="14"/>
  </w:num>
  <w:num w:numId="17">
    <w:abstractNumId w:val="9"/>
  </w:num>
  <w:num w:numId="18">
    <w:abstractNumId w:val="3"/>
  </w:num>
  <w:num w:numId="19">
    <w:abstractNumId w:val="17"/>
  </w:num>
  <w:num w:numId="20">
    <w:abstractNumId w:val="16"/>
  </w:num>
  <w:num w:numId="21">
    <w:abstractNumId w:val="6"/>
  </w:num>
  <w:num w:numId="22">
    <w:abstractNumId w:val="19"/>
  </w:num>
  <w:num w:numId="2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NKgFAIhGRHAtAAAA"/>
  </w:docVars>
  <w:rsids>
    <w:rsidRoot w:val="00EF4D80"/>
    <w:rsid w:val="000533B6"/>
    <w:rsid w:val="0009411E"/>
    <w:rsid w:val="000975FA"/>
    <w:rsid w:val="000C4ECE"/>
    <w:rsid w:val="000D6B00"/>
    <w:rsid w:val="000F480B"/>
    <w:rsid w:val="00155A75"/>
    <w:rsid w:val="00167673"/>
    <w:rsid w:val="001C3845"/>
    <w:rsid w:val="001C60F6"/>
    <w:rsid w:val="001D6D2C"/>
    <w:rsid w:val="00203765"/>
    <w:rsid w:val="00224086"/>
    <w:rsid w:val="002468F1"/>
    <w:rsid w:val="002570A4"/>
    <w:rsid w:val="002603D0"/>
    <w:rsid w:val="00263DBF"/>
    <w:rsid w:val="002E47F1"/>
    <w:rsid w:val="002F4F00"/>
    <w:rsid w:val="00314292"/>
    <w:rsid w:val="00323428"/>
    <w:rsid w:val="00333046"/>
    <w:rsid w:val="00336D9D"/>
    <w:rsid w:val="00343803"/>
    <w:rsid w:val="003544FE"/>
    <w:rsid w:val="00362B37"/>
    <w:rsid w:val="00363B72"/>
    <w:rsid w:val="00373365"/>
    <w:rsid w:val="0037493F"/>
    <w:rsid w:val="00386310"/>
    <w:rsid w:val="00390C5E"/>
    <w:rsid w:val="00395B14"/>
    <w:rsid w:val="003B1425"/>
    <w:rsid w:val="003C25FE"/>
    <w:rsid w:val="003E496D"/>
    <w:rsid w:val="003F017D"/>
    <w:rsid w:val="00400ACF"/>
    <w:rsid w:val="00466785"/>
    <w:rsid w:val="00487F48"/>
    <w:rsid w:val="0049653C"/>
    <w:rsid w:val="004B4D58"/>
    <w:rsid w:val="004E52AD"/>
    <w:rsid w:val="00527DA8"/>
    <w:rsid w:val="00540CED"/>
    <w:rsid w:val="00552790"/>
    <w:rsid w:val="005E1FD0"/>
    <w:rsid w:val="005E290D"/>
    <w:rsid w:val="005F5878"/>
    <w:rsid w:val="00633C26"/>
    <w:rsid w:val="00635A6E"/>
    <w:rsid w:val="00643766"/>
    <w:rsid w:val="006630B5"/>
    <w:rsid w:val="0067166B"/>
    <w:rsid w:val="00681010"/>
    <w:rsid w:val="00685030"/>
    <w:rsid w:val="006B70AE"/>
    <w:rsid w:val="006C73B9"/>
    <w:rsid w:val="006D768D"/>
    <w:rsid w:val="00745F5E"/>
    <w:rsid w:val="00754A2A"/>
    <w:rsid w:val="00761DEE"/>
    <w:rsid w:val="007834E3"/>
    <w:rsid w:val="007A4287"/>
    <w:rsid w:val="007C09A9"/>
    <w:rsid w:val="007D7CAD"/>
    <w:rsid w:val="007E0D98"/>
    <w:rsid w:val="00800963"/>
    <w:rsid w:val="00830D6C"/>
    <w:rsid w:val="0086471B"/>
    <w:rsid w:val="00875582"/>
    <w:rsid w:val="00886CA5"/>
    <w:rsid w:val="008A1427"/>
    <w:rsid w:val="008C01E0"/>
    <w:rsid w:val="008F203E"/>
    <w:rsid w:val="00933571"/>
    <w:rsid w:val="00937292"/>
    <w:rsid w:val="00961FCB"/>
    <w:rsid w:val="00974826"/>
    <w:rsid w:val="0097506C"/>
    <w:rsid w:val="00987139"/>
    <w:rsid w:val="009A05C3"/>
    <w:rsid w:val="009C4CC1"/>
    <w:rsid w:val="009D4C8E"/>
    <w:rsid w:val="00A256D0"/>
    <w:rsid w:val="00A256F3"/>
    <w:rsid w:val="00A346FF"/>
    <w:rsid w:val="00A46A82"/>
    <w:rsid w:val="00A5186A"/>
    <w:rsid w:val="00A52911"/>
    <w:rsid w:val="00A74403"/>
    <w:rsid w:val="00A900DC"/>
    <w:rsid w:val="00AA0C79"/>
    <w:rsid w:val="00AB7731"/>
    <w:rsid w:val="00AE38DF"/>
    <w:rsid w:val="00AE7E13"/>
    <w:rsid w:val="00AF0CBD"/>
    <w:rsid w:val="00B20DB9"/>
    <w:rsid w:val="00B22083"/>
    <w:rsid w:val="00B546BA"/>
    <w:rsid w:val="00B81696"/>
    <w:rsid w:val="00BB405A"/>
    <w:rsid w:val="00BC3DA8"/>
    <w:rsid w:val="00C30D8C"/>
    <w:rsid w:val="00C335E5"/>
    <w:rsid w:val="00C41AC0"/>
    <w:rsid w:val="00C76120"/>
    <w:rsid w:val="00C858E6"/>
    <w:rsid w:val="00C97EA5"/>
    <w:rsid w:val="00CA634E"/>
    <w:rsid w:val="00D144A1"/>
    <w:rsid w:val="00D53D42"/>
    <w:rsid w:val="00D56074"/>
    <w:rsid w:val="00D91542"/>
    <w:rsid w:val="00DB0AF3"/>
    <w:rsid w:val="00DB31AC"/>
    <w:rsid w:val="00DB48A7"/>
    <w:rsid w:val="00DC2D35"/>
    <w:rsid w:val="00DC5ED6"/>
    <w:rsid w:val="00E04D72"/>
    <w:rsid w:val="00E33A56"/>
    <w:rsid w:val="00E362AC"/>
    <w:rsid w:val="00E73359"/>
    <w:rsid w:val="00E76C71"/>
    <w:rsid w:val="00E83911"/>
    <w:rsid w:val="00E84D98"/>
    <w:rsid w:val="00EA1247"/>
    <w:rsid w:val="00EA1DB4"/>
    <w:rsid w:val="00EC523F"/>
    <w:rsid w:val="00EF4D80"/>
    <w:rsid w:val="00F03A71"/>
    <w:rsid w:val="00F1695C"/>
    <w:rsid w:val="00F21E08"/>
    <w:rsid w:val="00F222FD"/>
    <w:rsid w:val="00F32447"/>
    <w:rsid w:val="00F37DAD"/>
    <w:rsid w:val="00F468C7"/>
    <w:rsid w:val="00F47360"/>
    <w:rsid w:val="00F52F5E"/>
    <w:rsid w:val="00F826E3"/>
    <w:rsid w:val="00FC67C2"/>
    <w:rsid w:val="00FC7EC7"/>
    <w:rsid w:val="00FD050B"/>
    <w:rsid w:val="00FF1BF3"/>
    <w:rsid w:val="00FF22FB"/>
    <w:rsid w:val="00FF2A92"/>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45</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11</cp:revision>
  <dcterms:created xsi:type="dcterms:W3CDTF">2018-05-25T03:04:00Z</dcterms:created>
  <dcterms:modified xsi:type="dcterms:W3CDTF">2018-05-25T06:26:00Z</dcterms:modified>
</cp:coreProperties>
</file>