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C03F42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7</w:t>
      </w:r>
      <w:r w:rsidR="00396B4A">
        <w:rPr>
          <w:color w:val="auto"/>
          <w:sz w:val="56"/>
        </w:rPr>
        <w:t xml:space="preserve">: </w:t>
      </w:r>
      <w:proofErr w:type="spellStart"/>
      <w:r>
        <w:t>ElasticSearch</w:t>
      </w:r>
      <w:proofErr w:type="spellEnd"/>
      <w:r>
        <w:t xml:space="preserve"> Backups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2674DB" w:rsidRPr="002674DB">
        <w:rPr>
          <w:rFonts w:asciiTheme="majorHAnsi" w:eastAsia="Calibri" w:hAnsiTheme="majorHAnsi" w:cs="Calibri"/>
          <w:color w:val="000000"/>
        </w:rPr>
        <w:t>This section covers backups and restorations in ElasticSearch</w:t>
      </w:r>
      <w:bookmarkStart w:id="0" w:name="_GoBack"/>
      <w:bookmarkEnd w:id="0"/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51163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C03F4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C03F42" w:rsidP="009D0F4F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Overview of Backup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C03F42" w:rsidP="00C03F42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The fact remains that even t</w:t>
            </w:r>
            <w:r>
              <w:rPr>
                <w:rFonts w:asciiTheme="majorHAnsi" w:hAnsiTheme="majorHAnsi"/>
              </w:rPr>
              <w:t xml:space="preserve">he most optimized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C03F42">
              <w:rPr>
                <w:rFonts w:asciiTheme="majorHAnsi" w:hAnsiTheme="majorHAnsi"/>
              </w:rPr>
              <w:t>cluster can go down or experience setbacks. As s</w:t>
            </w:r>
            <w:r>
              <w:rPr>
                <w:rFonts w:asciiTheme="majorHAnsi" w:hAnsiTheme="majorHAnsi"/>
              </w:rPr>
              <w:t xml:space="preserve">uch, having an effective backup </w:t>
            </w:r>
            <w:r w:rsidRPr="00C03F42">
              <w:rPr>
                <w:rFonts w:asciiTheme="majorHAnsi" w:hAnsiTheme="majorHAnsi"/>
              </w:rPr>
              <w:t>provides an immediate way to rollback and restore data.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C03F42" w:rsidP="00302A97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 xml:space="preserve">Understand how backups work in </w:t>
            </w:r>
            <w:proofErr w:type="spellStart"/>
            <w:r w:rsidRPr="00C03F42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C03F42" w:rsidP="009D0F4F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Learn steps to setting up a backup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C03F42" w:rsidP="00044FB5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Get helpful tips on backups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C03F42">
        <w:rPr>
          <w:color w:val="auto"/>
          <w:sz w:val="96"/>
        </w:rPr>
        <w:t>7</w:t>
      </w:r>
    </w:p>
    <w:p w:rsidR="00AC1E0E" w:rsidRDefault="00AC1E0E" w:rsidP="00AC1E0E">
      <w:r w:rsidRPr="00AC1E0E">
        <w:lastRenderedPageBreak/>
        <w:t>Section Description (from the outline): Describe what this section intends to cover- decided during outline discussion.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59"/>
        <w:gridCol w:w="1708"/>
        <w:gridCol w:w="3526"/>
        <w:gridCol w:w="2383"/>
        <w:gridCol w:w="2065"/>
        <w:gridCol w:w="2235"/>
      </w:tblGrid>
      <w:tr w:rsidR="00451163" w:rsidRPr="00B129CD" w:rsidTr="00044FB5">
        <w:trPr>
          <w:trHeight w:val="29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51163" w:rsidRPr="00B129CD" w:rsidTr="00044FB5">
        <w:trPr>
          <w:trHeight w:val="593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451163" w:rsidRPr="00B129CD" w:rsidTr="00044FB5">
        <w:trPr>
          <w:trHeight w:val="6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C03F4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C03F42" w:rsidP="00B224DA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Repositories and Snapshots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C03F42" w:rsidP="00C03F42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 xml:space="preserve">Repositories and </w:t>
            </w:r>
            <w:r>
              <w:rPr>
                <w:rFonts w:asciiTheme="majorHAnsi" w:hAnsiTheme="majorHAnsi"/>
              </w:rPr>
              <w:t xml:space="preserve">Snapshots are the two necessary </w:t>
            </w:r>
            <w:r w:rsidRPr="00C03F42">
              <w:rPr>
                <w:rFonts w:asciiTheme="majorHAnsi" w:hAnsiTheme="majorHAnsi"/>
              </w:rPr>
              <w:t xml:space="preserve">components when backing up in </w:t>
            </w:r>
            <w:proofErr w:type="spellStart"/>
            <w:r w:rsidRPr="00C03F42">
              <w:rPr>
                <w:rFonts w:asciiTheme="majorHAnsi" w:hAnsiTheme="majorHAnsi"/>
              </w:rPr>
              <w:t>Ela</w:t>
            </w:r>
            <w:r>
              <w:rPr>
                <w:rFonts w:asciiTheme="majorHAnsi" w:hAnsiTheme="majorHAnsi"/>
              </w:rPr>
              <w:t>sticSearch</w:t>
            </w:r>
            <w:proofErr w:type="spellEnd"/>
            <w:r>
              <w:rPr>
                <w:rFonts w:asciiTheme="majorHAnsi" w:hAnsiTheme="majorHAnsi"/>
              </w:rPr>
              <w:t xml:space="preserve">. Both require deeper </w:t>
            </w:r>
            <w:r w:rsidRPr="00C03F42">
              <w:rPr>
                <w:rFonts w:asciiTheme="majorHAnsi" w:hAnsiTheme="majorHAnsi"/>
              </w:rPr>
              <w:t>understanding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C03F42" w:rsidP="00B224DA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Learn to register a repository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C03F42" w:rsidP="00B224DA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Gain experience in creating snapshots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C03F42" w:rsidP="00B224DA">
            <w:pPr>
              <w:rPr>
                <w:rFonts w:asciiTheme="majorHAnsi" w:hAnsiTheme="majorHAnsi"/>
              </w:rPr>
            </w:pPr>
            <w:r w:rsidRPr="00C03F42">
              <w:rPr>
                <w:rFonts w:asciiTheme="majorHAnsi" w:hAnsiTheme="majorHAnsi"/>
              </w:rPr>
              <w:t>View and understand snapshot details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44FB5"/>
    <w:rsid w:val="00060ABB"/>
    <w:rsid w:val="0006414A"/>
    <w:rsid w:val="00076BA4"/>
    <w:rsid w:val="000F5E81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674DB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0593"/>
    <w:rsid w:val="00436292"/>
    <w:rsid w:val="00451163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D62C9"/>
    <w:rsid w:val="005F37C7"/>
    <w:rsid w:val="00600157"/>
    <w:rsid w:val="00617185"/>
    <w:rsid w:val="0062389F"/>
    <w:rsid w:val="006241EE"/>
    <w:rsid w:val="0062789A"/>
    <w:rsid w:val="00631C00"/>
    <w:rsid w:val="00632081"/>
    <w:rsid w:val="006666AF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03F42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4</cp:revision>
  <dcterms:created xsi:type="dcterms:W3CDTF">2017-07-25T01:23:00Z</dcterms:created>
  <dcterms:modified xsi:type="dcterms:W3CDTF">2017-07-25T01:38:00Z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