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Pashun Sports — US Delivery Timescales</w:t>
      </w:r>
    </w:p>
    <w:p>
      <w:pPr>
        <w:spacing w:after="130"/>
      </w:pPr>
      <w:r>
        <w:rPr>
          <w:i/>
          <w:iCs/>
          <w:sz w:val="20"/>
          <w:szCs w:val="20"/>
        </w:rPr>
        <w:t xml:space="preserve">Applies to: Pashun Pro Tee, US customers  |  Owner: Morgan Reyes, Head of Finance</w:t>
      </w:r>
    </w:p>
    <w:p>
      <w:pPr>
        <w:pStyle w:val="Heading1"/>
        <w:spacing w:after="140" w:before="280"/>
      </w:pPr>
      <w:r>
        <w:t xml:space="preserve">1. Standard Delivery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000"/>
      </w:tblGrid>
      <w:tr>
        <w:tc>
          <w:tcPr>
            <w:tcW w:type="dxa" w:w="3000"/>
            <w:shd w:fill="1E4D7B" w:val="clear"/>
          </w:tcPr>
          <w:p>
            <w:r>
              <w:rPr>
                <w:b/>
                <w:bCs/>
                <w:color w:val="FFFFFF"/>
                <w:sz w:val="20"/>
                <w:szCs w:val="20"/>
              </w:rPr>
              <w:t xml:space="preserve">Region</w:t>
            </w:r>
          </w:p>
        </w:tc>
        <w:tc>
          <w:tcPr>
            <w:tcW w:type="dxa" w:w="3300"/>
            <w:shd w:fill="1E4D7B" w:val="clear"/>
          </w:tcPr>
          <w:p>
            <w:r>
              <w:rPr>
                <w:b/>
                <w:bCs/>
                <w:color w:val="FFFFFF"/>
                <w:sz w:val="20"/>
                <w:szCs w:val="20"/>
              </w:rPr>
              <w:t xml:space="preserve">Delivery Window</w:t>
            </w:r>
          </w:p>
        </w:tc>
        <w:tc>
          <w:tcPr>
            <w:tcW w:type="dxa" w:w="3000"/>
            <w:shd w:fill="1E4D7B" w:val="clear"/>
          </w:tcPr>
          <w:p>
            <w:r>
              <w:rPr>
                <w:b/>
                <w:bCs/>
                <w:color w:val="FFFFFF"/>
                <w:sz w:val="20"/>
                <w:szCs w:val="20"/>
              </w:rPr>
              <w:t xml:space="preserve">Carrier</w:t>
            </w:r>
          </w:p>
        </w:tc>
      </w:tr>
      <w:tr>
        <w:tc>
          <w:tcPr>
            <w:tcW w:type="dxa" w:w="3000"/>
          </w:tcPr>
          <w:p>
            <w:r>
              <w:rPr>
                <w:b w:val="false"/>
                <w:bCs w:val="false"/>
                <w:sz w:val="20"/>
                <w:szCs w:val="20"/>
              </w:rPr>
              <w:t xml:space="preserve">West Coast</w:t>
            </w:r>
          </w:p>
        </w:tc>
        <w:tc>
          <w:tcPr>
            <w:tcW w:type="dxa" w:w="3300"/>
          </w:tcPr>
          <w:p>
            <w:r>
              <w:rPr>
                <w:b w:val="false"/>
                <w:bCs w:val="false"/>
                <w:sz w:val="20"/>
                <w:szCs w:val="20"/>
              </w:rPr>
              <w:t xml:space="preserve">3-5 business days</w:t>
            </w:r>
          </w:p>
        </w:tc>
        <w:tc>
          <w:tcPr>
            <w:tcW w:type="dxa" w:w="3000"/>
          </w:tcPr>
          <w:p>
            <w:r>
              <w:rPr>
                <w:b w:val="false"/>
                <w:bCs w:val="false"/>
                <w:sz w:val="20"/>
                <w:szCs w:val="20"/>
              </w:rPr>
              <w:t xml:space="preserve">Harbor Freight Logistics</w:t>
            </w:r>
          </w:p>
        </w:tc>
      </w:tr>
      <w:tr>
        <w:tc>
          <w:tcPr>
            <w:tcW w:type="dxa" w:w="3000"/>
          </w:tcPr>
          <w:p>
            <w:r>
              <w:rPr>
                <w:b w:val="false"/>
                <w:bCs w:val="false"/>
                <w:sz w:val="20"/>
                <w:szCs w:val="20"/>
              </w:rPr>
              <w:t xml:space="preserve">South / Southeast</w:t>
            </w:r>
          </w:p>
        </w:tc>
        <w:tc>
          <w:tcPr>
            <w:tcW w:type="dxa" w:w="3300"/>
          </w:tcPr>
          <w:p>
            <w:r>
              <w:rPr>
                <w:b w:val="false"/>
                <w:bCs w:val="false"/>
                <w:sz w:val="20"/>
                <w:szCs w:val="20"/>
              </w:rPr>
              <w:t xml:space="preserve">2-4 business days</w:t>
            </w:r>
          </w:p>
        </w:tc>
        <w:tc>
          <w:tcPr>
            <w:tcW w:type="dxa" w:w="3000"/>
          </w:tcPr>
          <w:p>
            <w:r>
              <w:rPr>
                <w:b w:val="false"/>
                <w:bCs w:val="false"/>
                <w:sz w:val="20"/>
                <w:szCs w:val="20"/>
              </w:rPr>
              <w:t xml:space="preserve">Harbor Freight Logistics</w:t>
            </w:r>
          </w:p>
        </w:tc>
      </w:tr>
      <w:tr>
        <w:tc>
          <w:tcPr>
            <w:tcW w:type="dxa" w:w="3000"/>
          </w:tcPr>
          <w:p>
            <w:r>
              <w:rPr>
                <w:b w:val="false"/>
                <w:bCs w:val="false"/>
                <w:sz w:val="20"/>
                <w:szCs w:val="20"/>
              </w:rPr>
              <w:t xml:space="preserve">Midwest</w:t>
            </w:r>
          </w:p>
        </w:tc>
        <w:tc>
          <w:tcPr>
            <w:tcW w:type="dxa" w:w="3300"/>
          </w:tcPr>
          <w:p>
            <w:r>
              <w:rPr>
                <w:b w:val="false"/>
                <w:bCs w:val="false"/>
                <w:sz w:val="20"/>
                <w:szCs w:val="20"/>
              </w:rPr>
              <w:t xml:space="preserve">3-5 business days</w:t>
            </w:r>
          </w:p>
        </w:tc>
        <w:tc>
          <w:tcPr>
            <w:tcW w:type="dxa" w:w="3000"/>
          </w:tcPr>
          <w:p>
            <w:r>
              <w:rPr>
                <w:b w:val="false"/>
                <w:bCs w:val="false"/>
                <w:sz w:val="20"/>
                <w:szCs w:val="20"/>
              </w:rPr>
              <w:t xml:space="preserve">Harbor Freight Logistics</w:t>
            </w:r>
          </w:p>
        </w:tc>
      </w:tr>
      <w:tr>
        <w:tc>
          <w:tcPr>
            <w:tcW w:type="dxa" w:w="3000"/>
          </w:tcPr>
          <w:p>
            <w:r>
              <w:rPr>
                <w:b w:val="false"/>
                <w:bCs w:val="false"/>
                <w:sz w:val="20"/>
                <w:szCs w:val="20"/>
              </w:rPr>
              <w:t xml:space="preserve">Northeast</w:t>
            </w:r>
          </w:p>
        </w:tc>
        <w:tc>
          <w:tcPr>
            <w:tcW w:type="dxa" w:w="3300"/>
          </w:tcPr>
          <w:p>
            <w:r>
              <w:rPr>
                <w:b w:val="false"/>
                <w:bCs w:val="false"/>
                <w:sz w:val="20"/>
                <w:szCs w:val="20"/>
              </w:rPr>
              <w:t xml:space="preserve">4-6 business days</w:t>
            </w:r>
          </w:p>
        </w:tc>
        <w:tc>
          <w:tcPr>
            <w:tcW w:type="dxa" w:w="3000"/>
          </w:tcPr>
          <w:p>
            <w:r>
              <w:rPr>
                <w:b w:val="false"/>
                <w:bCs w:val="false"/>
                <w:sz w:val="20"/>
                <w:szCs w:val="20"/>
              </w:rPr>
              <w:t xml:space="preserve">Harbor Freight Logistics</w:t>
            </w:r>
          </w:p>
        </w:tc>
      </w:tr>
    </w:tbl>
    <w:p>
      <w:pPr>
        <w:spacing w:after="130"/>
      </w:pPr>
      <w:r>
        <w:t xml:space="preserve"/>
      </w:r>
    </w:p>
    <w:p>
      <w:pPr>
        <w:pStyle w:val="Heading1"/>
        <w:spacing w:after="140" w:before="280"/>
      </w:pPr>
      <w:r>
        <w:t xml:space="preserve">2. Processing Time</w:t>
      </w:r>
    </w:p>
    <w:p>
      <w:pPr>
        <w:spacing w:after="130"/>
      </w:pPr>
      <w:r>
        <w:t xml:space="preserve">Orders are processed and dispatched within 1-2 business days of purchase, before the delivery window above begins.</w:t>
      </w:r>
    </w:p>
    <w:p>
      <w:pPr>
        <w:pStyle w:val="Heading1"/>
        <w:spacing w:after="140" w:before="280"/>
      </w:pPr>
      <w:r>
        <w:t xml:space="preserve">3. Delays</w:t>
      </w:r>
    </w:p>
    <w:p>
      <w:pPr>
        <w:spacing w:after="130"/>
      </w:pPr>
      <w:r>
        <w:t xml:space="preserve">During the first 30 days of a new state launch, add 1-2 business days to the standard window while carrier routes are established. Customers should be told this proactively if they order during a launch window.</w:t>
      </w:r>
    </w:p>
    <w:p>
      <w:pPr>
        <w:pStyle w:val="Heading1"/>
        <w:spacing w:after="140" w:before="280"/>
      </w:pPr>
      <w:r>
        <w:t xml:space="preserve">4. What This Document Does Not Cover</w:t>
      </w:r>
    </w:p>
    <w:p>
      <w:pPr>
        <w:spacing w:after="130"/>
      </w:pPr>
      <w:r>
        <w:t xml:space="preserve">Returns processing times (see US Returns and Exchanges Policy) and wholesale bulk shipment lead times (see Ridgeline Apparel Supply commercial terms) are covered elsewhere. This document is for individual US customer orders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2026-09-22T12:49:20.152Z</dcterms:created>
  <dcterms:modified xsi:type="dcterms:W3CDTF">2026-09-22T12:49:20.152Z</dcterms:modified>
</cp:coreProperties>
</file>

<file path=docProps/custom.xml><?xml version="1.0" encoding="utf-8"?>
<Properties xmlns="http://schemas.openxmlformats.org/officeDocument/2006/custom-properties" xmlns:vt="http://schemas.openxmlformats.org/officeDocument/2006/docPropsVTypes"/>
</file>