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EC13B6" w:rsidP="20EC13B6" w:rsidRDefault="20EC13B6" w14:paraId="0B847683" w14:textId="6CD6A246">
      <w:pPr>
        <w:pStyle w:val="Heading4"/>
      </w:pPr>
      <w:r w:rsidR="20EC13B6">
        <w:rPr/>
        <w:t>Cisco IWAN Use Cases</w:t>
      </w:r>
    </w:p>
    <w:p w:rsidR="20EC13B6" w:rsidRDefault="20EC13B6" w14:paraId="2B98F894" w14:textId="5F7F7DB2">
      <w:r w:rsidRPr="20EC13B6" w:rsidR="20EC13B6">
        <w:rPr>
          <w:rFonts w:ascii="Calibri" w:hAnsi="Calibri" w:eastAsia="Calibri" w:cs="Calibri"/>
          <w:noProof w:val="0"/>
          <w:sz w:val="22"/>
          <w:szCs w:val="22"/>
          <w:lang w:val="en-US"/>
        </w:rPr>
        <w:t>This is a presentation available on the Cisco website.</w:t>
      </w:r>
    </w:p>
    <w:p w:rsidR="20EC13B6" w:rsidRDefault="20EC13B6" w14:paraId="658D8900" w14:textId="78B91EF8">
      <w:r w:rsidRPr="20EC13B6" w:rsidR="20EC13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Direct link: </w:t>
      </w:r>
      <w:hyperlink r:id="Rbb4b5bbcaf724614">
        <w:r w:rsidRPr="20EC13B6" w:rsidR="20EC13B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Cisco IWAN Overview</w:t>
        </w:r>
      </w:hyperlink>
    </w:p>
    <w:p w:rsidR="20EC13B6" w:rsidP="20EC13B6" w:rsidRDefault="20EC13B6" w14:paraId="2AAF66C4" w14:textId="4EF0D8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32344C"/>
  <w15:docId w15:val="{9906ddd4-4adf-4865-b894-40af0c7dc76c}"/>
  <w:rsids>
    <w:rsidRoot w:val="7B32344C"/>
    <w:rsid w:val="20EC13B6"/>
    <w:rsid w:val="7B3234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cisco.com/c/en/us/solutions/collateral/enterprise-networks/iwan_use_case_video.html" TargetMode="External" Id="Rbb4b5bbcaf7246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2018-11-08T11:07:39.8284005Z</dcterms:created>
  <dcterms:modified xsi:type="dcterms:W3CDTF">2018-11-08T11:07:45.5886177Z</dcterms:modified>
  <dc:creator>ricar ganancial</dc:creator>
  <lastModifiedBy>ricar ganancial</lastModifiedBy>
</coreProperties>
</file>