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D260D" w14:textId="77777777" w:rsidR="00875D22" w:rsidRPr="00E3012D" w:rsidRDefault="00000000">
      <w:pPr>
        <w:pStyle w:val="Title"/>
      </w:pPr>
      <w:r w:rsidRPr="00E3012D">
        <w:rPr>
          <w:b/>
          <w:bCs/>
          <w:sz w:val="48"/>
          <w:szCs w:val="48"/>
        </w:rPr>
        <w:t>ASCR-17: Agentic Vendor Security Assessment Resource</w:t>
      </w:r>
    </w:p>
    <w:p w14:paraId="173999AB" w14:textId="77777777" w:rsidR="00875D22" w:rsidRPr="00E3012D" w:rsidRDefault="00000000">
      <w:pPr>
        <w:pStyle w:val="Subtitle"/>
        <w:pBdr>
          <w:top w:val="nil"/>
          <w:left w:val="nil"/>
          <w:bottom w:val="nil"/>
          <w:right w:val="nil"/>
          <w:between w:val="nil"/>
        </w:pBdr>
        <w:spacing w:before="180" w:after="180"/>
        <w:rPr>
          <w:rFonts w:ascii="Cambria" w:eastAsia="Cambria" w:hAnsi="Cambria" w:cs="Cambria"/>
          <w:b/>
          <w:bCs/>
          <w:color w:val="auto"/>
          <w:sz w:val="24"/>
          <w:szCs w:val="24"/>
        </w:rPr>
      </w:pPr>
      <w:r w:rsidRPr="00E3012D">
        <w:rPr>
          <w:rFonts w:ascii="Cambria" w:eastAsia="Cambria" w:hAnsi="Cambria" w:cs="Cambria"/>
          <w:i/>
          <w:iCs/>
          <w:color w:val="auto"/>
        </w:rPr>
        <w:t>Pre-Procurement Security Evaluation, Supply Chain Integrity Assessment, and Vendor Qualification Protocol for Agentic AI System Procurement</w:t>
      </w:r>
    </w:p>
    <w:p w14:paraId="17C8E501" w14:textId="77777777" w:rsidR="00875D22" w:rsidRPr="00E3012D" w:rsidRDefault="00000000">
      <w:pPr>
        <w:pStyle w:val="Heading2"/>
        <w:rPr>
          <w:color w:val="auto"/>
        </w:rPr>
      </w:pPr>
      <w:r w:rsidRPr="00E3012D">
        <w:rPr>
          <w:color w:val="auto"/>
        </w:rPr>
        <w:t>ASCR-17 definition</w:t>
      </w:r>
    </w:p>
    <w:tbl>
      <w:tblPr>
        <w:tblStyle w:val="a6"/>
        <w:tblW w:w="9525" w:type="dxa"/>
        <w:tblInd w:w="-108" w:type="dxa"/>
        <w:tblLayout w:type="fixed"/>
        <w:tblLook w:val="0020" w:firstRow="1" w:lastRow="0" w:firstColumn="0" w:lastColumn="0" w:noHBand="0" w:noVBand="0"/>
      </w:tblPr>
      <w:tblGrid>
        <w:gridCol w:w="2910"/>
        <w:gridCol w:w="6615"/>
      </w:tblGrid>
      <w:tr w:rsidR="00875D22" w:rsidRPr="00E3012D" w14:paraId="069D44DC" w14:textId="77777777" w:rsidTr="00875D22">
        <w:trPr>
          <w:cnfStyle w:val="100000000000" w:firstRow="1" w:lastRow="0" w:firstColumn="0" w:lastColumn="0" w:oddVBand="0" w:evenVBand="0" w:oddHBand="0" w:evenHBand="0" w:firstRowFirstColumn="0" w:firstRowLastColumn="0" w:lastRowFirstColumn="0" w:lastRowLastColumn="0"/>
          <w:tblHeader/>
        </w:trPr>
        <w:tc>
          <w:tcPr>
            <w:tcW w:w="2910" w:type="dxa"/>
          </w:tcPr>
          <w:p w14:paraId="11060D77" w14:textId="77777777" w:rsidR="00875D22" w:rsidRPr="00E3012D" w:rsidRDefault="00000000">
            <w:pPr>
              <w:pBdr>
                <w:top w:val="nil"/>
                <w:left w:val="nil"/>
                <w:bottom w:val="nil"/>
                <w:right w:val="nil"/>
                <w:between w:val="nil"/>
              </w:pBdr>
              <w:spacing w:before="36" w:after="36"/>
            </w:pPr>
            <w:r w:rsidRPr="00E3012D">
              <w:rPr>
                <w:rFonts w:ascii="Cambria" w:eastAsia="Cambria" w:hAnsi="Cambria" w:cs="Cambria"/>
                <w:b/>
                <w:bCs/>
              </w:rPr>
              <w:t>Artifact Type</w:t>
            </w:r>
          </w:p>
        </w:tc>
        <w:tc>
          <w:tcPr>
            <w:tcW w:w="6615" w:type="dxa"/>
          </w:tcPr>
          <w:p w14:paraId="303F4741" w14:textId="77777777" w:rsidR="00875D22" w:rsidRPr="00E3012D" w:rsidRDefault="00000000">
            <w:r w:rsidRPr="00E3012D">
              <w:t>Procurement Security Blueprint and Vendor Qualification Assessment</w:t>
            </w:r>
          </w:p>
        </w:tc>
      </w:tr>
      <w:tr w:rsidR="00875D22" w:rsidRPr="00E3012D" w14:paraId="6B0707C5" w14:textId="77777777" w:rsidTr="00875D22">
        <w:tc>
          <w:tcPr>
            <w:tcW w:w="2910" w:type="dxa"/>
          </w:tcPr>
          <w:p w14:paraId="5A6760E5" w14:textId="77777777" w:rsidR="00875D22" w:rsidRPr="00E3012D" w:rsidRDefault="00000000">
            <w:pPr>
              <w:pBdr>
                <w:top w:val="nil"/>
                <w:left w:val="nil"/>
                <w:bottom w:val="nil"/>
                <w:right w:val="nil"/>
                <w:between w:val="nil"/>
              </w:pBdr>
              <w:spacing w:before="36" w:after="36"/>
            </w:pPr>
            <w:r w:rsidRPr="00E3012D">
              <w:rPr>
                <w:rFonts w:ascii="Cambria" w:eastAsia="Cambria" w:hAnsi="Cambria" w:cs="Cambria"/>
                <w:b/>
                <w:bCs/>
              </w:rPr>
              <w:t>Primary Use</w:t>
            </w:r>
          </w:p>
        </w:tc>
        <w:tc>
          <w:tcPr>
            <w:tcW w:w="6615" w:type="dxa"/>
          </w:tcPr>
          <w:p w14:paraId="4AFD1B24" w14:textId="77777777" w:rsidR="00875D22" w:rsidRPr="00E3012D" w:rsidRDefault="00000000">
            <w:r w:rsidRPr="00E3012D">
              <w:t>A structured pre-procurement security evaluation for agentic AI system vendors. This includes foundation model providers, orchestration platforms, MCP servers, tool libraries, data integration partners, edge inference hardware providers, and command-authentication proxy hardware providers. This evaluation must occur before contract execution and prior to admitting any vendor-supplied component to a deployment environment with physical actuation authority</w:t>
            </w:r>
          </w:p>
        </w:tc>
      </w:tr>
      <w:tr w:rsidR="00875D22" w:rsidRPr="00E3012D" w14:paraId="5E6F6890" w14:textId="77777777" w:rsidTr="00875D22">
        <w:tc>
          <w:tcPr>
            <w:tcW w:w="2910" w:type="dxa"/>
          </w:tcPr>
          <w:p w14:paraId="07C20CA7" w14:textId="77777777" w:rsidR="00875D22" w:rsidRPr="00E3012D" w:rsidRDefault="00000000">
            <w:pPr>
              <w:pBdr>
                <w:top w:val="nil"/>
                <w:left w:val="nil"/>
                <w:bottom w:val="nil"/>
                <w:right w:val="nil"/>
                <w:between w:val="nil"/>
              </w:pBdr>
              <w:spacing w:before="36" w:after="36"/>
            </w:pPr>
            <w:r w:rsidRPr="00E3012D">
              <w:rPr>
                <w:rFonts w:ascii="Cambria" w:eastAsia="Cambria" w:hAnsi="Cambria" w:cs="Cambria"/>
                <w:b/>
                <w:bCs/>
              </w:rPr>
              <w:t>Secondary Use</w:t>
            </w:r>
          </w:p>
        </w:tc>
        <w:tc>
          <w:tcPr>
            <w:tcW w:w="6615" w:type="dxa"/>
          </w:tcPr>
          <w:p w14:paraId="3A6C0E5A" w14:textId="77777777" w:rsidR="00875D22" w:rsidRPr="00E3012D" w:rsidRDefault="00000000">
            <w:pPr>
              <w:pBdr>
                <w:top w:val="nil"/>
                <w:left w:val="nil"/>
                <w:bottom w:val="nil"/>
                <w:right w:val="nil"/>
                <w:between w:val="nil"/>
              </w:pBdr>
              <w:spacing w:before="36" w:after="36"/>
            </w:pPr>
            <w:r w:rsidRPr="00E3012D">
              <w:t>Ongoing vendor qualification reassessment following material changes to vendor architecture, supply chain, or security posture; post-incident vendor forensic cooperation assessment; consulting practitioner engagement tool for client vendor selection and procurement governance workstreams; signed ASCR-17 vendor qualification record and evidence input for applicable ASCR-11 contractual vendor-governance obligations</w:t>
            </w:r>
          </w:p>
        </w:tc>
      </w:tr>
      <w:tr w:rsidR="00875D22" w:rsidRPr="00E3012D" w14:paraId="6D43C787" w14:textId="77777777" w:rsidTr="00875D22">
        <w:tc>
          <w:tcPr>
            <w:tcW w:w="2910" w:type="dxa"/>
          </w:tcPr>
          <w:p w14:paraId="730B3C4B" w14:textId="77777777" w:rsidR="00875D22" w:rsidRPr="00E3012D" w:rsidRDefault="00000000">
            <w:pPr>
              <w:pBdr>
                <w:top w:val="nil"/>
                <w:left w:val="nil"/>
                <w:bottom w:val="nil"/>
                <w:right w:val="nil"/>
                <w:between w:val="nil"/>
              </w:pBdr>
              <w:spacing w:before="36" w:after="36"/>
            </w:pPr>
            <w:r w:rsidRPr="00E3012D">
              <w:rPr>
                <w:rFonts w:ascii="Cambria" w:eastAsia="Cambria" w:hAnsi="Cambria" w:cs="Cambria"/>
                <w:b/>
                <w:bCs/>
              </w:rPr>
              <w:t>Operational Phase</w:t>
            </w:r>
          </w:p>
        </w:tc>
        <w:tc>
          <w:tcPr>
            <w:tcW w:w="6615" w:type="dxa"/>
          </w:tcPr>
          <w:p w14:paraId="1114FD3D" w14:textId="77777777" w:rsidR="00875D22" w:rsidRPr="00E3012D" w:rsidRDefault="00000000">
            <w:pPr>
              <w:pBdr>
                <w:top w:val="nil"/>
                <w:left w:val="nil"/>
                <w:bottom w:val="nil"/>
                <w:right w:val="nil"/>
                <w:between w:val="nil"/>
              </w:pBdr>
              <w:spacing w:before="36" w:after="36"/>
            </w:pPr>
            <w:r w:rsidRPr="00E3012D">
              <w:rPr>
                <w:rFonts w:ascii="Cambria" w:eastAsia="Cambria" w:hAnsi="Cambria" w:cs="Cambria"/>
              </w:rPr>
              <w:t>Pre-procurement · Pre-deployment · Ongoing vendor governance</w:t>
            </w:r>
          </w:p>
        </w:tc>
      </w:tr>
      <w:tr w:rsidR="00875D22" w:rsidRPr="00E3012D" w14:paraId="00CAE92F" w14:textId="77777777" w:rsidTr="00875D22">
        <w:tc>
          <w:tcPr>
            <w:tcW w:w="2910" w:type="dxa"/>
          </w:tcPr>
          <w:p w14:paraId="5C4A72FD" w14:textId="77777777" w:rsidR="00875D22" w:rsidRPr="00E3012D" w:rsidRDefault="00000000">
            <w:pPr>
              <w:pBdr>
                <w:top w:val="nil"/>
                <w:left w:val="nil"/>
                <w:bottom w:val="nil"/>
                <w:right w:val="nil"/>
                <w:between w:val="nil"/>
              </w:pBdr>
              <w:spacing w:before="36" w:after="36"/>
            </w:pPr>
            <w:r w:rsidRPr="00E3012D">
              <w:rPr>
                <w:rFonts w:ascii="Cambria" w:eastAsia="Cambria" w:hAnsi="Cambria" w:cs="Cambria"/>
                <w:b/>
                <w:bCs/>
              </w:rPr>
              <w:t>User Role</w:t>
            </w:r>
          </w:p>
        </w:tc>
        <w:tc>
          <w:tcPr>
            <w:tcW w:w="6615" w:type="dxa"/>
          </w:tcPr>
          <w:p w14:paraId="2F2A31F2" w14:textId="77777777" w:rsidR="00875D22" w:rsidRPr="00E3012D" w:rsidRDefault="00000000">
            <w:pPr>
              <w:pBdr>
                <w:top w:val="nil"/>
                <w:left w:val="nil"/>
                <w:bottom w:val="nil"/>
                <w:right w:val="nil"/>
                <w:between w:val="nil"/>
              </w:pBdr>
              <w:spacing w:before="36" w:after="36"/>
            </w:pPr>
            <w:r w:rsidRPr="00E3012D">
              <w:rPr>
                <w:rFonts w:ascii="Cambria" w:eastAsia="Cambria" w:hAnsi="Cambria" w:cs="Cambria"/>
              </w:rPr>
              <w:t>CISO, procurement lead, AI/ML Engineering Lead, OT Engineering Lead, legal/compliance officer, consulting practitioner</w:t>
            </w:r>
          </w:p>
        </w:tc>
      </w:tr>
      <w:tr w:rsidR="00875D22" w:rsidRPr="00E3012D" w14:paraId="255B109C" w14:textId="77777777" w:rsidTr="00875D22">
        <w:tc>
          <w:tcPr>
            <w:tcW w:w="2910" w:type="dxa"/>
          </w:tcPr>
          <w:p w14:paraId="03606281" w14:textId="77777777" w:rsidR="00875D22" w:rsidRPr="00E3012D" w:rsidRDefault="00000000">
            <w:pPr>
              <w:pBdr>
                <w:top w:val="nil"/>
                <w:left w:val="nil"/>
                <w:bottom w:val="nil"/>
                <w:right w:val="nil"/>
                <w:between w:val="nil"/>
              </w:pBdr>
              <w:spacing w:before="36" w:after="36"/>
            </w:pPr>
            <w:r w:rsidRPr="00E3012D">
              <w:rPr>
                <w:rFonts w:ascii="Cambria" w:eastAsia="Cambria" w:hAnsi="Cambria" w:cs="Cambria"/>
                <w:b/>
                <w:bCs/>
              </w:rPr>
              <w:t>Update Cadence</w:t>
            </w:r>
          </w:p>
        </w:tc>
        <w:tc>
          <w:tcPr>
            <w:tcW w:w="6615" w:type="dxa"/>
            <w:vAlign w:val="center"/>
          </w:tcPr>
          <w:p w14:paraId="23AFABB5" w14:textId="77777777" w:rsidR="00875D22" w:rsidRPr="00E3012D" w:rsidRDefault="00000000">
            <w:r w:rsidRPr="00E3012D">
              <w:t xml:space="preserve">Tier 1: annual reassessment. Tier 2: every 24 months. Tier 3: at contract renewal or a defined trigger. Any material incident, ownership/control change, model or firmware change, supply-chain change, ASCR-10 hard-block, ASCR-16 provenance alert, </w:t>
            </w:r>
            <w:r w:rsidRPr="00E3012D">
              <w:lastRenderedPageBreak/>
              <w:t>or other trigger in this instrument requires earlier reassessment regardless of tier.</w:t>
            </w:r>
          </w:p>
        </w:tc>
      </w:tr>
      <w:tr w:rsidR="00875D22" w:rsidRPr="00E3012D" w14:paraId="0552201C" w14:textId="77777777" w:rsidTr="00875D22">
        <w:tc>
          <w:tcPr>
            <w:tcW w:w="2910" w:type="dxa"/>
          </w:tcPr>
          <w:p w14:paraId="319900A9" w14:textId="77777777" w:rsidR="00875D22" w:rsidRPr="00E3012D" w:rsidRDefault="00000000">
            <w:pPr>
              <w:pBdr>
                <w:top w:val="nil"/>
                <w:left w:val="nil"/>
                <w:bottom w:val="nil"/>
                <w:right w:val="nil"/>
                <w:between w:val="nil"/>
              </w:pBdr>
              <w:spacing w:before="36" w:after="36"/>
            </w:pPr>
            <w:r w:rsidRPr="00E3012D">
              <w:rPr>
                <w:rFonts w:ascii="Cambria" w:eastAsia="Cambria" w:hAnsi="Cambria" w:cs="Cambria"/>
                <w:b/>
                <w:bCs/>
              </w:rPr>
              <w:lastRenderedPageBreak/>
              <w:t>Update Triggers</w:t>
            </w:r>
          </w:p>
        </w:tc>
        <w:tc>
          <w:tcPr>
            <w:tcW w:w="6615" w:type="dxa"/>
            <w:vAlign w:val="center"/>
          </w:tcPr>
          <w:p w14:paraId="55BB1644" w14:textId="77777777" w:rsidR="00875D22" w:rsidRPr="00E3012D" w:rsidRDefault="00000000">
            <w:r w:rsidRPr="00E3012D">
              <w:t>Confirmed convergence-domain incident tracing to a vendor-supplied component; ASCR-10 hard-block triggered by vendor model behavior; ASCR-16 ARTIFACT_MODIFIED_IN_TRANSIT or PROVENANCE_MISSING alert; vendor ownership or control change; material model, firmware, development-pipeline, hosting, sub-processor, or supply-chain change; new vendor component or artifact version proposed for admission; ASCR-09 KQ-01 Threshold Verification Audit failure for a command-authentication proxy; TKQ capability breach during commissioning. Identifier convention: KQ-01 is an ASCR-09 qualification check; KQP-1 through KQP-5 are ASCR-17 hardware capability sub-dimensions.</w:t>
            </w:r>
          </w:p>
        </w:tc>
      </w:tr>
      <w:tr w:rsidR="00875D22" w:rsidRPr="00E3012D" w14:paraId="2C225124" w14:textId="77777777" w:rsidTr="00875D22">
        <w:tc>
          <w:tcPr>
            <w:tcW w:w="2910" w:type="dxa"/>
          </w:tcPr>
          <w:p w14:paraId="3AA69575" w14:textId="77777777" w:rsidR="00875D22" w:rsidRPr="00E3012D" w:rsidRDefault="00000000">
            <w:pPr>
              <w:pBdr>
                <w:top w:val="nil"/>
                <w:left w:val="nil"/>
                <w:bottom w:val="nil"/>
                <w:right w:val="nil"/>
                <w:between w:val="nil"/>
              </w:pBdr>
              <w:spacing w:before="36" w:after="36"/>
            </w:pPr>
            <w:r w:rsidRPr="00E3012D">
              <w:rPr>
                <w:rFonts w:ascii="Cambria" w:eastAsia="Cambria" w:hAnsi="Cambria" w:cs="Cambria"/>
                <w:b/>
                <w:bCs/>
              </w:rPr>
              <w:t>Cross-References</w:t>
            </w:r>
          </w:p>
        </w:tc>
        <w:tc>
          <w:tcPr>
            <w:tcW w:w="6615" w:type="dxa"/>
            <w:vAlign w:val="center"/>
          </w:tcPr>
          <w:p w14:paraId="23C087B1" w14:textId="77777777" w:rsidR="00875D22" w:rsidRPr="00E3012D" w:rsidRDefault="00000000">
            <w:r w:rsidRPr="00E3012D">
              <w:t>ASCR-17-OE01-Vendor-Assessment-Workbook.xlsx · ASCR-17-OE02-Operational-Companion.docx · ASCR-01 Section 1.1 (Supply Chain &amp; Compliance evidence linkage) · ASCR-02 (regulatory applicability and localization) · ASCR-03 Sections 2 and 4 (deployment scope and authorization) · ASCR-04 Section 3.6 (KQP command authentication, hardware-backed safe-state controls, and deployment-approved TKQ thresholds) · ASCR-05 (physical-system calibration scope) · ASCR-07 (context and behavioral telemetry) · ASCR-08 Sections 4.2 and 5.2 (vendor incident reporting and post-incident reassessment) · ASCR-09 KQ-01 · ASCR-10 (AI-BOM and vendor change management) · ASCR-11 Sections 11.1-11.7 and 11.12, as applicable (contractual vendor-security, AI-BOM/provenance, attestation, forensic-cooperation, notification, reporting, liability, subcontractor, exit, and transition obligations) · ASCR-12 (continuing scorecard and monitoring) · ASCR-13 (assessment-team competencies) · ASCR-15 Component 1 (supply-chain adversary analysis) · ASCR-16 (lineage and cloud-to-edge trust).</w:t>
            </w:r>
          </w:p>
        </w:tc>
      </w:tr>
      <w:tr w:rsidR="00875D22" w:rsidRPr="00E3012D" w14:paraId="1CC8BCF2" w14:textId="77777777" w:rsidTr="00875D22">
        <w:tc>
          <w:tcPr>
            <w:tcW w:w="2910" w:type="dxa"/>
          </w:tcPr>
          <w:p w14:paraId="3B8FA2A0" w14:textId="77777777" w:rsidR="00875D22" w:rsidRPr="00E3012D" w:rsidRDefault="00000000">
            <w:pPr>
              <w:pBdr>
                <w:top w:val="nil"/>
                <w:left w:val="nil"/>
                <w:bottom w:val="nil"/>
                <w:right w:val="nil"/>
                <w:between w:val="nil"/>
              </w:pBdr>
              <w:spacing w:before="36" w:after="36"/>
            </w:pPr>
            <w:r w:rsidRPr="00E3012D">
              <w:rPr>
                <w:rFonts w:ascii="Cambria" w:eastAsia="Cambria" w:hAnsi="Cambria" w:cs="Cambria"/>
                <w:b/>
                <w:bCs/>
              </w:rPr>
              <w:t>Regulatory Relevance</w:t>
            </w:r>
          </w:p>
        </w:tc>
        <w:tc>
          <w:tcPr>
            <w:tcW w:w="6615" w:type="dxa"/>
            <w:vAlign w:val="center"/>
          </w:tcPr>
          <w:p w14:paraId="105EB815" w14:textId="77777777" w:rsidR="00875D22" w:rsidRPr="00E3012D" w:rsidRDefault="00000000">
            <w:r w:rsidRPr="00E3012D">
              <w:t xml:space="preserve">EU AI Act Arts. 9, 13 and 15 where applicable; Art. 25 provider-role reassignment; Art. 26 deployer obligations; Art. </w:t>
            </w:r>
            <w:r w:rsidRPr="00E3012D">
              <w:lastRenderedPageBreak/>
              <w:t>53(1)(c)-(d) copyright/TDM policy and training-content summary for applicable GPAI providers; Art. 55 model evaluation and adversarial testing for GPAI with systemic risk · NIS2 Art. 21(2)(d) supply-chain security · Product Liability Directive (EU) 2024/2853, including evidence-disclosure provisions where applicable · IEC 62443-4-1 product secure-development lifecycle · IEC 62443-4-2 component technical security requirements · IEC 62443-2-4 for IACS service providers/integrators · DORA ICT third-party risk evidence where applicable · NIST SP 800-161 Rev. 1, Update 1 (SP 800-161r1-upd1), Cybersecurity Supply Chain Risk Management Practices for Systems and Organizations.</w:t>
            </w:r>
          </w:p>
        </w:tc>
      </w:tr>
      <w:tr w:rsidR="00875D22" w:rsidRPr="00E3012D" w14:paraId="76D04929" w14:textId="77777777" w:rsidTr="00875D22">
        <w:tc>
          <w:tcPr>
            <w:tcW w:w="2910" w:type="dxa"/>
          </w:tcPr>
          <w:p w14:paraId="5C05560C" w14:textId="77777777" w:rsidR="00875D22" w:rsidRPr="00E3012D" w:rsidRDefault="00000000">
            <w:pPr>
              <w:pBdr>
                <w:top w:val="nil"/>
                <w:left w:val="nil"/>
                <w:bottom w:val="nil"/>
                <w:right w:val="nil"/>
                <w:between w:val="nil"/>
              </w:pBdr>
              <w:spacing w:before="36" w:after="36"/>
            </w:pPr>
            <w:r w:rsidRPr="00E3012D">
              <w:rPr>
                <w:rFonts w:ascii="Cambria" w:eastAsia="Cambria" w:hAnsi="Cambria" w:cs="Cambria"/>
                <w:b/>
                <w:bCs/>
              </w:rPr>
              <w:lastRenderedPageBreak/>
              <w:t>Version</w:t>
            </w:r>
          </w:p>
        </w:tc>
        <w:tc>
          <w:tcPr>
            <w:tcW w:w="6615" w:type="dxa"/>
          </w:tcPr>
          <w:p w14:paraId="53C2E4CC" w14:textId="77777777" w:rsidR="00875D22" w:rsidRPr="00E3012D" w:rsidRDefault="00000000">
            <w:pPr>
              <w:pBdr>
                <w:top w:val="nil"/>
                <w:left w:val="nil"/>
                <w:bottom w:val="nil"/>
                <w:right w:val="nil"/>
                <w:between w:val="nil"/>
              </w:pBdr>
              <w:spacing w:before="36" w:after="36"/>
            </w:pPr>
            <w:r w:rsidRPr="00E3012D">
              <w:rPr>
                <w:rFonts w:ascii="Cambria" w:eastAsia="Cambria" w:hAnsi="Cambria" w:cs="Cambria"/>
              </w:rPr>
              <w:t>1.0 — June 2026</w:t>
            </w:r>
          </w:p>
        </w:tc>
      </w:tr>
    </w:tbl>
    <w:p w14:paraId="2F93AF0B" w14:textId="77777777" w:rsidR="00875D22" w:rsidRPr="00E3012D" w:rsidRDefault="00875D22">
      <w:pPr>
        <w:pStyle w:val="Heading2"/>
        <w:rPr>
          <w:color w:val="auto"/>
        </w:rPr>
      </w:pPr>
    </w:p>
    <w:p w14:paraId="4FAF0A4B" w14:textId="77777777" w:rsidR="00875D22" w:rsidRPr="00E3012D" w:rsidRDefault="00000000">
      <w:pPr>
        <w:pStyle w:val="Heading2"/>
        <w:rPr>
          <w:color w:val="auto"/>
        </w:rPr>
      </w:pPr>
      <w:r w:rsidRPr="00E3012D">
        <w:rPr>
          <w:color w:val="auto"/>
        </w:rPr>
        <w:t>ASCR-17 operational toolkit: supporting specifications and operational extensions</w:t>
      </w:r>
    </w:p>
    <w:p w14:paraId="092ABC29" w14:textId="77777777" w:rsidR="00875D22" w:rsidRPr="00E3012D" w:rsidRDefault="00000000">
      <w:pPr>
        <w:pStyle w:val="Heading3"/>
        <w:rPr>
          <w:color w:val="auto"/>
        </w:rPr>
      </w:pPr>
      <w:r w:rsidRPr="00E3012D">
        <w:rPr>
          <w:color w:val="auto"/>
        </w:rPr>
        <w:t>Read me</w:t>
      </w:r>
    </w:p>
    <w:p w14:paraId="47812D5D" w14:textId="77777777" w:rsidR="00875D22" w:rsidRPr="00E3012D" w:rsidRDefault="00000000">
      <w:r w:rsidRPr="00E3012D">
        <w:t xml:space="preserve">ASCR-17 is a separately versioned downloadable operational artifact. It may adopt implementation-tested standards, evidence formats, and threat-technique mappings that are more specific or newer than examples in the book narrative. For Version 1.0, June 2026, ASCR-17 selects SPDX 3.0 AI and Dataset profiles or </w:t>
      </w:r>
      <w:proofErr w:type="spellStart"/>
      <w:r w:rsidRPr="00E3012D">
        <w:t>CycloneDX</w:t>
      </w:r>
      <w:proofErr w:type="spellEnd"/>
      <w:r w:rsidRPr="00E3012D">
        <w:t xml:space="preserve"> 1.6 AI/ML-BOM as accepted machine-readable AI-BOM formats. Chapter 5 intentionally remains serialization-version neutral; this downloadable provides the operational profile used by ASCR-17. ASCR-17 also uses AML.T0018.000 Poison AI Model for direct post-training model-weight manipulation and uses current AI-agent tool/data-poisoning mappings where the attack path warrants them. These operational updates reflect feedback from separate organizational implementations of ASCR-17. Technique identifiers and external standards must still be re-verified at assessment time.</w:t>
      </w:r>
    </w:p>
    <w:p w14:paraId="41B612AA" w14:textId="77777777" w:rsidR="00875D22" w:rsidRPr="00E3012D" w:rsidRDefault="00000000">
      <w:pPr>
        <w:pStyle w:val="Heading3"/>
        <w:rPr>
          <w:color w:val="auto"/>
        </w:rPr>
      </w:pPr>
      <w:r w:rsidRPr="00E3012D">
        <w:rPr>
          <w:color w:val="auto"/>
        </w:rPr>
        <w:t>Purpose and scope</w:t>
      </w:r>
    </w:p>
    <w:p w14:paraId="00F6E159" w14:textId="77777777" w:rsidR="00875D22" w:rsidRPr="00E3012D" w:rsidRDefault="00000000">
      <w:pPr>
        <w:pBdr>
          <w:top w:val="nil"/>
          <w:left w:val="nil"/>
          <w:bottom w:val="nil"/>
          <w:right w:val="nil"/>
          <w:between w:val="nil"/>
        </w:pBdr>
        <w:spacing w:before="180" w:after="180"/>
      </w:pPr>
      <w:r w:rsidRPr="00E3012D">
        <w:rPr>
          <w:rFonts w:ascii="Cambria" w:eastAsia="Cambria" w:hAnsi="Cambria" w:cs="Cambria"/>
        </w:rPr>
        <w:t>The Port Paralysis incident</w:t>
      </w:r>
      <w:r w:rsidRPr="00E3012D">
        <w:t xml:space="preserve"> </w:t>
      </w:r>
      <w:r w:rsidRPr="00E3012D">
        <w:rPr>
          <w:rFonts w:ascii="Cambria" w:eastAsia="Cambria" w:hAnsi="Cambria" w:cs="Cambria"/>
        </w:rPr>
        <w:t xml:space="preserve">did not originate with the organization that suffered it. It originated inside a vendor’s build pipeline — six levels deep in a transitive dependency chain. The deploying organization had never audited that infrastructure and had no </w:t>
      </w:r>
      <w:r w:rsidRPr="00E3012D">
        <w:rPr>
          <w:rFonts w:ascii="Cambria" w:eastAsia="Cambria" w:hAnsi="Cambria" w:cs="Cambria"/>
        </w:rPr>
        <w:lastRenderedPageBreak/>
        <w:t>contractual right to do so. Terminal Alpha’s controls were not defeated. They were bypassed through the trusted channel that vendor relationships provide, carrying a compromised artifact that every deployment-time control was designed to trust.</w:t>
      </w:r>
    </w:p>
    <w:p w14:paraId="1A2FC1CA" w14:textId="77777777" w:rsidR="00875D22" w:rsidRPr="00E3012D" w:rsidRDefault="00000000">
      <w:pPr>
        <w:pBdr>
          <w:top w:val="nil"/>
          <w:left w:val="nil"/>
          <w:bottom w:val="nil"/>
          <w:right w:val="nil"/>
          <w:between w:val="nil"/>
        </w:pBdr>
        <w:spacing w:before="180" w:after="180"/>
      </w:pPr>
      <w:r w:rsidRPr="00E3012D">
        <w:t>ASCR-17 is the procurement-stage Blueprint artifact that structures this assessment. It specifies the security assessment that must be completed before a vendor-supplied component, such as a foundation model, orchestration platform, MCP server, tool library, data integration connector, edge inference platform, or command-authentication proxy, is admitted to an agentic deployment environment with physical actuation authority. It defines five assessment dimensions that together constitute a vendor security qualification:</w:t>
      </w:r>
    </w:p>
    <w:p w14:paraId="352A2D8A" w14:textId="77777777" w:rsidR="00875D22" w:rsidRPr="00E3012D" w:rsidRDefault="00000000">
      <w:pPr>
        <w:numPr>
          <w:ilvl w:val="0"/>
          <w:numId w:val="9"/>
        </w:numPr>
        <w:pBdr>
          <w:top w:val="nil"/>
          <w:left w:val="nil"/>
          <w:bottom w:val="nil"/>
          <w:right w:val="nil"/>
          <w:between w:val="nil"/>
        </w:pBdr>
        <w:spacing w:before="36" w:after="36"/>
      </w:pPr>
      <w:r w:rsidRPr="00E3012D">
        <w:rPr>
          <w:rFonts w:ascii="Cambria" w:eastAsia="Cambria" w:hAnsi="Cambria" w:cs="Cambria"/>
        </w:rPr>
        <w:t>model development pipeline integrity,</w:t>
      </w:r>
    </w:p>
    <w:p w14:paraId="2E21CD3B" w14:textId="77777777" w:rsidR="00875D22" w:rsidRPr="00E3012D" w:rsidRDefault="00000000">
      <w:pPr>
        <w:numPr>
          <w:ilvl w:val="0"/>
          <w:numId w:val="9"/>
        </w:numPr>
        <w:pBdr>
          <w:top w:val="nil"/>
          <w:left w:val="nil"/>
          <w:bottom w:val="nil"/>
          <w:right w:val="nil"/>
          <w:between w:val="nil"/>
        </w:pBdr>
        <w:spacing w:before="36" w:after="36"/>
      </w:pPr>
      <w:r w:rsidRPr="00E3012D">
        <w:rPr>
          <w:rFonts w:ascii="Cambria" w:eastAsia="Cambria" w:hAnsi="Cambria" w:cs="Cambria"/>
        </w:rPr>
        <w:t>AI-BOM completeness and currency,</w:t>
      </w:r>
    </w:p>
    <w:p w14:paraId="61CB1434" w14:textId="77777777" w:rsidR="00875D22" w:rsidRPr="00E3012D" w:rsidRDefault="00000000">
      <w:pPr>
        <w:numPr>
          <w:ilvl w:val="0"/>
          <w:numId w:val="9"/>
        </w:numPr>
        <w:pBdr>
          <w:top w:val="nil"/>
          <w:left w:val="nil"/>
          <w:bottom w:val="nil"/>
          <w:right w:val="nil"/>
          <w:between w:val="nil"/>
        </w:pBdr>
        <w:spacing w:before="36" w:after="36"/>
      </w:pPr>
      <w:r w:rsidRPr="00E3012D">
        <w:rPr>
          <w:rFonts w:ascii="Cambria" w:eastAsia="Cambria" w:hAnsi="Cambria" w:cs="Cambria"/>
        </w:rPr>
        <w:t>adversarial robustness evidence,</w:t>
      </w:r>
    </w:p>
    <w:p w14:paraId="46D30730" w14:textId="77777777" w:rsidR="00875D22" w:rsidRPr="00E3012D" w:rsidRDefault="00000000">
      <w:pPr>
        <w:numPr>
          <w:ilvl w:val="0"/>
          <w:numId w:val="9"/>
        </w:numPr>
        <w:pBdr>
          <w:top w:val="nil"/>
          <w:left w:val="nil"/>
          <w:bottom w:val="nil"/>
          <w:right w:val="nil"/>
          <w:between w:val="nil"/>
        </w:pBdr>
        <w:spacing w:before="36" w:after="36"/>
      </w:pPr>
      <w:r w:rsidRPr="00E3012D">
        <w:rPr>
          <w:rFonts w:ascii="Cambria" w:eastAsia="Cambria" w:hAnsi="Cambria" w:cs="Cambria"/>
        </w:rPr>
        <w:t>incident response and forensic cooperation capability, and</w:t>
      </w:r>
    </w:p>
    <w:p w14:paraId="28C79B00" w14:textId="77777777" w:rsidR="00875D22" w:rsidRPr="00E3012D" w:rsidRDefault="00000000">
      <w:pPr>
        <w:numPr>
          <w:ilvl w:val="0"/>
          <w:numId w:val="9"/>
        </w:numPr>
        <w:pBdr>
          <w:top w:val="nil"/>
          <w:left w:val="nil"/>
          <w:bottom w:val="nil"/>
          <w:right w:val="nil"/>
          <w:between w:val="nil"/>
        </w:pBdr>
        <w:spacing w:before="36" w:after="36"/>
      </w:pPr>
      <w:r w:rsidRPr="00E3012D">
        <w:rPr>
          <w:rFonts w:ascii="Cambria" w:eastAsia="Cambria" w:hAnsi="Cambria" w:cs="Cambria"/>
        </w:rPr>
        <w:t>fourth-party supply chain visibility.</w:t>
      </w:r>
    </w:p>
    <w:p w14:paraId="0C920B52" w14:textId="77777777" w:rsidR="00875D22" w:rsidRPr="00E3012D" w:rsidRDefault="00000000">
      <w:pPr>
        <w:pBdr>
          <w:top w:val="nil"/>
          <w:left w:val="nil"/>
          <w:bottom w:val="nil"/>
          <w:right w:val="nil"/>
          <w:between w:val="nil"/>
        </w:pBdr>
        <w:spacing w:before="180" w:after="180"/>
      </w:pPr>
      <w:r w:rsidRPr="00E3012D">
        <w:rPr>
          <w:rFonts w:ascii="Cambria" w:eastAsia="Cambria" w:hAnsi="Cambria" w:cs="Cambria"/>
        </w:rPr>
        <w:t>A vendor who cannot satisfy these dimensions has not demonstrated that their component can be safely admitted to a deployment where their model’s reasoning outputs will drive physical actuation.</w:t>
      </w:r>
    </w:p>
    <w:p w14:paraId="59C904BB" w14:textId="77777777" w:rsidR="00875D22" w:rsidRPr="00E3012D" w:rsidRDefault="00000000">
      <w:pPr>
        <w:pBdr>
          <w:top w:val="nil"/>
          <w:left w:val="nil"/>
          <w:bottom w:val="nil"/>
          <w:right w:val="nil"/>
          <w:between w:val="nil"/>
        </w:pBdr>
        <w:spacing w:before="180" w:after="180"/>
      </w:pPr>
      <w:r w:rsidRPr="00E3012D">
        <w:t>For instance, had ASCR-17 been applied before Terminal Alpha admitted the hardware vendor’s Predictive Maintenance Agent, the following would have been required: Dimension 1 SD-1.2 (dependency chain integrity) would have required disclosure of the transitive dependency inventory to the specified depth, exposing the compromised tensor optimization library. Dimension 2 would have required the library and its provenance in the AI-BOM. Either check, applied pre-procurement, could surface the attack vector before admission. Neither was required. Neither was performed.</w:t>
      </w:r>
    </w:p>
    <w:p w14:paraId="0FC75FC4" w14:textId="77777777" w:rsidR="00875D22" w:rsidRPr="00E3012D" w:rsidRDefault="00000000">
      <w:pPr>
        <w:pBdr>
          <w:top w:val="nil"/>
          <w:left w:val="nil"/>
          <w:bottom w:val="nil"/>
          <w:right w:val="nil"/>
          <w:between w:val="nil"/>
        </w:pBdr>
        <w:spacing w:before="180" w:after="180"/>
      </w:pPr>
      <w:r w:rsidRPr="00E3012D">
        <w:t xml:space="preserve">ASCR-17 serves three functions. The first is a pre-procurement technical qualification gate: the assessment produces a vendor qualification determination - Qualified, Conditionally Qualified, or Disqualified - that establishes the technical basis for the procurement decision. Contract execution may proceed only after the ASCR-17 Section 1.6 Commercial and Legal Readiness Gate and any applicable ASCR-11 and ASCR-03 governance decisions are complete. A Disqualified determination prohibits new admission of the assessed component, execution of a new deployment contract for that component, and admission of additional artifact versions. The second is the evidence foundation for the signed ASCR-17 vendor qualification record and for any executed ASCR-11 contractual obligations that rely on that qualification evidence, establishing the baseline security posture against which ongoing vendor performance is measured. The third is evidence input to ASCR-01: ASCR-17 findings provide vendor-risk evidence that is linked to relevant ASCR-01 question anchors </w:t>
      </w:r>
      <w:r w:rsidRPr="00E3012D">
        <w:lastRenderedPageBreak/>
        <w:t>and assessor notes. ASCR-17 does not directly set ASCR-01 Raw Scores, subtract from Cluster Scores, or impose Cluster Score caps.</w:t>
      </w:r>
    </w:p>
    <w:p w14:paraId="6EB18FE8" w14:textId="77777777" w:rsidR="00875D22" w:rsidRPr="00E3012D" w:rsidRDefault="00000000">
      <w:pPr>
        <w:pBdr>
          <w:top w:val="nil"/>
          <w:left w:val="nil"/>
          <w:bottom w:val="nil"/>
          <w:right w:val="nil"/>
          <w:between w:val="nil"/>
        </w:pBdr>
        <w:spacing w:before="180" w:after="180"/>
      </w:pPr>
      <w:r w:rsidRPr="00E3012D">
        <w:rPr>
          <w:rFonts w:ascii="Cambria" w:eastAsia="Cambria" w:hAnsi="Cambria" w:cs="Cambria"/>
        </w:rPr>
        <w:t>ASCR-17 uses three deployment-context inputs. Where a current ASCR-01 assessment exists, use it as deployment-risk context; ASCR-17 does not use an ASCR-01 Cluster Score to assign vendor tier. Vendor tier is determined by the Section 1.1 / Table 17.1 impact path. ASCR-15 Component 1 must be reviewed because its Supply Chain adversary analysis identifies the attack paths the vendor assessment should probe. ASCR-03 Section 4 must identify the applicable authorizing authority and decision path before assessment begins; the authorization to admit a new vendor-supplied component is issued only after ASCR-17 produces the technical evidence required for that decision.</w:t>
      </w:r>
    </w:p>
    <w:p w14:paraId="2CEAAFD8" w14:textId="77777777" w:rsidR="00875D22" w:rsidRPr="00E3012D" w:rsidRDefault="00000000">
      <w:pPr>
        <w:pStyle w:val="Heading3"/>
        <w:rPr>
          <w:color w:val="auto"/>
        </w:rPr>
      </w:pPr>
      <w:r w:rsidRPr="00E3012D">
        <w:rPr>
          <w:color w:val="auto"/>
        </w:rPr>
        <w:t xml:space="preserve">Before you </w:t>
      </w:r>
      <w:proofErr w:type="gramStart"/>
      <w:r w:rsidRPr="00E3012D">
        <w:rPr>
          <w:color w:val="auto"/>
        </w:rPr>
        <w:t>operationalize</w:t>
      </w:r>
      <w:proofErr w:type="gramEnd"/>
      <w:r w:rsidRPr="00E3012D">
        <w:rPr>
          <w:color w:val="auto"/>
        </w:rPr>
        <w:t xml:space="preserve"> this instrument</w:t>
      </w:r>
    </w:p>
    <w:p w14:paraId="4268AEFC" w14:textId="77777777" w:rsidR="00875D22" w:rsidRPr="00E3012D" w:rsidRDefault="00000000">
      <w:pPr>
        <w:pBdr>
          <w:top w:val="nil"/>
          <w:left w:val="nil"/>
          <w:bottom w:val="nil"/>
          <w:right w:val="nil"/>
          <w:between w:val="nil"/>
        </w:pBdr>
        <w:spacing w:before="180" w:after="180"/>
      </w:pPr>
      <w:r w:rsidRPr="00E3012D">
        <w:t>This instrument is a jurisdiction-neutral starting template issued as Version 1.0 — June 2026. The version label identifies the artifact release lineage and is not a legal-currency cutoff. Regulatory citations and applicability dates in this release may reflect subsequent amendments expressly identified below and must be re-verified before reliance. Numeric thresholds and operational defaults are Blueprint starting values that must be localized to the deployment. See Chapter 10 for the full Point-in-Time and Jurisdictional Scope Statement and Localization Methodology.</w:t>
      </w:r>
    </w:p>
    <w:p w14:paraId="450DD842" w14:textId="77777777" w:rsidR="00875D22" w:rsidRPr="00E3012D" w:rsidRDefault="00000000">
      <w:pPr>
        <w:pBdr>
          <w:top w:val="nil"/>
          <w:left w:val="nil"/>
          <w:bottom w:val="nil"/>
          <w:right w:val="nil"/>
          <w:between w:val="nil"/>
        </w:pBdr>
        <w:spacing w:before="180" w:after="180"/>
      </w:pPr>
      <w:r w:rsidRPr="00E3012D">
        <w:rPr>
          <w:b/>
          <w:bCs/>
        </w:rPr>
        <w:t xml:space="preserve">What you must define before </w:t>
      </w:r>
      <w:proofErr w:type="gramStart"/>
      <w:r w:rsidRPr="00E3012D">
        <w:rPr>
          <w:b/>
          <w:bCs/>
        </w:rPr>
        <w:t>use</w:t>
      </w:r>
      <w:proofErr w:type="gramEnd"/>
    </w:p>
    <w:p w14:paraId="3F2E263B" w14:textId="77777777" w:rsidR="00875D22" w:rsidRPr="00E3012D" w:rsidRDefault="00000000">
      <w:pPr>
        <w:numPr>
          <w:ilvl w:val="0"/>
          <w:numId w:val="10"/>
        </w:numPr>
        <w:pBdr>
          <w:top w:val="nil"/>
          <w:left w:val="nil"/>
          <w:bottom w:val="nil"/>
          <w:right w:val="nil"/>
          <w:between w:val="nil"/>
        </w:pBdr>
        <w:spacing w:before="36" w:after="36"/>
      </w:pPr>
      <w:r w:rsidRPr="00E3012D">
        <w:rPr>
          <w:b/>
          <w:bCs/>
        </w:rPr>
        <w:t xml:space="preserve">Assessment scope: </w:t>
      </w:r>
      <w:r w:rsidRPr="00E3012D">
        <w:t>vendor legal entity, component and version, deployment scope, vendor tier, applicable Dimension 3 track (Standard, KQP, or EDGE), and any whole-dimension or sub-dimension N/A rationale.</w:t>
      </w:r>
    </w:p>
    <w:p w14:paraId="687D7F7F" w14:textId="77777777" w:rsidR="00875D22" w:rsidRPr="00E3012D" w:rsidRDefault="00000000">
      <w:pPr>
        <w:numPr>
          <w:ilvl w:val="0"/>
          <w:numId w:val="10"/>
        </w:numPr>
        <w:pBdr>
          <w:top w:val="nil"/>
          <w:left w:val="nil"/>
          <w:bottom w:val="nil"/>
          <w:right w:val="nil"/>
          <w:between w:val="nil"/>
        </w:pBdr>
        <w:spacing w:before="36" w:after="36"/>
      </w:pPr>
      <w:r w:rsidRPr="00E3012D">
        <w:rPr>
          <w:b/>
          <w:bCs/>
        </w:rPr>
        <w:t xml:space="preserve">Legal and contractual localization: </w:t>
      </w:r>
      <w:r w:rsidRPr="00E3012D">
        <w:t>applicable jurisdictions and regulatory scope, ASCR-11 Contract Owner, evidence-handling and NDA requirements, notification and remediation windows, evidence-retention requirements, and any deployment-specific substitutions for Blueprint defaults.</w:t>
      </w:r>
    </w:p>
    <w:p w14:paraId="319111B7" w14:textId="77777777" w:rsidR="00875D22" w:rsidRPr="00E3012D" w:rsidRDefault="00000000">
      <w:pPr>
        <w:numPr>
          <w:ilvl w:val="0"/>
          <w:numId w:val="10"/>
        </w:numPr>
        <w:pBdr>
          <w:top w:val="nil"/>
          <w:left w:val="nil"/>
          <w:bottom w:val="nil"/>
          <w:right w:val="nil"/>
          <w:between w:val="nil"/>
        </w:pBdr>
        <w:spacing w:before="36" w:after="36"/>
      </w:pPr>
      <w:r w:rsidRPr="00E3012D">
        <w:rPr>
          <w:b/>
          <w:bCs/>
        </w:rPr>
        <w:t xml:space="preserve">KQP and physical-response values, where applicable: </w:t>
      </w:r>
      <w:r w:rsidRPr="00E3012D">
        <w:t>deployment-approved P99.9 TKQ threshold and P99.99 threshold where High/Critical applies, ASCR-10 commissioning evidence, ASCR-11 Section 11.3.1.1 statistical-validation evidence, and deployment-specific tamper/safeguard response limits where the illustrative defaults are not appropriate.</w:t>
      </w:r>
    </w:p>
    <w:p w14:paraId="25616682" w14:textId="77777777" w:rsidR="00875D22" w:rsidRPr="00E3012D" w:rsidRDefault="00000000">
      <w:pPr>
        <w:numPr>
          <w:ilvl w:val="0"/>
          <w:numId w:val="10"/>
        </w:numPr>
        <w:pBdr>
          <w:top w:val="nil"/>
          <w:left w:val="nil"/>
          <w:bottom w:val="nil"/>
          <w:right w:val="nil"/>
          <w:between w:val="nil"/>
        </w:pBdr>
        <w:spacing w:before="36" w:after="36"/>
      </w:pPr>
      <w:r w:rsidRPr="00E3012D">
        <w:rPr>
          <w:b/>
          <w:bCs/>
        </w:rPr>
        <w:t xml:space="preserve">Behavioral and adversarial criteria: </w:t>
      </w:r>
      <w:r w:rsidRPr="00E3012D">
        <w:t>material behavioral-drift thresholds, objective-stability/divergence acceptance criteria, applicable MITRE ATLAS techniques, required test conditions, and evidence acceptance criteria.</w:t>
      </w:r>
    </w:p>
    <w:p w14:paraId="24A65894" w14:textId="77777777" w:rsidR="00875D22" w:rsidRPr="00E3012D" w:rsidRDefault="00000000">
      <w:pPr>
        <w:numPr>
          <w:ilvl w:val="0"/>
          <w:numId w:val="10"/>
        </w:numPr>
        <w:pBdr>
          <w:top w:val="nil"/>
          <w:left w:val="nil"/>
          <w:bottom w:val="nil"/>
          <w:right w:val="nil"/>
          <w:between w:val="nil"/>
        </w:pBdr>
        <w:spacing w:before="36" w:after="36"/>
      </w:pPr>
      <w:r w:rsidRPr="00E3012D">
        <w:rPr>
          <w:b/>
          <w:bCs/>
        </w:rPr>
        <w:lastRenderedPageBreak/>
        <w:t xml:space="preserve">Assessment operations: </w:t>
      </w:r>
      <w:r w:rsidRPr="00E3012D">
        <w:t>evidence repository/location, assessor and sign-off roles, vendor technical and incident-response contacts, and the bracketed fields required for applicable OE02 Part 2 vendor notifications.</w:t>
      </w:r>
    </w:p>
    <w:p w14:paraId="1CA0E6F5" w14:textId="77777777" w:rsidR="00875D22" w:rsidRPr="00E3012D" w:rsidRDefault="00000000">
      <w:pPr>
        <w:numPr>
          <w:ilvl w:val="0"/>
          <w:numId w:val="10"/>
        </w:numPr>
        <w:pBdr>
          <w:top w:val="nil"/>
          <w:left w:val="nil"/>
          <w:bottom w:val="nil"/>
          <w:right w:val="nil"/>
          <w:between w:val="nil"/>
        </w:pBdr>
        <w:spacing w:before="36" w:after="36"/>
      </w:pPr>
      <w:r w:rsidRPr="00E3012D">
        <w:rPr>
          <w:b/>
          <w:bCs/>
        </w:rPr>
        <w:t xml:space="preserve">Governance linkage: </w:t>
      </w:r>
      <w:r w:rsidRPr="00E3012D">
        <w:t>applicable ASCR-01 assessment reference, ASCR-11 contract or governed evidence reference, and any required ASCR-03 authorization path.</w:t>
      </w:r>
    </w:p>
    <w:p w14:paraId="63C8F987" w14:textId="77777777" w:rsidR="00875D22" w:rsidRPr="00E3012D" w:rsidRDefault="00000000">
      <w:pPr>
        <w:pBdr>
          <w:top w:val="nil"/>
          <w:left w:val="nil"/>
          <w:bottom w:val="nil"/>
          <w:right w:val="nil"/>
          <w:between w:val="nil"/>
        </w:pBdr>
        <w:spacing w:before="180" w:after="180"/>
      </w:pPr>
      <w:r w:rsidRPr="00E3012D">
        <w:t xml:space="preserve">Do not begin qualification scoring until the applicable items above have been defined or explicitly identified as not applicable. Record deployment-specific values in VENDOR_INFO, the applicable Dimension tabs, </w:t>
      </w:r>
      <w:proofErr w:type="spellStart"/>
      <w:r w:rsidRPr="00E3012D">
        <w:t>TKQ_Thresholds</w:t>
      </w:r>
      <w:proofErr w:type="spellEnd"/>
      <w:r w:rsidRPr="00E3012D">
        <w:t xml:space="preserve"> where relevant, and the qualification/evidence records described below.</w:t>
      </w:r>
    </w:p>
    <w:p w14:paraId="3019968C" w14:textId="77777777" w:rsidR="00875D22" w:rsidRPr="00E3012D" w:rsidRDefault="00000000">
      <w:pPr>
        <w:pBdr>
          <w:top w:val="nil"/>
          <w:left w:val="nil"/>
          <w:bottom w:val="nil"/>
          <w:right w:val="nil"/>
          <w:between w:val="nil"/>
        </w:pBdr>
        <w:spacing w:before="180" w:after="180"/>
      </w:pPr>
      <w:proofErr w:type="gramStart"/>
      <w:r w:rsidRPr="00E3012D">
        <w:rPr>
          <w:rFonts w:ascii="Cambria" w:eastAsia="Cambria" w:hAnsi="Cambria" w:cs="Cambria"/>
          <w:b/>
          <w:bCs/>
        </w:rPr>
        <w:t>Specific</w:t>
      </w:r>
      <w:proofErr w:type="gramEnd"/>
      <w:r w:rsidRPr="00E3012D">
        <w:rPr>
          <w:rFonts w:ascii="Cambria" w:eastAsia="Cambria" w:hAnsi="Cambria" w:cs="Cambria"/>
          <w:b/>
          <w:bCs/>
        </w:rPr>
        <w:t xml:space="preserve"> to ASCR-17:</w:t>
      </w:r>
    </w:p>
    <w:p w14:paraId="60B13EEA" w14:textId="77777777" w:rsidR="00875D22" w:rsidRPr="00E3012D" w:rsidRDefault="00000000">
      <w:pPr>
        <w:numPr>
          <w:ilvl w:val="0"/>
          <w:numId w:val="10"/>
        </w:numPr>
        <w:pBdr>
          <w:top w:val="nil"/>
          <w:left w:val="nil"/>
          <w:bottom w:val="nil"/>
          <w:right w:val="nil"/>
          <w:between w:val="nil"/>
        </w:pBdr>
        <w:spacing w:before="36" w:after="36"/>
      </w:pPr>
      <w:r w:rsidRPr="00E3012D">
        <w:t>Jurisdiction-bound defaults. NIS2 Article 23 establishes reporting duties for significant incidents on covered entities; ASCR-17 vendor response windows are contractual operational defaults designed to preserve the deployer’s reporting time and must not be described as universal statutory vendor deadlines. EU AI Act high-risk obligations in Chapter III, Sections 1 through 3 apply from 2 December 2027 for Article 6(2)/Annex III systems and 2 August 2028 for Article 6(1)/Annex I systems under Regulation (EU) 2026/1744. Conformity evidence under Articles 15(5) and 43 is therefore required only where legally applicable and available. The 36-month incident-disclosure window is an ASCR operational default and must be localized to applicable legal, contractual, and operational requirements.</w:t>
      </w:r>
    </w:p>
    <w:p w14:paraId="0AC790D8" w14:textId="77777777" w:rsidR="00875D22" w:rsidRPr="00E3012D" w:rsidRDefault="00000000">
      <w:pPr>
        <w:numPr>
          <w:ilvl w:val="0"/>
          <w:numId w:val="10"/>
        </w:numPr>
        <w:pBdr>
          <w:top w:val="nil"/>
          <w:left w:val="nil"/>
          <w:bottom w:val="nil"/>
          <w:right w:val="nil"/>
          <w:between w:val="nil"/>
        </w:pBdr>
        <w:spacing w:before="36" w:after="36"/>
      </w:pPr>
      <w:r w:rsidRPr="00E3012D">
        <w:t xml:space="preserve">Enforceability-dependent mechanisms. Directive (EU) 2024/2853 must be transposed by 9 December 2026 and </w:t>
      </w:r>
      <w:proofErr w:type="gramStart"/>
      <w:r w:rsidRPr="00E3012D">
        <w:t>applies</w:t>
      </w:r>
      <w:proofErr w:type="gramEnd"/>
      <w:r w:rsidRPr="00E3012D">
        <w:t xml:space="preserve"> through national law to products placed on the market or put into service from that date; Directive 85/374/EEC continues to govern earlier products. References in this instrument to the revised Product Liability Directive are therefore conditional on applicability and national implementation. Operators outside that regime substitute the applicable local product-liability evidentiary standard. Pre-contract forensic-cooperation SLAs in ASCR-11 are contractual and enforceable only to the extent carried into the executed agreement.</w:t>
      </w:r>
    </w:p>
    <w:p w14:paraId="250C6F49" w14:textId="77777777" w:rsidR="00875D22" w:rsidRPr="00E3012D" w:rsidRDefault="00000000">
      <w:pPr>
        <w:numPr>
          <w:ilvl w:val="0"/>
          <w:numId w:val="10"/>
        </w:numPr>
        <w:pBdr>
          <w:top w:val="nil"/>
          <w:left w:val="nil"/>
          <w:bottom w:val="nil"/>
          <w:right w:val="nil"/>
          <w:between w:val="nil"/>
        </w:pBdr>
        <w:spacing w:before="36" w:after="36"/>
      </w:pPr>
      <w:r w:rsidRPr="00E3012D">
        <w:t xml:space="preserve">Industry/sector calibration. These illustrative numeric parameters are calibrated to ASCR-05 warehouse and industrial-robotics deployments and may not transfer to other sectors: the deployment-approved P99.9 TKQ threshold for each governed asset class and, for High or Critical physical-consequence deployments, the applicable deployment-approved P99.99 TKQ threshold, established from ASCR-10 commissioning evidence using the statistical validation method required by ASCR-11 Section 11.3.1.1; the tamper-detection response times (50 </w:t>
      </w:r>
      <w:proofErr w:type="spellStart"/>
      <w:r w:rsidRPr="00E3012D">
        <w:t>ms</w:t>
      </w:r>
      <w:proofErr w:type="spellEnd"/>
      <w:r w:rsidRPr="00E3012D">
        <w:t xml:space="preserve"> standard, 20 </w:t>
      </w:r>
      <w:proofErr w:type="spellStart"/>
      <w:r w:rsidRPr="00E3012D">
        <w:t>ms</w:t>
      </w:r>
      <w:proofErr w:type="spellEnd"/>
      <w:r w:rsidRPr="00E3012D">
        <w:t xml:space="preserve"> high-velocity); the illustrative objective-drift indicators (&gt; 5% of adversarial cases </w:t>
      </w:r>
      <w:r w:rsidRPr="00E3012D">
        <w:lastRenderedPageBreak/>
        <w:t xml:space="preserve">exceeding the documented alert threshold and, where paired baseline/adversarial observations are suitable, a separate Wilcoxon signed-rank test at p &lt; 0.05); and the response/remediation windows (2-hour and 6-hour incident windows; 90-day and 30-day remediation; 14-day firmware notice; 24-hour Tier 3 governance-authority notification for a DIM5-DET Critical Failure). For other asset classes and sectors, derive TKQ values from ASCR-04 Section 3.6.5 and derive physical-response and safeguard equivalents from ISO 13855 for safeguard positioning and response-time relationships, ISO 12100 for hazard identification, and ISO 13849-1 Annex A for </w:t>
      </w:r>
      <w:proofErr w:type="spellStart"/>
      <w:r w:rsidRPr="00E3012D">
        <w:t>PLr</w:t>
      </w:r>
      <w:proofErr w:type="spellEnd"/>
      <w:r w:rsidRPr="00E3012D">
        <w:t xml:space="preserve"> and document them in the ASCR-11 procurement specification.</w:t>
      </w:r>
    </w:p>
    <w:p w14:paraId="6915FB90" w14:textId="77777777" w:rsidR="00875D22" w:rsidRPr="00E3012D" w:rsidRDefault="00000000">
      <w:r w:rsidRPr="00E3012D">
        <w:t xml:space="preserve">Operational artifact independence. The ASCR </w:t>
      </w:r>
      <w:proofErr w:type="spellStart"/>
      <w:r w:rsidRPr="00E3012D">
        <w:t>downloadables</w:t>
      </w:r>
      <w:proofErr w:type="spellEnd"/>
      <w:r w:rsidRPr="00E3012D">
        <w:t xml:space="preserve"> are separately versioned operational instruments and may be more specific or newer than examples in the book chapters. Where a book narrative example differs from the mechanics in this Version 1.0 downloadable, the current ASCR-17 downloadable governs the operational use of this artifact, while the book continues to govern overall architectural scope and intent. In this release, ASCR-17 uses equal weighting across applicable assessment dimensions, with weighting renormalized when a dimension is N/</w:t>
      </w:r>
      <w:proofErr w:type="gramStart"/>
      <w:r w:rsidRPr="00E3012D">
        <w:t>A, and</w:t>
      </w:r>
      <w:proofErr w:type="gramEnd"/>
      <w:r w:rsidRPr="00E3012D">
        <w:t xml:space="preserve"> applies the ordered qualification logic in ASCR-17 Section 7.2; it does not use the earlier fixed 30/25/20/15/10 weighting example that may remain in Chapter 5. ASCR-17 findings are linked to ASCR-01 as evidence inputs, principally Q18 and Q30 and, where directly applicable, Q8, Q15, and Q31. ASCR-17 does not directly overwrite ASCR-01 Raw Scores, subtract from Cluster Scores, or impose Cluster Score caps, notwithstanding older book examples that may describe a direct Supply Chain cluster feed. ASCR-17 also uses SPDX 3.0 AI and Dataset profiles or </w:t>
      </w:r>
      <w:proofErr w:type="spellStart"/>
      <w:r w:rsidRPr="00E3012D">
        <w:t>CycloneDX</w:t>
      </w:r>
      <w:proofErr w:type="spellEnd"/>
      <w:r w:rsidRPr="00E3012D">
        <w:t xml:space="preserve"> 1.6 AI/ML-BOM for machine-readable AI-BOM evidence and applies current ATLAS model- and agent-tool-poisoning mappings where the factual attack path warrants them. These differences are intentional operational updates informed by separate organizational implementations of ASCR-17. Technique identifiers, external standards, and jurisdiction-dependent requirements must still be re-verified at assessment time.</w:t>
      </w:r>
    </w:p>
    <w:p w14:paraId="0B60BE6C" w14:textId="77777777" w:rsidR="00875D22" w:rsidRPr="00E3012D" w:rsidRDefault="00000000">
      <w:pPr>
        <w:pStyle w:val="Heading3"/>
        <w:rPr>
          <w:color w:val="auto"/>
        </w:rPr>
      </w:pPr>
      <w:r w:rsidRPr="00E3012D">
        <w:rPr>
          <w:color w:val="auto"/>
        </w:rPr>
        <w:t>Artifact structure and usage</w:t>
      </w:r>
    </w:p>
    <w:p w14:paraId="1975F96C" w14:textId="77777777" w:rsidR="00875D22" w:rsidRPr="00E3012D" w:rsidRDefault="00000000">
      <w:pPr>
        <w:pBdr>
          <w:top w:val="nil"/>
          <w:left w:val="nil"/>
          <w:bottom w:val="nil"/>
          <w:right w:val="nil"/>
          <w:between w:val="nil"/>
        </w:pBdr>
        <w:spacing w:before="180" w:after="180"/>
      </w:pPr>
      <w:r w:rsidRPr="00E3012D">
        <w:rPr>
          <w:rFonts w:ascii="Cambria" w:eastAsia="Cambria" w:hAnsi="Cambria" w:cs="Cambria"/>
        </w:rPr>
        <w:t xml:space="preserve">Publisher filename: ASCR-17-Agentic-Vendor-Security-Assessment-Resource.docx. The ASCR-17 operational toolkit consists of the main document plus two Operational Extension (OE) files. OE files version in lockstep with the main document: when ASCR-17 is revised, both OE files are reissued at the same version. Where an OE file and the main document appear to differ, the main document governs, except for the two </w:t>
      </w:r>
      <w:proofErr w:type="gramStart"/>
      <w:r w:rsidRPr="00E3012D">
        <w:rPr>
          <w:rFonts w:ascii="Cambria" w:eastAsia="Cambria" w:hAnsi="Cambria" w:cs="Cambria"/>
        </w:rPr>
        <w:t>externally-anchored</w:t>
      </w:r>
      <w:proofErr w:type="gramEnd"/>
      <w:r w:rsidRPr="00E3012D">
        <w:rPr>
          <w:rFonts w:ascii="Cambria" w:eastAsia="Cambria" w:hAnsi="Cambria" w:cs="Cambria"/>
        </w:rPr>
        <w:t xml:space="preserve"> values called out below.</w:t>
      </w:r>
    </w:p>
    <w:p w14:paraId="5DEE62F3" w14:textId="77777777" w:rsidR="00875D22" w:rsidRPr="00E3012D" w:rsidRDefault="00000000">
      <w:pPr>
        <w:numPr>
          <w:ilvl w:val="0"/>
          <w:numId w:val="11"/>
        </w:numPr>
        <w:pBdr>
          <w:top w:val="nil"/>
          <w:left w:val="nil"/>
          <w:bottom w:val="nil"/>
          <w:right w:val="nil"/>
          <w:between w:val="nil"/>
        </w:pBdr>
        <w:spacing w:before="36" w:after="36"/>
      </w:pPr>
      <w:r w:rsidRPr="00E3012D">
        <w:t xml:space="preserve">ASCR-17-OE01-Vendor-Assessment-Workbook.xlsx - the assessment workbook. Worksheets: Read Me, 00_Instructions, VENDOR_INFO, DIM1_Pipeline_Integrity, DIM2_AI_BOM, DIM3_Adversarial_Robustness, DIM3_KQP_HW_PROXY, DIM4_Incident_Response, DIM5_FourthParty, QUALIFICATION, ASCR01_FEED, </w:t>
      </w:r>
      <w:r w:rsidRPr="00E3012D">
        <w:lastRenderedPageBreak/>
        <w:t xml:space="preserve">QUALIFICATION_RECORD, </w:t>
      </w:r>
      <w:proofErr w:type="spellStart"/>
      <w:r w:rsidRPr="00E3012D">
        <w:t>Checklist_Guide</w:t>
      </w:r>
      <w:proofErr w:type="spellEnd"/>
      <w:r w:rsidRPr="00E3012D">
        <w:t xml:space="preserve">, </w:t>
      </w:r>
      <w:proofErr w:type="spellStart"/>
      <w:r w:rsidRPr="00E3012D">
        <w:t>TKQ_Thresholds</w:t>
      </w:r>
      <w:proofErr w:type="spellEnd"/>
      <w:r w:rsidRPr="00E3012D">
        <w:t xml:space="preserve">, and DIM3_EDGE_HW. Normative in this file: the QUALIFICATION determination logic (which implements ASCR-17 Section 7.2), the ASCR01_FEED evidence-linkage mapping (which implements ASCR-17 Section 7.3 and OE02 Part 3), and the sub-dimension identifiers. The </w:t>
      </w:r>
      <w:proofErr w:type="spellStart"/>
      <w:r w:rsidRPr="00E3012D">
        <w:t>TKQ_Thresholds</w:t>
      </w:r>
      <w:proofErr w:type="spellEnd"/>
      <w:r w:rsidRPr="00E3012D">
        <w:t xml:space="preserve"> tab captures the deployment-approved TKQ thresholds and commissioning/statistical-validation evidence references used for KQP-1. It does not establish independent ASCR-17 TKQ thresholds. Populate and verify the tab against the current ASCR-04 Section 3.6.5 and ASCR-04-OE01 KQP TKQ Thresholds sheet, using the applicable ASCR-10 commissioning evidence and ASCR-11 Section 11.3.1.1 statistical-validation record. Where any ASCR-17 reference differs from the current ASCR-04 source, ASCR-04 governs.</w:t>
      </w:r>
    </w:p>
    <w:p w14:paraId="1D56DF65" w14:textId="77777777" w:rsidR="00875D22" w:rsidRPr="00E3012D" w:rsidRDefault="00000000">
      <w:pPr>
        <w:numPr>
          <w:ilvl w:val="0"/>
          <w:numId w:val="11"/>
        </w:numPr>
        <w:pBdr>
          <w:top w:val="nil"/>
          <w:left w:val="nil"/>
          <w:bottom w:val="nil"/>
          <w:right w:val="nil"/>
          <w:between w:val="nil"/>
        </w:pBdr>
        <w:spacing w:before="36" w:after="36"/>
      </w:pPr>
      <w:r w:rsidRPr="00E3012D">
        <w:t>ASCR-17-OE02-Operational-Companion.docx - Part 0 Assessment Execution Guide, Part 1 Tabletop Exercise Scenario Pack (the operational implementation of the Dimension 4 scenarios), Part 2 Vendor Notification Letter Templates (operational, not normative; legal review governs the letters actually sent), and Part 3 ASCR-01 Evidence Linkage Guide (normative for the evidence-linkage procedure in ASCR-17 Section 7.3).</w:t>
      </w:r>
    </w:p>
    <w:p w14:paraId="28C4D460" w14:textId="77777777" w:rsidR="00875D22" w:rsidRPr="00E3012D" w:rsidRDefault="00000000">
      <w:pPr>
        <w:pBdr>
          <w:top w:val="nil"/>
          <w:left w:val="nil"/>
          <w:bottom w:val="nil"/>
          <w:right w:val="nil"/>
          <w:between w:val="nil"/>
        </w:pBdr>
        <w:spacing w:before="180" w:after="180"/>
      </w:pPr>
      <w:r w:rsidRPr="00E3012D">
        <w:t xml:space="preserve">A vendor-security assessment blueprint that requires practitioners to build scoring workbooks, tabletop scenarios, and vendor-notification templates from first principles is difficult to apply consistently. Inconsistent </w:t>
      </w:r>
      <w:proofErr w:type="gramStart"/>
      <w:r w:rsidRPr="00E3012D">
        <w:t>application</w:t>
      </w:r>
      <w:proofErr w:type="gramEnd"/>
      <w:r w:rsidRPr="00E3012D">
        <w:t xml:space="preserve"> can produce inconsistent qualification determinations and leave supply-chain risk less visible. The companion files reduce this implementation burden by providing reusable, customizable artifacts as listed below; they do not themselves enforce vendor controls or replace the deploying organization's security, procurement, GRC, or operational tooling.</w:t>
      </w:r>
    </w:p>
    <w:tbl>
      <w:tblPr>
        <w:tblStyle w:val="a7"/>
        <w:tblW w:w="9435" w:type="dxa"/>
        <w:tblInd w:w="-108" w:type="dxa"/>
        <w:tblLayout w:type="fixed"/>
        <w:tblLook w:val="0020" w:firstRow="1" w:lastRow="0" w:firstColumn="0" w:lastColumn="0" w:noHBand="0" w:noVBand="0"/>
      </w:tblPr>
      <w:tblGrid>
        <w:gridCol w:w="1890"/>
        <w:gridCol w:w="2460"/>
        <w:gridCol w:w="5085"/>
      </w:tblGrid>
      <w:tr w:rsidR="00875D22" w:rsidRPr="00E3012D" w14:paraId="37141030" w14:textId="77777777" w:rsidTr="00875D22">
        <w:trPr>
          <w:cnfStyle w:val="100000000000" w:firstRow="1" w:lastRow="0" w:firstColumn="0" w:lastColumn="0" w:oddVBand="0" w:evenVBand="0" w:oddHBand="0" w:evenHBand="0" w:firstRowFirstColumn="0" w:firstRowLastColumn="0" w:lastRowFirstColumn="0" w:lastRowLastColumn="0"/>
          <w:tblHeader/>
        </w:trPr>
        <w:tc>
          <w:tcPr>
            <w:tcW w:w="1890" w:type="dxa"/>
            <w:shd w:val="clear" w:color="auto" w:fill="1F3864"/>
          </w:tcPr>
          <w:p w14:paraId="22142092" w14:textId="77777777" w:rsidR="00875D22" w:rsidRPr="00E3012D" w:rsidRDefault="00000000">
            <w:pPr>
              <w:pBdr>
                <w:top w:val="nil"/>
                <w:left w:val="nil"/>
                <w:bottom w:val="nil"/>
                <w:right w:val="nil"/>
                <w:between w:val="nil"/>
              </w:pBdr>
              <w:spacing w:before="36" w:after="36"/>
            </w:pPr>
            <w:r w:rsidRPr="00E3012D">
              <w:rPr>
                <w:rFonts w:ascii="Cambria" w:eastAsia="Cambria" w:hAnsi="Cambria" w:cs="Cambria"/>
                <w:b/>
                <w:bCs/>
              </w:rPr>
              <w:t>File</w:t>
            </w:r>
          </w:p>
        </w:tc>
        <w:tc>
          <w:tcPr>
            <w:tcW w:w="2460" w:type="dxa"/>
            <w:shd w:val="clear" w:color="auto" w:fill="1F3864"/>
          </w:tcPr>
          <w:p w14:paraId="793255A1" w14:textId="77777777" w:rsidR="00875D22" w:rsidRPr="00E3012D" w:rsidRDefault="00000000">
            <w:pPr>
              <w:pBdr>
                <w:top w:val="nil"/>
                <w:left w:val="nil"/>
                <w:bottom w:val="nil"/>
                <w:right w:val="nil"/>
                <w:between w:val="nil"/>
              </w:pBdr>
              <w:spacing w:before="36" w:after="36"/>
            </w:pPr>
            <w:r w:rsidRPr="00E3012D">
              <w:rPr>
                <w:rFonts w:ascii="Cambria" w:eastAsia="Cambria" w:hAnsi="Cambria" w:cs="Cambria"/>
                <w:b/>
                <w:bCs/>
              </w:rPr>
              <w:t>Name</w:t>
            </w:r>
          </w:p>
        </w:tc>
        <w:tc>
          <w:tcPr>
            <w:tcW w:w="5085" w:type="dxa"/>
            <w:shd w:val="clear" w:color="auto" w:fill="1F3864"/>
          </w:tcPr>
          <w:p w14:paraId="1B0C0477" w14:textId="77777777" w:rsidR="00875D22" w:rsidRPr="00E3012D" w:rsidRDefault="00000000">
            <w:pPr>
              <w:pBdr>
                <w:top w:val="nil"/>
                <w:left w:val="nil"/>
                <w:bottom w:val="nil"/>
                <w:right w:val="nil"/>
                <w:between w:val="nil"/>
              </w:pBdr>
              <w:spacing w:before="36" w:after="36"/>
            </w:pPr>
            <w:r w:rsidRPr="00E3012D">
              <w:rPr>
                <w:rFonts w:ascii="Cambria" w:eastAsia="Cambria" w:hAnsi="Cambria" w:cs="Cambria"/>
                <w:b/>
                <w:bCs/>
              </w:rPr>
              <w:t>Purpose and Section Link</w:t>
            </w:r>
          </w:p>
        </w:tc>
      </w:tr>
      <w:tr w:rsidR="00875D22" w:rsidRPr="00E3012D" w14:paraId="46CD2D68" w14:textId="77777777" w:rsidTr="00875D22">
        <w:tc>
          <w:tcPr>
            <w:tcW w:w="1890" w:type="dxa"/>
            <w:shd w:val="clear" w:color="auto" w:fill="FFFFFF"/>
          </w:tcPr>
          <w:p w14:paraId="17BDDBCE" w14:textId="77777777" w:rsidR="00875D22" w:rsidRPr="00E3012D" w:rsidRDefault="00000000">
            <w:pPr>
              <w:rPr>
                <w:sz w:val="22"/>
                <w:szCs w:val="22"/>
              </w:rPr>
            </w:pPr>
            <w:r w:rsidRPr="00E3012D">
              <w:rPr>
                <w:sz w:val="22"/>
                <w:szCs w:val="22"/>
              </w:rPr>
              <w:t>ASCR-17-OE01-Vendor-Assessment-Workbook.xlsx</w:t>
            </w:r>
          </w:p>
        </w:tc>
        <w:tc>
          <w:tcPr>
            <w:tcW w:w="2460" w:type="dxa"/>
            <w:shd w:val="clear" w:color="auto" w:fill="FFFFFF"/>
          </w:tcPr>
          <w:p w14:paraId="69A6238F" w14:textId="77777777" w:rsidR="00875D22" w:rsidRPr="00E3012D" w:rsidRDefault="00000000">
            <w:pPr>
              <w:pBdr>
                <w:top w:val="nil"/>
                <w:left w:val="nil"/>
                <w:bottom w:val="nil"/>
                <w:right w:val="nil"/>
                <w:between w:val="nil"/>
              </w:pBdr>
              <w:spacing w:before="36" w:after="36"/>
              <w:rPr>
                <w:sz w:val="22"/>
                <w:szCs w:val="22"/>
              </w:rPr>
            </w:pPr>
            <w:r w:rsidRPr="00E3012D">
              <w:rPr>
                <w:rFonts w:ascii="Cambria" w:eastAsia="Cambria" w:hAnsi="Cambria" w:cs="Cambria"/>
                <w:sz w:val="22"/>
                <w:szCs w:val="22"/>
              </w:rPr>
              <w:t>Vendor Assessment Workbook (XLSX)</w:t>
            </w:r>
          </w:p>
        </w:tc>
        <w:tc>
          <w:tcPr>
            <w:tcW w:w="5085" w:type="dxa"/>
            <w:shd w:val="clear" w:color="auto" w:fill="FFFFFF"/>
            <w:vAlign w:val="center"/>
          </w:tcPr>
          <w:p w14:paraId="25AF07DB" w14:textId="77777777" w:rsidR="00875D22" w:rsidRPr="00E3012D" w:rsidRDefault="00000000">
            <w:pPr>
              <w:rPr>
                <w:sz w:val="22"/>
                <w:szCs w:val="22"/>
              </w:rPr>
            </w:pPr>
            <w:r w:rsidRPr="00E3012D">
              <w:rPr>
                <w:sz w:val="22"/>
                <w:szCs w:val="22"/>
              </w:rPr>
              <w:t>Primary assessment execution tool. One tab per assessment dimension/track with auto-calculated qualification determination (Section 7.2), ASCR-01 evidence-linkage output (Section 7.3), and signed ASCR-17 vendor qualification-record pre-population. It also contains evidence-classification guidance and the TKQ threshold reference. Every practitioner conducting an assessment under this Blueprint should use this workbook or an equivalently controlled implementation.</w:t>
            </w:r>
          </w:p>
        </w:tc>
      </w:tr>
      <w:tr w:rsidR="00875D22" w:rsidRPr="00E3012D" w14:paraId="731BCDB0" w14:textId="77777777" w:rsidTr="00875D22">
        <w:tc>
          <w:tcPr>
            <w:tcW w:w="1890" w:type="dxa"/>
            <w:shd w:val="clear" w:color="auto" w:fill="D9E2F3"/>
          </w:tcPr>
          <w:p w14:paraId="4853C83F" w14:textId="77777777" w:rsidR="00875D22" w:rsidRPr="00E3012D" w:rsidRDefault="00000000">
            <w:pPr>
              <w:rPr>
                <w:sz w:val="22"/>
                <w:szCs w:val="22"/>
              </w:rPr>
            </w:pPr>
            <w:r w:rsidRPr="00E3012D">
              <w:rPr>
                <w:sz w:val="22"/>
                <w:szCs w:val="22"/>
              </w:rPr>
              <w:t>ASCR-17-OE02-Operational-Companion.docx</w:t>
            </w:r>
          </w:p>
        </w:tc>
        <w:tc>
          <w:tcPr>
            <w:tcW w:w="2460" w:type="dxa"/>
            <w:shd w:val="clear" w:color="auto" w:fill="D9E2F3"/>
          </w:tcPr>
          <w:p w14:paraId="5135EE14" w14:textId="77777777" w:rsidR="00875D22" w:rsidRPr="00E3012D" w:rsidRDefault="00000000">
            <w:pPr>
              <w:pBdr>
                <w:top w:val="nil"/>
                <w:left w:val="nil"/>
                <w:bottom w:val="nil"/>
                <w:right w:val="nil"/>
                <w:between w:val="nil"/>
              </w:pBdr>
              <w:spacing w:before="36" w:after="36"/>
              <w:rPr>
                <w:sz w:val="22"/>
                <w:szCs w:val="22"/>
              </w:rPr>
            </w:pPr>
            <w:r w:rsidRPr="00E3012D">
              <w:rPr>
                <w:rFonts w:ascii="Cambria" w:eastAsia="Cambria" w:hAnsi="Cambria" w:cs="Cambria"/>
                <w:sz w:val="22"/>
                <w:szCs w:val="22"/>
              </w:rPr>
              <w:t>Operational Companion (DOCX)</w:t>
            </w:r>
          </w:p>
        </w:tc>
        <w:tc>
          <w:tcPr>
            <w:tcW w:w="5085" w:type="dxa"/>
            <w:shd w:val="clear" w:color="auto" w:fill="D9E2F3"/>
            <w:vAlign w:val="center"/>
          </w:tcPr>
          <w:p w14:paraId="1CFB6343" w14:textId="77777777" w:rsidR="00875D22" w:rsidRPr="00E3012D" w:rsidRDefault="00000000">
            <w:pPr>
              <w:rPr>
                <w:sz w:val="22"/>
                <w:szCs w:val="22"/>
              </w:rPr>
            </w:pPr>
            <w:r w:rsidRPr="00E3012D">
              <w:rPr>
                <w:sz w:val="22"/>
                <w:szCs w:val="22"/>
              </w:rPr>
              <w:t xml:space="preserve">Four-part companion. Part 0 - Assessment Execution Guide. Part 1 - Tabletop Exercise Scenario Pack implementing the Dimension 4 requirements. Part 2 - Vendor Notification Letter Templates. Part 3 </w:t>
            </w:r>
            <w:r w:rsidRPr="00E3012D">
              <w:rPr>
                <w:sz w:val="22"/>
                <w:szCs w:val="22"/>
              </w:rPr>
              <w:lastRenderedPageBreak/>
              <w:t>- ASCR-01 Evidence Linkage Guide mapping ASCR-17 evidence to applicable ASCR-01 questions without direct score transfer, Cluster Score deduction, or Cluster Score caps.</w:t>
            </w:r>
          </w:p>
        </w:tc>
      </w:tr>
    </w:tbl>
    <w:p w14:paraId="0CAEDCAA" w14:textId="77777777" w:rsidR="00875D22" w:rsidRPr="00E3012D" w:rsidRDefault="00000000">
      <w:pPr>
        <w:pBdr>
          <w:top w:val="nil"/>
          <w:left w:val="nil"/>
          <w:bottom w:val="nil"/>
          <w:right w:val="nil"/>
          <w:between w:val="nil"/>
        </w:pBdr>
        <w:spacing w:before="180" w:after="180"/>
      </w:pPr>
      <w:r w:rsidRPr="00E3012D">
        <w:rPr>
          <w:rFonts w:ascii="Cambria" w:eastAsia="Cambria" w:hAnsi="Cambria" w:cs="Cambria"/>
          <w:b/>
          <w:bCs/>
        </w:rPr>
        <w:lastRenderedPageBreak/>
        <w:t>Assessment execution sequence</w:t>
      </w:r>
    </w:p>
    <w:p w14:paraId="2B5425D3" w14:textId="77777777" w:rsidR="00875D22" w:rsidRPr="00E3012D" w:rsidRDefault="00000000">
      <w:pPr>
        <w:pBdr>
          <w:top w:val="nil"/>
          <w:left w:val="nil"/>
          <w:bottom w:val="nil"/>
          <w:right w:val="nil"/>
          <w:between w:val="nil"/>
        </w:pBdr>
        <w:spacing w:before="180" w:after="180"/>
      </w:pPr>
      <w:r w:rsidRPr="00E3012D">
        <w:rPr>
          <w:rFonts w:ascii="Cambria" w:eastAsia="Cambria" w:hAnsi="Cambria" w:cs="Cambria"/>
        </w:rPr>
        <w:t>For each vendor assessment, follow this sequence:</w:t>
      </w:r>
    </w:p>
    <w:p w14:paraId="563BCEBE" w14:textId="77777777" w:rsidR="00875D22" w:rsidRPr="00E3012D" w:rsidRDefault="00000000">
      <w:pPr>
        <w:numPr>
          <w:ilvl w:val="0"/>
          <w:numId w:val="6"/>
        </w:numPr>
        <w:spacing w:after="0"/>
      </w:pPr>
      <w:r w:rsidRPr="00E3012D">
        <w:t>Complete the VENDOR_INFO tab in ASCR-17-OE01-Vendor-Assessment-Workbook.xlsx.</w:t>
      </w:r>
    </w:p>
    <w:p w14:paraId="4F77269D" w14:textId="77777777" w:rsidR="00875D22" w:rsidRPr="00E3012D" w:rsidRDefault="00000000">
      <w:pPr>
        <w:numPr>
          <w:ilvl w:val="0"/>
          <w:numId w:val="6"/>
        </w:numPr>
        <w:spacing w:after="0"/>
      </w:pPr>
      <w:r w:rsidRPr="00E3012D">
        <w:t>Conduct Dimensions 1, 2, 3, and 5 using the evidence requirement, evidence type, CF trigger, and applicability fields in ASCR-17-OE01-Vendor-Assessment-Workbook.xlsx. Enter 1, 2, 3, 4, N/A, or CF only as permitted by the applicable sub-dimension.</w:t>
      </w:r>
    </w:p>
    <w:p w14:paraId="29113BD7" w14:textId="77777777" w:rsidR="00875D22" w:rsidRPr="00E3012D" w:rsidRDefault="00000000">
      <w:pPr>
        <w:numPr>
          <w:ilvl w:val="0"/>
          <w:numId w:val="6"/>
        </w:numPr>
        <w:spacing w:after="0"/>
      </w:pPr>
      <w:r w:rsidRPr="00E3012D">
        <w:t>For Tier 1 vendors and any Tier 2 or Tier 3 vendor elevated to the Tier 1 incident-response depth, conduct Dimension 4 using the matched Part 1 tabletop in ASCR-17-OE02-Operational-Companion.docx and enter the sub-dimension scores in the DIM4_Incident_Response tab of ASCR-17-OE01-Vendor-Assessment-Workbook.xlsx. For ordinary Tier 2 and Tier 3 assessments, score Dimension 4 from the policy, process, contractual, and evidence-production capabilities required by the Section 1.2 assessment-depth table; a tabletop may be used as supplemental evidence.</w:t>
      </w:r>
    </w:p>
    <w:p w14:paraId="153162AD" w14:textId="77777777" w:rsidR="00875D22" w:rsidRPr="00E3012D" w:rsidRDefault="00000000">
      <w:pPr>
        <w:numPr>
          <w:ilvl w:val="0"/>
          <w:numId w:val="6"/>
        </w:numPr>
        <w:spacing w:after="0"/>
      </w:pPr>
      <w:r w:rsidRPr="00E3012D">
        <w:t>Select the applicable Dimension 3 track in VENDOR_INFO: Standard for model/software vendors, KQP for command-authentication proxy hardware, or EDGE for edge inference hardware. Complete only the selected Dimension 3 track.</w:t>
      </w:r>
    </w:p>
    <w:p w14:paraId="22A349D6" w14:textId="77777777" w:rsidR="00875D22" w:rsidRPr="00E3012D" w:rsidRDefault="00000000">
      <w:pPr>
        <w:numPr>
          <w:ilvl w:val="0"/>
          <w:numId w:val="6"/>
        </w:numPr>
        <w:spacing w:after="0"/>
      </w:pPr>
      <w:r w:rsidRPr="00E3012D">
        <w:t>Review the QUALIFICATION tab determination. Obtain CISO or delegated authority sign-off.</w:t>
      </w:r>
    </w:p>
    <w:p w14:paraId="6D54590D" w14:textId="77777777" w:rsidR="00875D22" w:rsidRPr="00E3012D" w:rsidRDefault="00000000">
      <w:pPr>
        <w:numPr>
          <w:ilvl w:val="0"/>
          <w:numId w:val="6"/>
        </w:numPr>
      </w:pPr>
      <w:r w:rsidRPr="00E3012D">
        <w:t>Complete the mandatory ASCR-17 Section 1.6 Commercial and Legal Readiness Gate. Legal and Procurement must record the non-scoring gate outcome in the applicable contract or assessment record before contract execution.</w:t>
      </w:r>
    </w:p>
    <w:p w14:paraId="57E93E68" w14:textId="77777777" w:rsidR="00875D22" w:rsidRPr="00E3012D" w:rsidRDefault="00000000">
      <w:pPr>
        <w:numPr>
          <w:ilvl w:val="0"/>
          <w:numId w:val="6"/>
        </w:numPr>
        <w:spacing w:after="0"/>
      </w:pPr>
      <w:r w:rsidRPr="00E3012D">
        <w:t>Generate and sign the ASCR-17 vendor qualification record using the QUALIFICATION_RECORD tab in ASCR-17-OE01-Vendor-Assessment-Workbook.xlsx. Where the executed ASCR-11 agreement requires vendor-qualification evidence, attach or reference the signed ASCR-17 record in the applicable contract or governed vendor-evidence repository.</w:t>
      </w:r>
    </w:p>
    <w:p w14:paraId="2A0C1132" w14:textId="77777777" w:rsidR="00875D22" w:rsidRPr="00E3012D" w:rsidRDefault="00000000">
      <w:pPr>
        <w:numPr>
          <w:ilvl w:val="0"/>
          <w:numId w:val="6"/>
        </w:numPr>
        <w:spacing w:after="0"/>
      </w:pPr>
      <w:r w:rsidRPr="00E3012D">
        <w:t>Send the appropriate Part 2 letter from ASCR-17-OE02-Operational-Companion.docx to the vendor.</w:t>
      </w:r>
    </w:p>
    <w:p w14:paraId="2BFC76D8" w14:textId="77777777" w:rsidR="00875D22" w:rsidRPr="00E3012D" w:rsidRDefault="00000000">
      <w:pPr>
        <w:numPr>
          <w:ilvl w:val="0"/>
          <w:numId w:val="6"/>
        </w:numPr>
      </w:pPr>
      <w:r w:rsidRPr="00E3012D">
        <w:t xml:space="preserve">Record the ASCR-17 evidence linkage in ASCR-01 using Part 3 of ASCR-17-OE02-Operational-Companion.docx after the signed qualification determination is </w:t>
      </w:r>
      <w:r w:rsidRPr="00E3012D">
        <w:lastRenderedPageBreak/>
        <w:t>finalized. Where the executed ASCR-11 agreement relies on the qualification evidence, record the applicable contract or governed evidence reference with the ASCR-17 qualification record. Reassess an ASCR-01 question only when the vendor evidence materially changes the factual basis for that question’s anchor selection.</w:t>
      </w:r>
    </w:p>
    <w:p w14:paraId="0F68017B" w14:textId="77777777" w:rsidR="00875D22" w:rsidRPr="00E3012D" w:rsidRDefault="00000000">
      <w:pPr>
        <w:rPr>
          <w:b/>
          <w:bCs/>
        </w:rPr>
      </w:pPr>
      <w:r w:rsidRPr="00E3012D">
        <w:rPr>
          <w:b/>
          <w:bCs/>
        </w:rPr>
        <w:t>Assessment execution and governance handoff table</w:t>
      </w:r>
    </w:p>
    <w:tbl>
      <w:tblPr>
        <w:tblStyle w:val="a8"/>
        <w:tblW w:w="9360" w:type="dxa"/>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900"/>
        <w:gridCol w:w="2040"/>
        <w:gridCol w:w="4080"/>
        <w:gridCol w:w="2340"/>
      </w:tblGrid>
      <w:tr w:rsidR="00875D22" w:rsidRPr="00E3012D" w14:paraId="2ABFF83A" w14:textId="77777777">
        <w:trPr>
          <w:jc w:val="center"/>
        </w:trPr>
        <w:tc>
          <w:tcPr>
            <w:tcW w:w="900" w:type="dxa"/>
            <w:shd w:val="clear" w:color="auto" w:fill="1F3864"/>
            <w:vAlign w:val="center"/>
          </w:tcPr>
          <w:p w14:paraId="240D8A53" w14:textId="77777777" w:rsidR="00875D22" w:rsidRPr="00E3012D" w:rsidRDefault="00000000">
            <w:r w:rsidRPr="00E3012D">
              <w:rPr>
                <w:b/>
                <w:bCs/>
              </w:rPr>
              <w:t>Step</w:t>
            </w:r>
          </w:p>
        </w:tc>
        <w:tc>
          <w:tcPr>
            <w:tcW w:w="2040" w:type="dxa"/>
            <w:shd w:val="clear" w:color="auto" w:fill="1F3864"/>
            <w:vAlign w:val="center"/>
          </w:tcPr>
          <w:p w14:paraId="3680664C" w14:textId="77777777" w:rsidR="00875D22" w:rsidRPr="00E3012D" w:rsidRDefault="00000000">
            <w:r w:rsidRPr="00E3012D">
              <w:rPr>
                <w:b/>
                <w:bCs/>
              </w:rPr>
              <w:t>Owner</w:t>
            </w:r>
          </w:p>
        </w:tc>
        <w:tc>
          <w:tcPr>
            <w:tcW w:w="4080" w:type="dxa"/>
            <w:shd w:val="clear" w:color="auto" w:fill="1F3864"/>
            <w:vAlign w:val="center"/>
          </w:tcPr>
          <w:p w14:paraId="76E14AC5" w14:textId="77777777" w:rsidR="00875D22" w:rsidRPr="00E3012D" w:rsidRDefault="00000000">
            <w:r w:rsidRPr="00E3012D">
              <w:rPr>
                <w:b/>
                <w:bCs/>
              </w:rPr>
              <w:t>Action</w:t>
            </w:r>
          </w:p>
        </w:tc>
        <w:tc>
          <w:tcPr>
            <w:tcW w:w="2340" w:type="dxa"/>
            <w:shd w:val="clear" w:color="auto" w:fill="1F3864"/>
            <w:vAlign w:val="center"/>
          </w:tcPr>
          <w:p w14:paraId="3BFE6D9D" w14:textId="77777777" w:rsidR="00875D22" w:rsidRPr="00E3012D" w:rsidRDefault="00000000">
            <w:r w:rsidRPr="00E3012D">
              <w:rPr>
                <w:b/>
                <w:bCs/>
              </w:rPr>
              <w:t>Output / Handoff</w:t>
            </w:r>
          </w:p>
        </w:tc>
      </w:tr>
      <w:tr w:rsidR="00875D22" w:rsidRPr="00E3012D" w14:paraId="6A12C92D" w14:textId="77777777">
        <w:trPr>
          <w:jc w:val="center"/>
        </w:trPr>
        <w:tc>
          <w:tcPr>
            <w:tcW w:w="900" w:type="dxa"/>
            <w:shd w:val="clear" w:color="auto" w:fill="FFFFFF"/>
            <w:vAlign w:val="center"/>
          </w:tcPr>
          <w:p w14:paraId="21A29AE5" w14:textId="77777777" w:rsidR="00875D22" w:rsidRPr="00E3012D" w:rsidRDefault="00000000">
            <w:pPr>
              <w:rPr>
                <w:sz w:val="22"/>
                <w:szCs w:val="22"/>
              </w:rPr>
            </w:pPr>
            <w:r w:rsidRPr="00E3012D">
              <w:rPr>
                <w:sz w:val="22"/>
                <w:szCs w:val="22"/>
              </w:rPr>
              <w:t>1</w:t>
            </w:r>
          </w:p>
        </w:tc>
        <w:tc>
          <w:tcPr>
            <w:tcW w:w="2040" w:type="dxa"/>
            <w:shd w:val="clear" w:color="auto" w:fill="FFFFFF"/>
            <w:vAlign w:val="center"/>
          </w:tcPr>
          <w:p w14:paraId="761D0427" w14:textId="77777777" w:rsidR="00875D22" w:rsidRPr="00E3012D" w:rsidRDefault="00000000">
            <w:pPr>
              <w:rPr>
                <w:sz w:val="22"/>
                <w:szCs w:val="22"/>
              </w:rPr>
            </w:pPr>
            <w:r w:rsidRPr="00E3012D">
              <w:rPr>
                <w:sz w:val="22"/>
                <w:szCs w:val="22"/>
              </w:rPr>
              <w:t>Lead assessor</w:t>
            </w:r>
          </w:p>
        </w:tc>
        <w:tc>
          <w:tcPr>
            <w:tcW w:w="4080" w:type="dxa"/>
            <w:shd w:val="clear" w:color="auto" w:fill="FFFFFF"/>
            <w:vAlign w:val="center"/>
          </w:tcPr>
          <w:p w14:paraId="52353883" w14:textId="77777777" w:rsidR="00875D22" w:rsidRPr="00E3012D" w:rsidRDefault="00000000">
            <w:pPr>
              <w:rPr>
                <w:sz w:val="22"/>
                <w:szCs w:val="22"/>
              </w:rPr>
            </w:pPr>
            <w:r w:rsidRPr="00E3012D">
              <w:rPr>
                <w:sz w:val="22"/>
                <w:szCs w:val="22"/>
              </w:rPr>
              <w:t>Complete VENDOR_INFO; confirm category, tier, Table 17.1 tier-decision path, Dimension 3 track, scope, and applicability.</w:t>
            </w:r>
          </w:p>
        </w:tc>
        <w:tc>
          <w:tcPr>
            <w:tcW w:w="2340" w:type="dxa"/>
            <w:shd w:val="clear" w:color="auto" w:fill="FFFFFF"/>
            <w:vAlign w:val="center"/>
          </w:tcPr>
          <w:p w14:paraId="5EC5EC9A" w14:textId="77777777" w:rsidR="00875D22" w:rsidRPr="00E3012D" w:rsidRDefault="00000000">
            <w:pPr>
              <w:rPr>
                <w:sz w:val="22"/>
                <w:szCs w:val="22"/>
              </w:rPr>
            </w:pPr>
            <w:r w:rsidRPr="00E3012D">
              <w:rPr>
                <w:sz w:val="22"/>
                <w:szCs w:val="22"/>
              </w:rPr>
              <w:t>Defined assessment scope</w:t>
            </w:r>
          </w:p>
        </w:tc>
      </w:tr>
      <w:tr w:rsidR="00875D22" w:rsidRPr="00E3012D" w14:paraId="345321C2" w14:textId="77777777">
        <w:trPr>
          <w:jc w:val="center"/>
        </w:trPr>
        <w:tc>
          <w:tcPr>
            <w:tcW w:w="900" w:type="dxa"/>
            <w:shd w:val="clear" w:color="auto" w:fill="D9E2F3"/>
            <w:vAlign w:val="center"/>
          </w:tcPr>
          <w:p w14:paraId="6DBCBF80" w14:textId="77777777" w:rsidR="00875D22" w:rsidRPr="00E3012D" w:rsidRDefault="00000000">
            <w:pPr>
              <w:rPr>
                <w:sz w:val="22"/>
                <w:szCs w:val="22"/>
              </w:rPr>
            </w:pPr>
            <w:r w:rsidRPr="00E3012D">
              <w:rPr>
                <w:sz w:val="22"/>
                <w:szCs w:val="22"/>
              </w:rPr>
              <w:t>2</w:t>
            </w:r>
          </w:p>
        </w:tc>
        <w:tc>
          <w:tcPr>
            <w:tcW w:w="2040" w:type="dxa"/>
            <w:shd w:val="clear" w:color="auto" w:fill="D9E2F3"/>
            <w:vAlign w:val="center"/>
          </w:tcPr>
          <w:p w14:paraId="7D0B90E0" w14:textId="77777777" w:rsidR="00875D22" w:rsidRPr="00E3012D" w:rsidRDefault="00000000">
            <w:pPr>
              <w:rPr>
                <w:sz w:val="22"/>
                <w:szCs w:val="22"/>
              </w:rPr>
            </w:pPr>
            <w:r w:rsidRPr="00E3012D">
              <w:rPr>
                <w:sz w:val="22"/>
                <w:szCs w:val="22"/>
              </w:rPr>
              <w:t>Assessment team / vendor</w:t>
            </w:r>
          </w:p>
        </w:tc>
        <w:tc>
          <w:tcPr>
            <w:tcW w:w="4080" w:type="dxa"/>
            <w:shd w:val="clear" w:color="auto" w:fill="D9E2F3"/>
            <w:vAlign w:val="center"/>
          </w:tcPr>
          <w:p w14:paraId="3FC1D97C" w14:textId="77777777" w:rsidR="00875D22" w:rsidRPr="00E3012D" w:rsidRDefault="00000000">
            <w:pPr>
              <w:rPr>
                <w:sz w:val="22"/>
                <w:szCs w:val="22"/>
              </w:rPr>
            </w:pPr>
            <w:r w:rsidRPr="00E3012D">
              <w:rPr>
                <w:sz w:val="22"/>
                <w:szCs w:val="22"/>
              </w:rPr>
              <w:t>Collect objective evidence and score applicable Dimensions 1, 2, selected Dimension 3 track, and Dimension 5.</w:t>
            </w:r>
          </w:p>
        </w:tc>
        <w:tc>
          <w:tcPr>
            <w:tcW w:w="2340" w:type="dxa"/>
            <w:shd w:val="clear" w:color="auto" w:fill="D9E2F3"/>
            <w:vAlign w:val="center"/>
          </w:tcPr>
          <w:p w14:paraId="0AC14A7C" w14:textId="77777777" w:rsidR="00875D22" w:rsidRPr="00E3012D" w:rsidRDefault="00000000">
            <w:pPr>
              <w:rPr>
                <w:sz w:val="22"/>
                <w:szCs w:val="22"/>
              </w:rPr>
            </w:pPr>
            <w:r w:rsidRPr="00E3012D">
              <w:rPr>
                <w:sz w:val="22"/>
                <w:szCs w:val="22"/>
              </w:rPr>
              <w:t>Scored technical and supply-chain evidence</w:t>
            </w:r>
          </w:p>
        </w:tc>
      </w:tr>
      <w:tr w:rsidR="00875D22" w:rsidRPr="00E3012D" w14:paraId="37EC2702" w14:textId="77777777">
        <w:trPr>
          <w:jc w:val="center"/>
        </w:trPr>
        <w:tc>
          <w:tcPr>
            <w:tcW w:w="900" w:type="dxa"/>
            <w:shd w:val="clear" w:color="auto" w:fill="FFFFFF"/>
            <w:vAlign w:val="center"/>
          </w:tcPr>
          <w:p w14:paraId="7442D77B" w14:textId="77777777" w:rsidR="00875D22" w:rsidRPr="00E3012D" w:rsidRDefault="00000000">
            <w:pPr>
              <w:rPr>
                <w:sz w:val="22"/>
                <w:szCs w:val="22"/>
              </w:rPr>
            </w:pPr>
            <w:r w:rsidRPr="00E3012D">
              <w:rPr>
                <w:sz w:val="22"/>
                <w:szCs w:val="22"/>
              </w:rPr>
              <w:t>3</w:t>
            </w:r>
          </w:p>
        </w:tc>
        <w:tc>
          <w:tcPr>
            <w:tcW w:w="2040" w:type="dxa"/>
            <w:shd w:val="clear" w:color="auto" w:fill="FFFFFF"/>
            <w:vAlign w:val="center"/>
          </w:tcPr>
          <w:p w14:paraId="435178E1" w14:textId="77777777" w:rsidR="00875D22" w:rsidRPr="00E3012D" w:rsidRDefault="00000000">
            <w:pPr>
              <w:rPr>
                <w:sz w:val="22"/>
                <w:szCs w:val="22"/>
              </w:rPr>
            </w:pPr>
            <w:r w:rsidRPr="00E3012D">
              <w:rPr>
                <w:sz w:val="22"/>
                <w:szCs w:val="22"/>
              </w:rPr>
              <w:t>Assessment team / vendor incident-response team</w:t>
            </w:r>
          </w:p>
        </w:tc>
        <w:tc>
          <w:tcPr>
            <w:tcW w:w="4080" w:type="dxa"/>
            <w:shd w:val="clear" w:color="auto" w:fill="FFFFFF"/>
            <w:vAlign w:val="center"/>
          </w:tcPr>
          <w:p w14:paraId="2797187F" w14:textId="77777777" w:rsidR="00875D22" w:rsidRPr="00E3012D" w:rsidRDefault="00000000">
            <w:pPr>
              <w:rPr>
                <w:sz w:val="22"/>
                <w:szCs w:val="22"/>
              </w:rPr>
            </w:pPr>
            <w:r w:rsidRPr="00E3012D">
              <w:rPr>
                <w:sz w:val="22"/>
                <w:szCs w:val="22"/>
              </w:rPr>
              <w:t>For Tier 1 vendors and lower-tier vendors elevated to Tier 1 incident-response depth, conduct the matched Dimension 4 tabletop. For ordinary Tier 2 and Tier 3 assessments, evaluate the required incident-response policy, process, contractual, and evidence-production capabilities; a tabletop may be used as supplemental evidence.</w:t>
            </w:r>
          </w:p>
        </w:tc>
        <w:tc>
          <w:tcPr>
            <w:tcW w:w="2340" w:type="dxa"/>
            <w:shd w:val="clear" w:color="auto" w:fill="FFFFFF"/>
            <w:vAlign w:val="center"/>
          </w:tcPr>
          <w:p w14:paraId="6A9381EC" w14:textId="77777777" w:rsidR="00875D22" w:rsidRPr="00E3012D" w:rsidRDefault="00000000">
            <w:pPr>
              <w:rPr>
                <w:sz w:val="22"/>
                <w:szCs w:val="22"/>
              </w:rPr>
            </w:pPr>
            <w:r w:rsidRPr="00E3012D">
              <w:rPr>
                <w:sz w:val="22"/>
                <w:szCs w:val="22"/>
              </w:rPr>
              <w:t>Dimension 4 evidence and scores</w:t>
            </w:r>
          </w:p>
        </w:tc>
      </w:tr>
      <w:tr w:rsidR="00875D22" w:rsidRPr="00E3012D" w14:paraId="517BA9F8" w14:textId="77777777">
        <w:trPr>
          <w:jc w:val="center"/>
        </w:trPr>
        <w:tc>
          <w:tcPr>
            <w:tcW w:w="900" w:type="dxa"/>
            <w:shd w:val="clear" w:color="auto" w:fill="D9E2F3"/>
            <w:vAlign w:val="center"/>
          </w:tcPr>
          <w:p w14:paraId="79A13D42" w14:textId="77777777" w:rsidR="00875D22" w:rsidRPr="00E3012D" w:rsidRDefault="00000000">
            <w:pPr>
              <w:rPr>
                <w:sz w:val="22"/>
                <w:szCs w:val="22"/>
              </w:rPr>
            </w:pPr>
            <w:r w:rsidRPr="00E3012D">
              <w:rPr>
                <w:sz w:val="22"/>
                <w:szCs w:val="22"/>
              </w:rPr>
              <w:t>4</w:t>
            </w:r>
          </w:p>
        </w:tc>
        <w:tc>
          <w:tcPr>
            <w:tcW w:w="2040" w:type="dxa"/>
            <w:shd w:val="clear" w:color="auto" w:fill="D9E2F3"/>
            <w:vAlign w:val="center"/>
          </w:tcPr>
          <w:p w14:paraId="39B7FC65" w14:textId="77777777" w:rsidR="00875D22" w:rsidRPr="00E3012D" w:rsidRDefault="00000000">
            <w:pPr>
              <w:rPr>
                <w:sz w:val="22"/>
                <w:szCs w:val="22"/>
              </w:rPr>
            </w:pPr>
            <w:r w:rsidRPr="00E3012D">
              <w:rPr>
                <w:sz w:val="22"/>
                <w:szCs w:val="22"/>
              </w:rPr>
              <w:t>Lead assessor</w:t>
            </w:r>
          </w:p>
        </w:tc>
        <w:tc>
          <w:tcPr>
            <w:tcW w:w="4080" w:type="dxa"/>
            <w:shd w:val="clear" w:color="auto" w:fill="D9E2F3"/>
            <w:vAlign w:val="center"/>
          </w:tcPr>
          <w:p w14:paraId="625A8C6D" w14:textId="77777777" w:rsidR="00875D22" w:rsidRPr="00E3012D" w:rsidRDefault="00000000">
            <w:pPr>
              <w:rPr>
                <w:sz w:val="22"/>
                <w:szCs w:val="22"/>
              </w:rPr>
            </w:pPr>
            <w:r w:rsidRPr="00E3012D">
              <w:rPr>
                <w:sz w:val="22"/>
                <w:szCs w:val="22"/>
              </w:rPr>
              <w:t>Review QUALIFICATION, open findings, and evidence completeness.</w:t>
            </w:r>
          </w:p>
        </w:tc>
        <w:tc>
          <w:tcPr>
            <w:tcW w:w="2340" w:type="dxa"/>
            <w:shd w:val="clear" w:color="auto" w:fill="D9E2F3"/>
            <w:vAlign w:val="center"/>
          </w:tcPr>
          <w:p w14:paraId="46CA145A" w14:textId="77777777" w:rsidR="00875D22" w:rsidRPr="00E3012D" w:rsidRDefault="00000000">
            <w:pPr>
              <w:rPr>
                <w:sz w:val="22"/>
                <w:szCs w:val="22"/>
              </w:rPr>
            </w:pPr>
            <w:r w:rsidRPr="00E3012D">
              <w:rPr>
                <w:sz w:val="22"/>
                <w:szCs w:val="22"/>
              </w:rPr>
              <w:t>Draft qualification determination</w:t>
            </w:r>
          </w:p>
        </w:tc>
      </w:tr>
      <w:tr w:rsidR="00875D22" w:rsidRPr="00E3012D" w14:paraId="26AE78A4" w14:textId="77777777">
        <w:trPr>
          <w:jc w:val="center"/>
        </w:trPr>
        <w:tc>
          <w:tcPr>
            <w:tcW w:w="900" w:type="dxa"/>
            <w:shd w:val="clear" w:color="auto" w:fill="FFFFFF"/>
            <w:vAlign w:val="center"/>
          </w:tcPr>
          <w:p w14:paraId="103470CE" w14:textId="77777777" w:rsidR="00875D22" w:rsidRPr="00E3012D" w:rsidRDefault="00000000">
            <w:pPr>
              <w:rPr>
                <w:sz w:val="22"/>
                <w:szCs w:val="22"/>
              </w:rPr>
            </w:pPr>
            <w:r w:rsidRPr="00E3012D">
              <w:rPr>
                <w:sz w:val="22"/>
                <w:szCs w:val="22"/>
              </w:rPr>
              <w:t>5</w:t>
            </w:r>
          </w:p>
        </w:tc>
        <w:tc>
          <w:tcPr>
            <w:tcW w:w="2040" w:type="dxa"/>
            <w:shd w:val="clear" w:color="auto" w:fill="FFFFFF"/>
            <w:vAlign w:val="center"/>
          </w:tcPr>
          <w:p w14:paraId="46D83CEB" w14:textId="77777777" w:rsidR="00875D22" w:rsidRPr="00E3012D" w:rsidRDefault="00000000">
            <w:pPr>
              <w:rPr>
                <w:sz w:val="22"/>
                <w:szCs w:val="22"/>
              </w:rPr>
            </w:pPr>
            <w:r w:rsidRPr="00E3012D">
              <w:rPr>
                <w:sz w:val="22"/>
                <w:szCs w:val="22"/>
              </w:rPr>
              <w:t>CISO or delegated authority</w:t>
            </w:r>
          </w:p>
        </w:tc>
        <w:tc>
          <w:tcPr>
            <w:tcW w:w="4080" w:type="dxa"/>
            <w:shd w:val="clear" w:color="auto" w:fill="FFFFFF"/>
            <w:vAlign w:val="center"/>
          </w:tcPr>
          <w:p w14:paraId="70A5D20B" w14:textId="77777777" w:rsidR="00875D22" w:rsidRPr="00E3012D" w:rsidRDefault="00000000">
            <w:pPr>
              <w:rPr>
                <w:sz w:val="22"/>
                <w:szCs w:val="22"/>
              </w:rPr>
            </w:pPr>
            <w:r w:rsidRPr="00E3012D">
              <w:rPr>
                <w:sz w:val="22"/>
                <w:szCs w:val="22"/>
              </w:rPr>
              <w:t>Review and sign the qualification determination.</w:t>
            </w:r>
          </w:p>
        </w:tc>
        <w:tc>
          <w:tcPr>
            <w:tcW w:w="2340" w:type="dxa"/>
            <w:shd w:val="clear" w:color="auto" w:fill="FFFFFF"/>
            <w:vAlign w:val="center"/>
          </w:tcPr>
          <w:p w14:paraId="2477E590" w14:textId="77777777" w:rsidR="00875D22" w:rsidRPr="00E3012D" w:rsidRDefault="00000000">
            <w:pPr>
              <w:rPr>
                <w:sz w:val="22"/>
                <w:szCs w:val="22"/>
              </w:rPr>
            </w:pPr>
            <w:r w:rsidRPr="00E3012D">
              <w:rPr>
                <w:sz w:val="22"/>
                <w:szCs w:val="22"/>
              </w:rPr>
              <w:t>Signed ASCR-17 determination</w:t>
            </w:r>
          </w:p>
        </w:tc>
      </w:tr>
      <w:tr w:rsidR="00875D22" w:rsidRPr="00E3012D" w14:paraId="20159A34" w14:textId="77777777">
        <w:trPr>
          <w:jc w:val="center"/>
        </w:trPr>
        <w:tc>
          <w:tcPr>
            <w:tcW w:w="900" w:type="dxa"/>
            <w:shd w:val="clear" w:color="auto" w:fill="D9E2F3"/>
            <w:vAlign w:val="center"/>
          </w:tcPr>
          <w:p w14:paraId="0E56EF51" w14:textId="77777777" w:rsidR="00875D22" w:rsidRPr="00E3012D" w:rsidRDefault="00000000">
            <w:pPr>
              <w:rPr>
                <w:sz w:val="22"/>
                <w:szCs w:val="22"/>
              </w:rPr>
            </w:pPr>
            <w:r w:rsidRPr="00E3012D">
              <w:rPr>
                <w:sz w:val="22"/>
                <w:szCs w:val="22"/>
              </w:rPr>
              <w:t>6</w:t>
            </w:r>
          </w:p>
        </w:tc>
        <w:tc>
          <w:tcPr>
            <w:tcW w:w="2040" w:type="dxa"/>
            <w:shd w:val="clear" w:color="auto" w:fill="D9E2F3"/>
            <w:vAlign w:val="center"/>
          </w:tcPr>
          <w:p w14:paraId="3827B1B2" w14:textId="77777777" w:rsidR="00875D22" w:rsidRPr="00E3012D" w:rsidRDefault="00000000">
            <w:pPr>
              <w:rPr>
                <w:sz w:val="22"/>
                <w:szCs w:val="22"/>
              </w:rPr>
            </w:pPr>
            <w:r w:rsidRPr="00E3012D">
              <w:rPr>
                <w:sz w:val="22"/>
                <w:szCs w:val="22"/>
              </w:rPr>
              <w:t>Legal / Procurement</w:t>
            </w:r>
          </w:p>
        </w:tc>
        <w:tc>
          <w:tcPr>
            <w:tcW w:w="4080" w:type="dxa"/>
            <w:shd w:val="clear" w:color="auto" w:fill="D9E2F3"/>
            <w:vAlign w:val="center"/>
          </w:tcPr>
          <w:p w14:paraId="65D8C723" w14:textId="77777777" w:rsidR="00875D22" w:rsidRPr="00E3012D" w:rsidRDefault="00000000">
            <w:pPr>
              <w:rPr>
                <w:sz w:val="22"/>
                <w:szCs w:val="22"/>
              </w:rPr>
            </w:pPr>
            <w:r w:rsidRPr="00E3012D">
              <w:rPr>
                <w:sz w:val="22"/>
                <w:szCs w:val="22"/>
              </w:rPr>
              <w:t>Complete the ASCR-17 Section 1.6 Commercial and Legal Readiness Gate covering applicable insurance, material AI/autonomy exclusions, liability and indemnity terms, output-IP treatment where relevant, and material litigation/regulatory checks.</w:t>
            </w:r>
          </w:p>
        </w:tc>
        <w:tc>
          <w:tcPr>
            <w:tcW w:w="2340" w:type="dxa"/>
            <w:shd w:val="clear" w:color="auto" w:fill="D9E2F3"/>
            <w:vAlign w:val="center"/>
          </w:tcPr>
          <w:p w14:paraId="485C82E0" w14:textId="77777777" w:rsidR="00875D22" w:rsidRPr="00E3012D" w:rsidRDefault="00000000">
            <w:pPr>
              <w:rPr>
                <w:sz w:val="22"/>
                <w:szCs w:val="22"/>
              </w:rPr>
            </w:pPr>
            <w:r w:rsidRPr="00E3012D">
              <w:rPr>
                <w:sz w:val="22"/>
                <w:szCs w:val="22"/>
              </w:rPr>
              <w:t>Documented non-scoring commercial/legal gate decision</w:t>
            </w:r>
          </w:p>
        </w:tc>
      </w:tr>
      <w:tr w:rsidR="00875D22" w:rsidRPr="00E3012D" w14:paraId="02F0B576" w14:textId="77777777">
        <w:trPr>
          <w:jc w:val="center"/>
        </w:trPr>
        <w:tc>
          <w:tcPr>
            <w:tcW w:w="900" w:type="dxa"/>
            <w:shd w:val="clear" w:color="auto" w:fill="FFFFFF"/>
            <w:vAlign w:val="center"/>
          </w:tcPr>
          <w:p w14:paraId="77C973A9" w14:textId="77777777" w:rsidR="00875D22" w:rsidRPr="00E3012D" w:rsidRDefault="00000000">
            <w:pPr>
              <w:rPr>
                <w:sz w:val="22"/>
                <w:szCs w:val="22"/>
              </w:rPr>
            </w:pPr>
            <w:r w:rsidRPr="00E3012D">
              <w:rPr>
                <w:sz w:val="22"/>
                <w:szCs w:val="22"/>
              </w:rPr>
              <w:t>7</w:t>
            </w:r>
          </w:p>
        </w:tc>
        <w:tc>
          <w:tcPr>
            <w:tcW w:w="2040" w:type="dxa"/>
            <w:shd w:val="clear" w:color="auto" w:fill="FFFFFF"/>
            <w:vAlign w:val="center"/>
          </w:tcPr>
          <w:p w14:paraId="06671222" w14:textId="77777777" w:rsidR="00875D22" w:rsidRPr="00E3012D" w:rsidRDefault="00000000">
            <w:pPr>
              <w:rPr>
                <w:sz w:val="22"/>
                <w:szCs w:val="22"/>
              </w:rPr>
            </w:pPr>
            <w:r w:rsidRPr="00E3012D">
              <w:rPr>
                <w:sz w:val="22"/>
                <w:szCs w:val="22"/>
              </w:rPr>
              <w:t>ASCR-11 Contract Owner</w:t>
            </w:r>
          </w:p>
        </w:tc>
        <w:tc>
          <w:tcPr>
            <w:tcW w:w="4080" w:type="dxa"/>
            <w:shd w:val="clear" w:color="auto" w:fill="FFFFFF"/>
            <w:vAlign w:val="center"/>
          </w:tcPr>
          <w:p w14:paraId="3B2F6005" w14:textId="77777777" w:rsidR="00875D22" w:rsidRPr="00E3012D" w:rsidRDefault="00000000">
            <w:pPr>
              <w:rPr>
                <w:sz w:val="22"/>
                <w:szCs w:val="22"/>
              </w:rPr>
            </w:pPr>
            <w:r w:rsidRPr="00E3012D">
              <w:rPr>
                <w:sz w:val="22"/>
                <w:szCs w:val="22"/>
              </w:rPr>
              <w:t xml:space="preserve">Link the signed ASCR-17 vendor qualification record to the applicable ASCR-11 contract or governed evidence record, issue the applicable vendor </w:t>
            </w:r>
            <w:r w:rsidRPr="00E3012D">
              <w:rPr>
                <w:sz w:val="22"/>
                <w:szCs w:val="22"/>
              </w:rPr>
              <w:lastRenderedPageBreak/>
              <w:t>notification, and route contractual obligations.</w:t>
            </w:r>
          </w:p>
        </w:tc>
        <w:tc>
          <w:tcPr>
            <w:tcW w:w="2340" w:type="dxa"/>
            <w:shd w:val="clear" w:color="auto" w:fill="FFFFFF"/>
            <w:vAlign w:val="center"/>
          </w:tcPr>
          <w:p w14:paraId="2383661A" w14:textId="77777777" w:rsidR="00875D22" w:rsidRPr="00E3012D" w:rsidRDefault="00000000">
            <w:pPr>
              <w:rPr>
                <w:sz w:val="22"/>
                <w:szCs w:val="22"/>
              </w:rPr>
            </w:pPr>
            <w:r w:rsidRPr="00E3012D">
              <w:rPr>
                <w:sz w:val="22"/>
                <w:szCs w:val="22"/>
              </w:rPr>
              <w:lastRenderedPageBreak/>
              <w:t>Current vendor-governance record with resolvable ASCR-</w:t>
            </w:r>
            <w:r w:rsidRPr="00E3012D">
              <w:rPr>
                <w:sz w:val="22"/>
                <w:szCs w:val="22"/>
              </w:rPr>
              <w:lastRenderedPageBreak/>
              <w:t>17 qualification-evidence reference</w:t>
            </w:r>
          </w:p>
        </w:tc>
      </w:tr>
      <w:tr w:rsidR="00875D22" w:rsidRPr="00E3012D" w14:paraId="4D137DC6" w14:textId="77777777">
        <w:trPr>
          <w:jc w:val="center"/>
        </w:trPr>
        <w:tc>
          <w:tcPr>
            <w:tcW w:w="900" w:type="dxa"/>
            <w:shd w:val="clear" w:color="auto" w:fill="D9E2F3"/>
            <w:vAlign w:val="center"/>
          </w:tcPr>
          <w:p w14:paraId="676E2451" w14:textId="77777777" w:rsidR="00875D22" w:rsidRPr="00E3012D" w:rsidRDefault="00000000">
            <w:pPr>
              <w:rPr>
                <w:sz w:val="22"/>
                <w:szCs w:val="22"/>
              </w:rPr>
            </w:pPr>
            <w:r w:rsidRPr="00E3012D">
              <w:rPr>
                <w:sz w:val="22"/>
                <w:szCs w:val="22"/>
              </w:rPr>
              <w:lastRenderedPageBreak/>
              <w:t>8</w:t>
            </w:r>
          </w:p>
        </w:tc>
        <w:tc>
          <w:tcPr>
            <w:tcW w:w="2040" w:type="dxa"/>
            <w:shd w:val="clear" w:color="auto" w:fill="D9E2F3"/>
            <w:vAlign w:val="center"/>
          </w:tcPr>
          <w:p w14:paraId="077416F7" w14:textId="77777777" w:rsidR="00875D22" w:rsidRPr="00E3012D" w:rsidRDefault="00000000">
            <w:pPr>
              <w:rPr>
                <w:sz w:val="22"/>
                <w:szCs w:val="22"/>
              </w:rPr>
            </w:pPr>
            <w:r w:rsidRPr="00E3012D">
              <w:rPr>
                <w:sz w:val="22"/>
                <w:szCs w:val="22"/>
              </w:rPr>
              <w:t>ASCR-03 authorizing authority</w:t>
            </w:r>
          </w:p>
        </w:tc>
        <w:tc>
          <w:tcPr>
            <w:tcW w:w="4080" w:type="dxa"/>
            <w:shd w:val="clear" w:color="auto" w:fill="D9E2F3"/>
            <w:vAlign w:val="center"/>
          </w:tcPr>
          <w:p w14:paraId="0BA1BC8D" w14:textId="77777777" w:rsidR="00875D22" w:rsidRPr="00E3012D" w:rsidRDefault="00000000">
            <w:pPr>
              <w:rPr>
                <w:sz w:val="22"/>
                <w:szCs w:val="22"/>
              </w:rPr>
            </w:pPr>
            <w:r w:rsidRPr="00E3012D">
              <w:rPr>
                <w:sz w:val="22"/>
                <w:szCs w:val="22"/>
              </w:rPr>
              <w:t>Apply the required admission, CQ-30, or temporary-retention authorization path where applicable.</w:t>
            </w:r>
          </w:p>
        </w:tc>
        <w:tc>
          <w:tcPr>
            <w:tcW w:w="2340" w:type="dxa"/>
            <w:shd w:val="clear" w:color="auto" w:fill="D9E2F3"/>
            <w:vAlign w:val="center"/>
          </w:tcPr>
          <w:p w14:paraId="56CB3740" w14:textId="77777777" w:rsidR="00875D22" w:rsidRPr="00E3012D" w:rsidRDefault="00000000">
            <w:pPr>
              <w:rPr>
                <w:sz w:val="22"/>
                <w:szCs w:val="22"/>
              </w:rPr>
            </w:pPr>
            <w:r w:rsidRPr="00E3012D">
              <w:rPr>
                <w:sz w:val="22"/>
                <w:szCs w:val="22"/>
              </w:rPr>
              <w:t>Authorization / risk-acceptance record</w:t>
            </w:r>
          </w:p>
        </w:tc>
      </w:tr>
      <w:tr w:rsidR="00875D22" w:rsidRPr="00E3012D" w14:paraId="76E8E1FA" w14:textId="77777777">
        <w:trPr>
          <w:jc w:val="center"/>
        </w:trPr>
        <w:tc>
          <w:tcPr>
            <w:tcW w:w="900" w:type="dxa"/>
            <w:shd w:val="clear" w:color="auto" w:fill="FFFFFF"/>
            <w:vAlign w:val="center"/>
          </w:tcPr>
          <w:p w14:paraId="7FCCE181" w14:textId="77777777" w:rsidR="00875D22" w:rsidRPr="00E3012D" w:rsidRDefault="00000000">
            <w:pPr>
              <w:rPr>
                <w:sz w:val="22"/>
                <w:szCs w:val="22"/>
              </w:rPr>
            </w:pPr>
            <w:r w:rsidRPr="00E3012D">
              <w:rPr>
                <w:sz w:val="22"/>
                <w:szCs w:val="22"/>
              </w:rPr>
              <w:t>9</w:t>
            </w:r>
          </w:p>
        </w:tc>
        <w:tc>
          <w:tcPr>
            <w:tcW w:w="2040" w:type="dxa"/>
            <w:shd w:val="clear" w:color="auto" w:fill="FFFFFF"/>
            <w:vAlign w:val="center"/>
          </w:tcPr>
          <w:p w14:paraId="71F40420" w14:textId="77777777" w:rsidR="00875D22" w:rsidRPr="00E3012D" w:rsidRDefault="00000000">
            <w:pPr>
              <w:rPr>
                <w:sz w:val="22"/>
                <w:szCs w:val="22"/>
              </w:rPr>
            </w:pPr>
            <w:r w:rsidRPr="00E3012D">
              <w:rPr>
                <w:sz w:val="22"/>
                <w:szCs w:val="22"/>
              </w:rPr>
              <w:t>ASCR-01 assessor</w:t>
            </w:r>
          </w:p>
        </w:tc>
        <w:tc>
          <w:tcPr>
            <w:tcW w:w="4080" w:type="dxa"/>
            <w:shd w:val="clear" w:color="auto" w:fill="FFFFFF"/>
            <w:vAlign w:val="center"/>
          </w:tcPr>
          <w:p w14:paraId="394F3FFA" w14:textId="77777777" w:rsidR="00875D22" w:rsidRPr="00E3012D" w:rsidRDefault="00000000">
            <w:pPr>
              <w:rPr>
                <w:sz w:val="22"/>
                <w:szCs w:val="22"/>
              </w:rPr>
            </w:pPr>
            <w:r w:rsidRPr="00E3012D">
              <w:rPr>
                <w:sz w:val="22"/>
                <w:szCs w:val="22"/>
              </w:rPr>
              <w:t xml:space="preserve">Link ASCR-17 evidence to Q18/Q30 and, where directly applicable, Q8/Q15/Q31; </w:t>
            </w:r>
            <w:proofErr w:type="gramStart"/>
            <w:r w:rsidRPr="00E3012D">
              <w:rPr>
                <w:sz w:val="22"/>
                <w:szCs w:val="22"/>
              </w:rPr>
              <w:t>rescore</w:t>
            </w:r>
            <w:proofErr w:type="gramEnd"/>
            <w:r w:rsidRPr="00E3012D">
              <w:rPr>
                <w:sz w:val="22"/>
                <w:szCs w:val="22"/>
              </w:rPr>
              <w:t xml:space="preserve"> only materially affected anchors through the ASCR-01 methodology.</w:t>
            </w:r>
          </w:p>
        </w:tc>
        <w:tc>
          <w:tcPr>
            <w:tcW w:w="2340" w:type="dxa"/>
            <w:shd w:val="clear" w:color="auto" w:fill="FFFFFF"/>
            <w:vAlign w:val="center"/>
          </w:tcPr>
          <w:p w14:paraId="30563981" w14:textId="77777777" w:rsidR="00875D22" w:rsidRPr="00E3012D" w:rsidRDefault="00000000">
            <w:pPr>
              <w:rPr>
                <w:sz w:val="22"/>
                <w:szCs w:val="22"/>
              </w:rPr>
            </w:pPr>
            <w:r w:rsidRPr="00E3012D">
              <w:rPr>
                <w:sz w:val="22"/>
                <w:szCs w:val="22"/>
              </w:rPr>
              <w:t>ASCR-01 column Q evidence linkage and any normal-methodology rescore</w:t>
            </w:r>
          </w:p>
        </w:tc>
      </w:tr>
      <w:tr w:rsidR="00875D22" w:rsidRPr="00E3012D" w14:paraId="74A34012" w14:textId="77777777">
        <w:trPr>
          <w:jc w:val="center"/>
        </w:trPr>
        <w:tc>
          <w:tcPr>
            <w:tcW w:w="900" w:type="dxa"/>
            <w:shd w:val="clear" w:color="auto" w:fill="D9E2F3"/>
            <w:vAlign w:val="center"/>
          </w:tcPr>
          <w:p w14:paraId="5F322509" w14:textId="77777777" w:rsidR="00875D22" w:rsidRPr="00E3012D" w:rsidRDefault="00000000">
            <w:pPr>
              <w:rPr>
                <w:sz w:val="22"/>
                <w:szCs w:val="22"/>
              </w:rPr>
            </w:pPr>
            <w:r w:rsidRPr="00E3012D">
              <w:rPr>
                <w:sz w:val="22"/>
                <w:szCs w:val="22"/>
              </w:rPr>
              <w:t>10</w:t>
            </w:r>
          </w:p>
        </w:tc>
        <w:tc>
          <w:tcPr>
            <w:tcW w:w="2040" w:type="dxa"/>
            <w:shd w:val="clear" w:color="auto" w:fill="D9E2F3"/>
            <w:vAlign w:val="center"/>
          </w:tcPr>
          <w:p w14:paraId="21C3B5CB" w14:textId="77777777" w:rsidR="00875D22" w:rsidRPr="00E3012D" w:rsidRDefault="00000000">
            <w:pPr>
              <w:rPr>
                <w:sz w:val="22"/>
                <w:szCs w:val="22"/>
              </w:rPr>
            </w:pPr>
            <w:r w:rsidRPr="00E3012D">
              <w:rPr>
                <w:sz w:val="22"/>
                <w:szCs w:val="22"/>
              </w:rPr>
              <w:t>ASCR-11 Contract Owner / ASCR-12 owner</w:t>
            </w:r>
          </w:p>
        </w:tc>
        <w:tc>
          <w:tcPr>
            <w:tcW w:w="4080" w:type="dxa"/>
            <w:shd w:val="clear" w:color="auto" w:fill="D9E2F3"/>
            <w:vAlign w:val="center"/>
          </w:tcPr>
          <w:p w14:paraId="6C21F952" w14:textId="77777777" w:rsidR="00875D22" w:rsidRPr="00E3012D" w:rsidRDefault="00000000">
            <w:pPr>
              <w:rPr>
                <w:sz w:val="22"/>
                <w:szCs w:val="22"/>
              </w:rPr>
            </w:pPr>
            <w:r w:rsidRPr="00E3012D">
              <w:rPr>
                <w:sz w:val="22"/>
                <w:szCs w:val="22"/>
              </w:rPr>
              <w:t>Monitor remediation milestones, reassessment triggers, and continuing vendor evidence.</w:t>
            </w:r>
          </w:p>
        </w:tc>
        <w:tc>
          <w:tcPr>
            <w:tcW w:w="2340" w:type="dxa"/>
            <w:shd w:val="clear" w:color="auto" w:fill="D9E2F3"/>
            <w:vAlign w:val="center"/>
          </w:tcPr>
          <w:p w14:paraId="6E66B10D" w14:textId="77777777" w:rsidR="00875D22" w:rsidRPr="00E3012D" w:rsidRDefault="00000000">
            <w:pPr>
              <w:rPr>
                <w:sz w:val="22"/>
                <w:szCs w:val="22"/>
              </w:rPr>
            </w:pPr>
            <w:r w:rsidRPr="00E3012D">
              <w:rPr>
                <w:sz w:val="22"/>
                <w:szCs w:val="22"/>
              </w:rPr>
              <w:t>Ongoing governance and reassessment record</w:t>
            </w:r>
          </w:p>
        </w:tc>
      </w:tr>
    </w:tbl>
    <w:p w14:paraId="35DDF896" w14:textId="77777777" w:rsidR="00875D22" w:rsidRPr="00E3012D" w:rsidRDefault="00875D22">
      <w:pPr>
        <w:pBdr>
          <w:top w:val="nil"/>
          <w:left w:val="nil"/>
          <w:bottom w:val="nil"/>
          <w:right w:val="nil"/>
          <w:between w:val="nil"/>
        </w:pBdr>
        <w:spacing w:before="180" w:after="180"/>
        <w:rPr>
          <w:b/>
          <w:bCs/>
        </w:rPr>
      </w:pPr>
    </w:p>
    <w:p w14:paraId="1F966AAF" w14:textId="77777777" w:rsidR="00875D22" w:rsidRPr="00E3012D" w:rsidRDefault="00000000">
      <w:pPr>
        <w:pBdr>
          <w:top w:val="nil"/>
          <w:left w:val="nil"/>
          <w:bottom w:val="nil"/>
          <w:right w:val="nil"/>
          <w:between w:val="nil"/>
        </w:pBdr>
        <w:spacing w:before="180" w:after="180"/>
      </w:pPr>
      <w:r w:rsidRPr="00E3012D">
        <w:rPr>
          <w:rFonts w:ascii="Cambria" w:eastAsia="Cambria" w:hAnsi="Cambria" w:cs="Cambria"/>
          <w:b/>
          <w:bCs/>
        </w:rPr>
        <w:t>Keeping companion files current</w:t>
      </w:r>
    </w:p>
    <w:p w14:paraId="68878D65" w14:textId="77777777" w:rsidR="00875D22" w:rsidRPr="00E3012D" w:rsidRDefault="00000000">
      <w:pPr>
        <w:pBdr>
          <w:top w:val="nil"/>
          <w:left w:val="nil"/>
          <w:bottom w:val="nil"/>
          <w:right w:val="nil"/>
          <w:between w:val="nil"/>
        </w:pBdr>
        <w:spacing w:before="180" w:after="180"/>
      </w:pPr>
      <w:r w:rsidRPr="00E3012D">
        <w:t xml:space="preserve">Companion files are versioned with ASCR-17. When ASCR-17 is revised, companion files will be updated correspondingly. The </w:t>
      </w:r>
      <w:proofErr w:type="spellStart"/>
      <w:r w:rsidRPr="00E3012D">
        <w:t>TKQ_Thresholds</w:t>
      </w:r>
      <w:proofErr w:type="spellEnd"/>
      <w:r w:rsidRPr="00E3012D">
        <w:t xml:space="preserve"> tab in ASCR-17-OE01-Vendor-Assessment-Workbook.xlsx must additionally be verified against the current ASCR-04 version at the start of each assessment regardless of ASCR-17 revision status, because ASCR-04 Section 3.6.5 KQP thresholds may be updated between ASCR-17 revision cycles. The ASCR01_FEED evidence-linkage map in ASCR-17-OE01-Vendor-Assessment-Workbook.xlsx must be verified against the current ASCR-01 questionnaire, question ownership, and evidence-linkage structure at the start of each assessment cycle for the same reason.</w:t>
      </w:r>
    </w:p>
    <w:p w14:paraId="33484305" w14:textId="77777777" w:rsidR="00875D22" w:rsidRPr="00E3012D" w:rsidRDefault="00000000">
      <w:pPr>
        <w:pStyle w:val="Heading2"/>
        <w:rPr>
          <w:color w:val="auto"/>
        </w:rPr>
      </w:pPr>
      <w:r w:rsidRPr="00E3012D">
        <w:rPr>
          <w:color w:val="auto"/>
        </w:rPr>
        <w:t>Section 1 — Vendor risk tiering and assessment scope</w:t>
      </w:r>
    </w:p>
    <w:p w14:paraId="763FDCCC" w14:textId="77777777" w:rsidR="00875D22" w:rsidRPr="00E3012D" w:rsidRDefault="00000000">
      <w:pPr>
        <w:pStyle w:val="Heading3"/>
        <w:rPr>
          <w:color w:val="auto"/>
        </w:rPr>
      </w:pPr>
      <w:r w:rsidRPr="00E3012D">
        <w:rPr>
          <w:color w:val="auto"/>
        </w:rPr>
        <w:t>1.1 Vendor classification method</w:t>
      </w:r>
    </w:p>
    <w:p w14:paraId="0B0670FA" w14:textId="77777777" w:rsidR="00875D22" w:rsidRPr="00E3012D" w:rsidRDefault="00000000">
      <w:pPr>
        <w:pBdr>
          <w:top w:val="nil"/>
          <w:left w:val="nil"/>
          <w:bottom w:val="nil"/>
          <w:right w:val="nil"/>
          <w:between w:val="nil"/>
        </w:pBdr>
        <w:spacing w:before="180" w:after="180"/>
      </w:pPr>
      <w:r w:rsidRPr="00E3012D">
        <w:t>Five vendor categories require assessment under ASCR-17:</w:t>
      </w:r>
    </w:p>
    <w:p w14:paraId="1128EBD5" w14:textId="77777777" w:rsidR="00875D22" w:rsidRPr="00E3012D" w:rsidRDefault="00000000">
      <w:pPr>
        <w:numPr>
          <w:ilvl w:val="0"/>
          <w:numId w:val="1"/>
        </w:numPr>
        <w:pBdr>
          <w:top w:val="nil"/>
          <w:left w:val="nil"/>
          <w:bottom w:val="nil"/>
          <w:right w:val="nil"/>
          <w:between w:val="nil"/>
        </w:pBdr>
        <w:spacing w:before="180" w:after="0"/>
      </w:pPr>
      <w:r w:rsidRPr="00E3012D">
        <w:rPr>
          <w:rFonts w:ascii="Cambria" w:eastAsia="Cambria" w:hAnsi="Cambria" w:cs="Cambria"/>
          <w:b/>
          <w:bCs/>
        </w:rPr>
        <w:t>Foundation Model Providers</w:t>
      </w:r>
      <w:r w:rsidRPr="00E3012D">
        <w:rPr>
          <w:rFonts w:ascii="Cambria" w:eastAsia="Cambria" w:hAnsi="Cambria" w:cs="Cambria"/>
        </w:rPr>
        <w:t xml:space="preserve"> supply the model artifacts, including weights, architecture, and associated inference infrastructure, that constitute the Intelligence Layer reasoning engine. A compromised foundation model artifact is a high-leverage supply chain attack vector in the agentic stack. It corrupts reasoning at its origin and can propagate through downstream agents that consume its outputs. Where trusted downstream controls accept and execute compromised outputs, no additional adversarial compromise of the Connectivity or Actuation Layer may be required for </w:t>
      </w:r>
      <w:r w:rsidRPr="00E3012D">
        <w:rPr>
          <w:rFonts w:ascii="Cambria" w:eastAsia="Cambria" w:hAnsi="Cambria" w:cs="Cambria"/>
        </w:rPr>
        <w:lastRenderedPageBreak/>
        <w:t>the attack to influence physical behavior. Foundation model providers are Tier 1 vendors under ASCR-17 regardless of their size, reputation, or market position.</w:t>
      </w:r>
    </w:p>
    <w:p w14:paraId="69EC0904" w14:textId="77777777" w:rsidR="00875D22" w:rsidRPr="00E3012D" w:rsidRDefault="00000000">
      <w:pPr>
        <w:numPr>
          <w:ilvl w:val="0"/>
          <w:numId w:val="1"/>
        </w:numPr>
        <w:pBdr>
          <w:top w:val="nil"/>
          <w:left w:val="nil"/>
          <w:bottom w:val="nil"/>
          <w:right w:val="nil"/>
          <w:between w:val="nil"/>
        </w:pBdr>
        <w:spacing w:after="0"/>
      </w:pPr>
      <w:r w:rsidRPr="00E3012D">
        <w:rPr>
          <w:rFonts w:ascii="Cambria" w:eastAsia="Cambria" w:hAnsi="Cambria" w:cs="Cambria"/>
          <w:b/>
          <w:bCs/>
        </w:rPr>
        <w:t>Orchestration Platform and MCP Server Vendors</w:t>
      </w:r>
      <w:r w:rsidRPr="00E3012D">
        <w:rPr>
          <w:rFonts w:ascii="Cambria" w:eastAsia="Cambria" w:hAnsi="Cambria" w:cs="Cambria"/>
        </w:rPr>
        <w:t xml:space="preserve"> supply the Orchestration Layer infrastructure through which Intelligence Layer outputs are translated into physical commands. A compromised MCP server or orchestration platform is a high-leverage supply chain attack vector because it can intercept, modify, or redirect agent tool calls before they reach the Physical Layer without requiring compromise of the foundation model itself. Orchestration platform and MCP server vendors are Tier 1 vendors under ASCR-17 for deployments where their component holds tool invocation authority over physical systems.</w:t>
      </w:r>
    </w:p>
    <w:p w14:paraId="1F22D8F7" w14:textId="77777777" w:rsidR="00875D22" w:rsidRPr="00E3012D" w:rsidRDefault="00000000">
      <w:pPr>
        <w:numPr>
          <w:ilvl w:val="0"/>
          <w:numId w:val="1"/>
        </w:numPr>
        <w:pBdr>
          <w:top w:val="nil"/>
          <w:left w:val="nil"/>
          <w:bottom w:val="nil"/>
          <w:right w:val="nil"/>
          <w:between w:val="nil"/>
        </w:pBdr>
        <w:spacing w:after="0"/>
      </w:pPr>
      <w:r w:rsidRPr="00E3012D">
        <w:rPr>
          <w:rFonts w:ascii="Cambria" w:eastAsia="Cambria" w:hAnsi="Cambria" w:cs="Cambria"/>
          <w:b/>
          <w:bCs/>
        </w:rPr>
        <w:t>Tool Library and Data Integration Partners</w:t>
      </w:r>
      <w:r w:rsidRPr="00E3012D">
        <w:rPr>
          <w:rFonts w:ascii="Cambria" w:eastAsia="Cambria" w:hAnsi="Cambria" w:cs="Cambria"/>
        </w:rPr>
        <w:t xml:space="preserve"> supply the tool implementations and data connectors that agents invoke through MCP. A compromised tool library introduces execution capability that was not authorized by the deploying organization. A compromised data integration partner delivers false environmental state that corrupts agent reasoning without touching any other component in the stack — the context poisoning attack class characterized in ASCR-15. Tool library and data integration partners are Tier 2 vendors under ASCR-17 unless their component delivers context directly to the foundation model’s planning cycle input, in which case they are Tier 1.</w:t>
      </w:r>
    </w:p>
    <w:p w14:paraId="16EA2E89" w14:textId="77777777" w:rsidR="00875D22" w:rsidRPr="00E3012D" w:rsidRDefault="00000000">
      <w:pPr>
        <w:numPr>
          <w:ilvl w:val="0"/>
          <w:numId w:val="1"/>
        </w:numPr>
        <w:pBdr>
          <w:top w:val="nil"/>
          <w:left w:val="nil"/>
          <w:bottom w:val="nil"/>
          <w:right w:val="nil"/>
          <w:between w:val="nil"/>
        </w:pBdr>
        <w:spacing w:after="180"/>
      </w:pPr>
      <w:r w:rsidRPr="00E3012D">
        <w:rPr>
          <w:rFonts w:ascii="Cambria" w:eastAsia="Cambria" w:hAnsi="Cambria" w:cs="Cambria"/>
          <w:b/>
          <w:bCs/>
        </w:rPr>
        <w:t>Edge Inference Hardware Vendors</w:t>
      </w:r>
      <w:r w:rsidRPr="00E3012D">
        <w:rPr>
          <w:rFonts w:ascii="Cambria" w:eastAsia="Cambria" w:hAnsi="Cambria" w:cs="Cambria"/>
        </w:rPr>
        <w:t xml:space="preserve"> supply the hardware Trusted Execution Environments in which edge-deployed model artifacts execute. A compromised edge inference hardware vendor can introduce vulnerabilities in the TEE architecture that undermine the hardware trust and attestation assurance required by the applicable cloud-to-edge trust and verification design. Edge inference hardware vendors are Tier 1 vendors under ASCR-17 for deployments in the ASCR-05 Physical Systems Zone.</w:t>
      </w:r>
    </w:p>
    <w:p w14:paraId="3107F717" w14:textId="77777777" w:rsidR="00875D22" w:rsidRPr="00E3012D" w:rsidRDefault="00000000">
      <w:r w:rsidRPr="00E3012D">
        <w:t>Command Authentication Proxy Hardware Vendors supply the dedicated hardware path that enforces cryptographic command authentication and kinetic command blocking. These vendors are Tier 1 whenever the proxy governs assets with physical actuation authority and use the KQP Dimension 3 track defined in Section 4.3.</w:t>
      </w:r>
    </w:p>
    <w:p w14:paraId="199F0579" w14:textId="77777777" w:rsidR="00875D22" w:rsidRPr="00E3012D" w:rsidRDefault="00000000">
      <w:pPr>
        <w:pBdr>
          <w:top w:val="nil"/>
          <w:left w:val="nil"/>
          <w:bottom w:val="nil"/>
          <w:right w:val="nil"/>
          <w:between w:val="nil"/>
        </w:pBdr>
        <w:spacing w:before="180" w:after="180"/>
      </w:pPr>
      <w:r w:rsidRPr="00E3012D">
        <w:t xml:space="preserve">The preceding tier definitions establish the criteria used to classify vendors according to their position within the CPS threat chain, their ability to influence systems with physical actuation authority, and the consequences of compromise. Because vendors frequently perform multiple functions simultaneously, classification decisions can become inconsistent when applied solely through narrative descriptions. Table 17.1 provides the normative decision process used to determine whether a vendor is assessed as Tier 1, Tier 2, or Tier 3 under ASCR-17. Tier selection does not collapse distinct Dimension 3 track obligations. If the same vendor supplies material components that require more than one of </w:t>
      </w:r>
      <w:r w:rsidRPr="00E3012D">
        <w:lastRenderedPageBreak/>
        <w:t>the Standard, KQP, or EDGE tracks, perform a separate component/track assessment and qualification record for each material role, or use an equivalently controlled implementation that preserves separate track scores and evidence. Do not average distinct Dimension 3 tracks into one score.</w:t>
      </w:r>
    </w:p>
    <w:p w14:paraId="04A1BDD0" w14:textId="77777777" w:rsidR="00875D22" w:rsidRPr="00E3012D" w:rsidRDefault="00000000">
      <w:r w:rsidRPr="00E3012D">
        <w:t xml:space="preserve">Tier 3 vendors are supporting suppliers whose compromise does not directly or indirectly create the Tier 1 or Tier 2 effects above; for example, a non-operational administrative service with no access to production artifacts, operational data, or deployment infrastructure. Tool and toolchain vendors are Tier 1 only when their component feeds the planning cycle or creates a direct path to unsafe actuation; otherwise classify them through the table above. </w:t>
      </w:r>
    </w:p>
    <w:p w14:paraId="4BFB99A5" w14:textId="77777777" w:rsidR="00875D22" w:rsidRPr="00E3012D" w:rsidRDefault="00875D22"/>
    <w:tbl>
      <w:tblPr>
        <w:tblStyle w:val="a9"/>
        <w:tblW w:w="9360" w:type="dxa"/>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720"/>
        <w:gridCol w:w="4741"/>
        <w:gridCol w:w="1820"/>
        <w:gridCol w:w="2079"/>
      </w:tblGrid>
      <w:tr w:rsidR="00875D22" w:rsidRPr="00E3012D" w14:paraId="63CBA96D" w14:textId="77777777">
        <w:trPr>
          <w:jc w:val="center"/>
        </w:trPr>
        <w:tc>
          <w:tcPr>
            <w:tcW w:w="720" w:type="dxa"/>
            <w:shd w:val="clear" w:color="auto" w:fill="1F3864"/>
            <w:vAlign w:val="center"/>
          </w:tcPr>
          <w:p w14:paraId="0E423AEB" w14:textId="77777777" w:rsidR="00875D22" w:rsidRPr="00E3012D" w:rsidRDefault="00000000">
            <w:pPr>
              <w:spacing w:after="0"/>
              <w:rPr>
                <w:sz w:val="20"/>
                <w:szCs w:val="20"/>
              </w:rPr>
            </w:pPr>
            <w:r w:rsidRPr="00E3012D">
              <w:rPr>
                <w:b/>
                <w:bCs/>
                <w:sz w:val="20"/>
                <w:szCs w:val="20"/>
              </w:rPr>
              <w:t>Step</w:t>
            </w:r>
          </w:p>
        </w:tc>
        <w:tc>
          <w:tcPr>
            <w:tcW w:w="4740" w:type="dxa"/>
            <w:shd w:val="clear" w:color="auto" w:fill="1F3864"/>
            <w:vAlign w:val="center"/>
          </w:tcPr>
          <w:p w14:paraId="1DDAF309" w14:textId="77777777" w:rsidR="00875D22" w:rsidRPr="00E3012D" w:rsidRDefault="00000000">
            <w:pPr>
              <w:spacing w:after="0"/>
              <w:rPr>
                <w:sz w:val="20"/>
                <w:szCs w:val="20"/>
              </w:rPr>
            </w:pPr>
            <w:r w:rsidRPr="00E3012D">
              <w:rPr>
                <w:b/>
                <w:bCs/>
                <w:sz w:val="20"/>
                <w:szCs w:val="20"/>
              </w:rPr>
              <w:t>Decision question</w:t>
            </w:r>
          </w:p>
        </w:tc>
        <w:tc>
          <w:tcPr>
            <w:tcW w:w="1820" w:type="dxa"/>
            <w:shd w:val="clear" w:color="auto" w:fill="1F3864"/>
            <w:vAlign w:val="center"/>
          </w:tcPr>
          <w:p w14:paraId="73AA5371" w14:textId="77777777" w:rsidR="00875D22" w:rsidRPr="00E3012D" w:rsidRDefault="00000000">
            <w:pPr>
              <w:spacing w:after="0"/>
              <w:rPr>
                <w:sz w:val="20"/>
                <w:szCs w:val="20"/>
              </w:rPr>
            </w:pPr>
            <w:r w:rsidRPr="00E3012D">
              <w:rPr>
                <w:b/>
                <w:bCs/>
                <w:sz w:val="20"/>
                <w:szCs w:val="20"/>
              </w:rPr>
              <w:t>Yes</w:t>
            </w:r>
          </w:p>
        </w:tc>
        <w:tc>
          <w:tcPr>
            <w:tcW w:w="2079" w:type="dxa"/>
            <w:shd w:val="clear" w:color="auto" w:fill="1F3864"/>
            <w:vAlign w:val="center"/>
          </w:tcPr>
          <w:p w14:paraId="68501893" w14:textId="77777777" w:rsidR="00875D22" w:rsidRPr="00E3012D" w:rsidRDefault="00000000">
            <w:pPr>
              <w:spacing w:after="0"/>
              <w:rPr>
                <w:sz w:val="20"/>
                <w:szCs w:val="20"/>
              </w:rPr>
            </w:pPr>
            <w:r w:rsidRPr="00E3012D">
              <w:rPr>
                <w:b/>
                <w:bCs/>
                <w:sz w:val="20"/>
                <w:szCs w:val="20"/>
              </w:rPr>
              <w:t>No</w:t>
            </w:r>
          </w:p>
        </w:tc>
      </w:tr>
      <w:tr w:rsidR="00875D22" w:rsidRPr="00E3012D" w14:paraId="41CECF32" w14:textId="77777777">
        <w:trPr>
          <w:jc w:val="center"/>
        </w:trPr>
        <w:tc>
          <w:tcPr>
            <w:tcW w:w="720" w:type="dxa"/>
            <w:shd w:val="clear" w:color="auto" w:fill="FFFFFF"/>
            <w:vAlign w:val="center"/>
          </w:tcPr>
          <w:p w14:paraId="172F9544" w14:textId="77777777" w:rsidR="00875D22" w:rsidRPr="00E3012D" w:rsidRDefault="00000000">
            <w:pPr>
              <w:spacing w:after="0"/>
              <w:rPr>
                <w:sz w:val="20"/>
                <w:szCs w:val="20"/>
              </w:rPr>
            </w:pPr>
            <w:r w:rsidRPr="00E3012D">
              <w:rPr>
                <w:sz w:val="20"/>
                <w:szCs w:val="20"/>
              </w:rPr>
              <w:t>1</w:t>
            </w:r>
          </w:p>
        </w:tc>
        <w:tc>
          <w:tcPr>
            <w:tcW w:w="4740" w:type="dxa"/>
            <w:shd w:val="clear" w:color="auto" w:fill="FFFFFF"/>
            <w:vAlign w:val="center"/>
          </w:tcPr>
          <w:p w14:paraId="177DFCF1" w14:textId="77777777" w:rsidR="00875D22" w:rsidRPr="00E3012D" w:rsidRDefault="00000000">
            <w:pPr>
              <w:spacing w:after="0"/>
              <w:rPr>
                <w:sz w:val="20"/>
                <w:szCs w:val="20"/>
              </w:rPr>
            </w:pPr>
            <w:r w:rsidRPr="00E3012D">
              <w:rPr>
                <w:sz w:val="20"/>
                <w:szCs w:val="20"/>
              </w:rPr>
              <w:t>Does compromise directly influence CPS reasoning, planning, model behavior, orchestration decisions, or model-artifact integrity?</w:t>
            </w:r>
          </w:p>
        </w:tc>
        <w:tc>
          <w:tcPr>
            <w:tcW w:w="1820" w:type="dxa"/>
            <w:shd w:val="clear" w:color="auto" w:fill="FFFFFF"/>
            <w:vAlign w:val="center"/>
          </w:tcPr>
          <w:p w14:paraId="575D559C" w14:textId="77777777" w:rsidR="00875D22" w:rsidRPr="00E3012D" w:rsidRDefault="00000000">
            <w:pPr>
              <w:spacing w:after="0"/>
              <w:rPr>
                <w:sz w:val="20"/>
                <w:szCs w:val="20"/>
              </w:rPr>
            </w:pPr>
            <w:r w:rsidRPr="00E3012D">
              <w:rPr>
                <w:sz w:val="20"/>
                <w:szCs w:val="20"/>
              </w:rPr>
              <w:t>Proceed to Step 2</w:t>
            </w:r>
          </w:p>
        </w:tc>
        <w:tc>
          <w:tcPr>
            <w:tcW w:w="2079" w:type="dxa"/>
            <w:shd w:val="clear" w:color="auto" w:fill="FFFFFF"/>
            <w:vAlign w:val="center"/>
          </w:tcPr>
          <w:p w14:paraId="32AA1405" w14:textId="77777777" w:rsidR="00875D22" w:rsidRPr="00E3012D" w:rsidRDefault="00000000">
            <w:pPr>
              <w:spacing w:after="0"/>
              <w:rPr>
                <w:sz w:val="20"/>
                <w:szCs w:val="20"/>
              </w:rPr>
            </w:pPr>
            <w:r w:rsidRPr="00E3012D">
              <w:rPr>
                <w:sz w:val="20"/>
                <w:szCs w:val="20"/>
              </w:rPr>
              <w:t>Proceed to Step 3</w:t>
            </w:r>
          </w:p>
        </w:tc>
      </w:tr>
      <w:tr w:rsidR="00875D22" w:rsidRPr="00E3012D" w14:paraId="6FBE1897" w14:textId="77777777">
        <w:trPr>
          <w:jc w:val="center"/>
        </w:trPr>
        <w:tc>
          <w:tcPr>
            <w:tcW w:w="720" w:type="dxa"/>
            <w:shd w:val="clear" w:color="auto" w:fill="D9E2F3"/>
            <w:vAlign w:val="center"/>
          </w:tcPr>
          <w:p w14:paraId="35EF80AA" w14:textId="77777777" w:rsidR="00875D22" w:rsidRPr="00E3012D" w:rsidRDefault="00000000">
            <w:pPr>
              <w:spacing w:after="0"/>
              <w:rPr>
                <w:sz w:val="20"/>
                <w:szCs w:val="20"/>
              </w:rPr>
            </w:pPr>
            <w:r w:rsidRPr="00E3012D">
              <w:rPr>
                <w:sz w:val="20"/>
                <w:szCs w:val="20"/>
              </w:rPr>
              <w:t>2</w:t>
            </w:r>
          </w:p>
        </w:tc>
        <w:tc>
          <w:tcPr>
            <w:tcW w:w="4740" w:type="dxa"/>
            <w:shd w:val="clear" w:color="auto" w:fill="D9E2F3"/>
            <w:vAlign w:val="center"/>
          </w:tcPr>
          <w:p w14:paraId="4027C8E2" w14:textId="77777777" w:rsidR="00875D22" w:rsidRPr="00E3012D" w:rsidRDefault="00000000">
            <w:pPr>
              <w:spacing w:after="0"/>
              <w:rPr>
                <w:sz w:val="20"/>
                <w:szCs w:val="20"/>
              </w:rPr>
            </w:pPr>
            <w:r w:rsidRPr="00E3012D">
              <w:rPr>
                <w:sz w:val="20"/>
                <w:szCs w:val="20"/>
              </w:rPr>
              <w:t>Does that influence create a path to unsafe physical actuation, unsafe operational decisions, or loss of control over physical processes?</w:t>
            </w:r>
          </w:p>
        </w:tc>
        <w:tc>
          <w:tcPr>
            <w:tcW w:w="1820" w:type="dxa"/>
            <w:shd w:val="clear" w:color="auto" w:fill="D9E2F3"/>
            <w:vAlign w:val="center"/>
          </w:tcPr>
          <w:p w14:paraId="515258BF" w14:textId="77777777" w:rsidR="00875D22" w:rsidRPr="00E3012D" w:rsidRDefault="00000000">
            <w:pPr>
              <w:spacing w:after="0"/>
              <w:rPr>
                <w:sz w:val="20"/>
                <w:szCs w:val="20"/>
              </w:rPr>
            </w:pPr>
            <w:r w:rsidRPr="00E3012D">
              <w:rPr>
                <w:sz w:val="20"/>
                <w:szCs w:val="20"/>
              </w:rPr>
              <w:t>Tier 1</w:t>
            </w:r>
          </w:p>
        </w:tc>
        <w:tc>
          <w:tcPr>
            <w:tcW w:w="2079" w:type="dxa"/>
            <w:shd w:val="clear" w:color="auto" w:fill="D9E2F3"/>
            <w:vAlign w:val="center"/>
          </w:tcPr>
          <w:p w14:paraId="5F237EA3" w14:textId="77777777" w:rsidR="00875D22" w:rsidRPr="00E3012D" w:rsidRDefault="00000000">
            <w:pPr>
              <w:spacing w:after="0"/>
              <w:rPr>
                <w:sz w:val="20"/>
                <w:szCs w:val="20"/>
              </w:rPr>
            </w:pPr>
            <w:r w:rsidRPr="00E3012D">
              <w:rPr>
                <w:sz w:val="20"/>
                <w:szCs w:val="20"/>
              </w:rPr>
              <w:t>Proceed to Step 4</w:t>
            </w:r>
          </w:p>
        </w:tc>
      </w:tr>
      <w:tr w:rsidR="00875D22" w:rsidRPr="00E3012D" w14:paraId="5CEC928E" w14:textId="77777777">
        <w:trPr>
          <w:jc w:val="center"/>
        </w:trPr>
        <w:tc>
          <w:tcPr>
            <w:tcW w:w="720" w:type="dxa"/>
            <w:shd w:val="clear" w:color="auto" w:fill="FFFFFF"/>
            <w:vAlign w:val="center"/>
          </w:tcPr>
          <w:p w14:paraId="6AC24FD7" w14:textId="77777777" w:rsidR="00875D22" w:rsidRPr="00E3012D" w:rsidRDefault="00000000">
            <w:pPr>
              <w:spacing w:after="0"/>
              <w:rPr>
                <w:sz w:val="20"/>
                <w:szCs w:val="20"/>
              </w:rPr>
            </w:pPr>
            <w:r w:rsidRPr="00E3012D">
              <w:rPr>
                <w:sz w:val="20"/>
                <w:szCs w:val="20"/>
              </w:rPr>
              <w:t>3</w:t>
            </w:r>
          </w:p>
        </w:tc>
        <w:tc>
          <w:tcPr>
            <w:tcW w:w="4740" w:type="dxa"/>
            <w:shd w:val="clear" w:color="auto" w:fill="FFFFFF"/>
            <w:vAlign w:val="center"/>
          </w:tcPr>
          <w:p w14:paraId="3B7DD607" w14:textId="77777777" w:rsidR="00875D22" w:rsidRPr="00E3012D" w:rsidRDefault="00000000">
            <w:pPr>
              <w:spacing w:after="0"/>
              <w:rPr>
                <w:sz w:val="20"/>
                <w:szCs w:val="20"/>
              </w:rPr>
            </w:pPr>
            <w:r w:rsidRPr="00E3012D">
              <w:rPr>
                <w:sz w:val="20"/>
                <w:szCs w:val="20"/>
              </w:rPr>
              <w:t>Does compromise indirectly affect CPS operation through supporting services, data, infrastructure, communications, integrations, or monitoring?</w:t>
            </w:r>
          </w:p>
        </w:tc>
        <w:tc>
          <w:tcPr>
            <w:tcW w:w="1820" w:type="dxa"/>
            <w:shd w:val="clear" w:color="auto" w:fill="FFFFFF"/>
            <w:vAlign w:val="center"/>
          </w:tcPr>
          <w:p w14:paraId="6588AC19" w14:textId="77777777" w:rsidR="00875D22" w:rsidRPr="00E3012D" w:rsidRDefault="00000000">
            <w:pPr>
              <w:spacing w:after="0"/>
              <w:rPr>
                <w:sz w:val="20"/>
                <w:szCs w:val="20"/>
              </w:rPr>
            </w:pPr>
            <w:r w:rsidRPr="00E3012D">
              <w:rPr>
                <w:sz w:val="20"/>
                <w:szCs w:val="20"/>
              </w:rPr>
              <w:t>Tier 2</w:t>
            </w:r>
          </w:p>
        </w:tc>
        <w:tc>
          <w:tcPr>
            <w:tcW w:w="2079" w:type="dxa"/>
            <w:shd w:val="clear" w:color="auto" w:fill="FFFFFF"/>
            <w:vAlign w:val="center"/>
          </w:tcPr>
          <w:p w14:paraId="473F27F4" w14:textId="77777777" w:rsidR="00875D22" w:rsidRPr="00E3012D" w:rsidRDefault="00000000">
            <w:pPr>
              <w:spacing w:after="0"/>
              <w:rPr>
                <w:sz w:val="20"/>
                <w:szCs w:val="20"/>
              </w:rPr>
            </w:pPr>
            <w:r w:rsidRPr="00E3012D">
              <w:rPr>
                <w:sz w:val="20"/>
                <w:szCs w:val="20"/>
              </w:rPr>
              <w:t>Proceed to Step 4</w:t>
            </w:r>
          </w:p>
        </w:tc>
      </w:tr>
      <w:tr w:rsidR="00875D22" w:rsidRPr="00E3012D" w14:paraId="4BBB4E75" w14:textId="77777777">
        <w:trPr>
          <w:jc w:val="center"/>
        </w:trPr>
        <w:tc>
          <w:tcPr>
            <w:tcW w:w="720" w:type="dxa"/>
            <w:shd w:val="clear" w:color="auto" w:fill="D9E2F3"/>
            <w:vAlign w:val="center"/>
          </w:tcPr>
          <w:p w14:paraId="7ABF4665" w14:textId="77777777" w:rsidR="00875D22" w:rsidRPr="00E3012D" w:rsidRDefault="00000000">
            <w:pPr>
              <w:spacing w:after="0"/>
              <w:rPr>
                <w:sz w:val="20"/>
                <w:szCs w:val="20"/>
              </w:rPr>
            </w:pPr>
            <w:r w:rsidRPr="00E3012D">
              <w:rPr>
                <w:sz w:val="20"/>
                <w:szCs w:val="20"/>
              </w:rPr>
              <w:t>4</w:t>
            </w:r>
          </w:p>
        </w:tc>
        <w:tc>
          <w:tcPr>
            <w:tcW w:w="4740" w:type="dxa"/>
            <w:shd w:val="clear" w:color="auto" w:fill="D9E2F3"/>
            <w:vAlign w:val="center"/>
          </w:tcPr>
          <w:p w14:paraId="16FC97B7" w14:textId="77777777" w:rsidR="00875D22" w:rsidRPr="00E3012D" w:rsidRDefault="00000000">
            <w:pPr>
              <w:spacing w:after="0"/>
              <w:rPr>
                <w:sz w:val="20"/>
                <w:szCs w:val="20"/>
              </w:rPr>
            </w:pPr>
            <w:r w:rsidRPr="00E3012D">
              <w:rPr>
                <w:sz w:val="20"/>
                <w:szCs w:val="20"/>
              </w:rPr>
              <w:t>Does compromise materially affect mission execution or operational availability?</w:t>
            </w:r>
          </w:p>
        </w:tc>
        <w:tc>
          <w:tcPr>
            <w:tcW w:w="1820" w:type="dxa"/>
            <w:shd w:val="clear" w:color="auto" w:fill="D9E2F3"/>
            <w:vAlign w:val="center"/>
          </w:tcPr>
          <w:p w14:paraId="7355073E" w14:textId="77777777" w:rsidR="00875D22" w:rsidRPr="00E3012D" w:rsidRDefault="00000000">
            <w:pPr>
              <w:spacing w:after="0"/>
              <w:rPr>
                <w:sz w:val="20"/>
                <w:szCs w:val="20"/>
              </w:rPr>
            </w:pPr>
            <w:r w:rsidRPr="00E3012D">
              <w:rPr>
                <w:sz w:val="20"/>
                <w:szCs w:val="20"/>
              </w:rPr>
              <w:t>Tier 2</w:t>
            </w:r>
          </w:p>
        </w:tc>
        <w:tc>
          <w:tcPr>
            <w:tcW w:w="2079" w:type="dxa"/>
            <w:shd w:val="clear" w:color="auto" w:fill="D9E2F3"/>
            <w:vAlign w:val="center"/>
          </w:tcPr>
          <w:p w14:paraId="2003C578" w14:textId="77777777" w:rsidR="00875D22" w:rsidRPr="00E3012D" w:rsidRDefault="00000000">
            <w:pPr>
              <w:spacing w:after="0"/>
              <w:rPr>
                <w:sz w:val="20"/>
                <w:szCs w:val="20"/>
              </w:rPr>
            </w:pPr>
            <w:r w:rsidRPr="00E3012D">
              <w:rPr>
                <w:sz w:val="20"/>
                <w:szCs w:val="20"/>
              </w:rPr>
              <w:t>Tier 3</w:t>
            </w:r>
          </w:p>
        </w:tc>
      </w:tr>
    </w:tbl>
    <w:p w14:paraId="6BBDAB61" w14:textId="77777777" w:rsidR="00875D22" w:rsidRPr="00E3012D" w:rsidRDefault="00000000">
      <w:r w:rsidRPr="00E3012D">
        <w:t>Table 17.1. ASCR-17 vendor risk tier determination logic (normative)</w:t>
      </w:r>
    </w:p>
    <w:p w14:paraId="66649003" w14:textId="77777777" w:rsidR="00875D22" w:rsidRPr="00E3012D" w:rsidRDefault="00000000">
      <w:pPr>
        <w:pStyle w:val="Heading3"/>
        <w:rPr>
          <w:color w:val="auto"/>
        </w:rPr>
      </w:pPr>
      <w:r w:rsidRPr="00E3012D">
        <w:rPr>
          <w:color w:val="auto"/>
        </w:rPr>
        <w:t>1.2 Assessment depth by tier</w:t>
      </w:r>
    </w:p>
    <w:p w14:paraId="3AF5B2F5" w14:textId="77777777" w:rsidR="00875D22" w:rsidRPr="00E3012D" w:rsidRDefault="00000000">
      <w:pPr>
        <w:pBdr>
          <w:top w:val="nil"/>
          <w:left w:val="nil"/>
          <w:bottom w:val="nil"/>
          <w:right w:val="nil"/>
          <w:between w:val="nil"/>
        </w:pBdr>
        <w:spacing w:before="180" w:after="180"/>
      </w:pPr>
      <w:r w:rsidRPr="00E3012D">
        <w:rPr>
          <w:rFonts w:ascii="Cambria" w:eastAsia="Cambria" w:hAnsi="Cambria" w:cs="Cambria"/>
        </w:rPr>
        <w:t>The following table specifies, per assessment dimension and vendor tier, what form of evidence is required. Read across a row to understand how assessment depth scales with tier. Read down a column to understand the full assessment burden for a given tier. Applicability rule: evaluate a Critical Failure threshold only when its sub-dimension is required for the vendor's tier and assessed role, or when a lower-tier assessment has been explicitly elevated to that depth. Mark a sub-dimension outside the required assessment depth N/A with a written rationale. Do not use N/A to bypass a requirement that applies to the assessed component, and do not fail a lower-tier vendor solely for not meeting a Tier 1-only evidence depth.</w:t>
      </w:r>
    </w:p>
    <w:tbl>
      <w:tblPr>
        <w:tblStyle w:val="aa"/>
        <w:tblW w:w="9645" w:type="dxa"/>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020" w:firstRow="1" w:lastRow="0" w:firstColumn="0" w:lastColumn="0" w:noHBand="0" w:noVBand="0"/>
      </w:tblPr>
      <w:tblGrid>
        <w:gridCol w:w="1720"/>
        <w:gridCol w:w="2240"/>
        <w:gridCol w:w="3135"/>
        <w:gridCol w:w="2550"/>
      </w:tblGrid>
      <w:tr w:rsidR="00875D22" w:rsidRPr="00E3012D" w14:paraId="7D7845B9" w14:textId="77777777" w:rsidTr="00875D22">
        <w:trPr>
          <w:cnfStyle w:val="100000000000" w:firstRow="1" w:lastRow="0" w:firstColumn="0" w:lastColumn="0" w:oddVBand="0" w:evenVBand="0" w:oddHBand="0" w:evenHBand="0" w:firstRowFirstColumn="0" w:firstRowLastColumn="0" w:lastRowFirstColumn="0" w:lastRowLastColumn="0"/>
          <w:tblHeader/>
          <w:jc w:val="center"/>
        </w:trPr>
        <w:tc>
          <w:tcPr>
            <w:tcW w:w="1720" w:type="dxa"/>
            <w:shd w:val="clear" w:color="auto" w:fill="1F3864"/>
            <w:vAlign w:val="center"/>
          </w:tcPr>
          <w:p w14:paraId="7EDF421C" w14:textId="77777777" w:rsidR="00875D22" w:rsidRPr="00E3012D" w:rsidRDefault="00000000">
            <w:pPr>
              <w:pBdr>
                <w:top w:val="nil"/>
                <w:left w:val="nil"/>
                <w:bottom w:val="nil"/>
                <w:right w:val="nil"/>
                <w:between w:val="nil"/>
              </w:pBdr>
              <w:spacing w:before="36" w:after="0"/>
            </w:pPr>
            <w:r w:rsidRPr="00E3012D">
              <w:rPr>
                <w:rFonts w:ascii="Cambria" w:eastAsia="Cambria" w:hAnsi="Cambria" w:cs="Cambria"/>
                <w:b/>
                <w:bCs/>
                <w:sz w:val="16"/>
                <w:szCs w:val="16"/>
              </w:rPr>
              <w:t>Assessment Dimension</w:t>
            </w:r>
          </w:p>
        </w:tc>
        <w:tc>
          <w:tcPr>
            <w:tcW w:w="2240" w:type="dxa"/>
            <w:shd w:val="clear" w:color="auto" w:fill="1F3864"/>
            <w:vAlign w:val="center"/>
          </w:tcPr>
          <w:p w14:paraId="55F81598" w14:textId="77777777" w:rsidR="00875D22" w:rsidRPr="00E3012D" w:rsidRDefault="00000000">
            <w:pPr>
              <w:pBdr>
                <w:top w:val="nil"/>
                <w:left w:val="nil"/>
                <w:bottom w:val="nil"/>
                <w:right w:val="nil"/>
                <w:between w:val="nil"/>
              </w:pBdr>
              <w:spacing w:before="36" w:after="0"/>
            </w:pPr>
            <w:r w:rsidRPr="00E3012D">
              <w:rPr>
                <w:rFonts w:ascii="Cambria" w:eastAsia="Cambria" w:hAnsi="Cambria" w:cs="Cambria"/>
                <w:b/>
                <w:bCs/>
                <w:sz w:val="16"/>
                <w:szCs w:val="16"/>
              </w:rPr>
              <w:t>Tier 1</w:t>
            </w:r>
          </w:p>
        </w:tc>
        <w:tc>
          <w:tcPr>
            <w:tcW w:w="3135" w:type="dxa"/>
            <w:shd w:val="clear" w:color="auto" w:fill="1F3864"/>
            <w:vAlign w:val="center"/>
          </w:tcPr>
          <w:p w14:paraId="296157F0" w14:textId="77777777" w:rsidR="00875D22" w:rsidRPr="00E3012D" w:rsidRDefault="00000000">
            <w:pPr>
              <w:pBdr>
                <w:top w:val="nil"/>
                <w:left w:val="nil"/>
                <w:bottom w:val="nil"/>
                <w:right w:val="nil"/>
                <w:between w:val="nil"/>
              </w:pBdr>
              <w:spacing w:before="36" w:after="0"/>
            </w:pPr>
            <w:r w:rsidRPr="00E3012D">
              <w:rPr>
                <w:rFonts w:ascii="Cambria" w:eastAsia="Cambria" w:hAnsi="Cambria" w:cs="Cambria"/>
                <w:b/>
                <w:bCs/>
                <w:sz w:val="16"/>
                <w:szCs w:val="16"/>
              </w:rPr>
              <w:t>Tier 2</w:t>
            </w:r>
          </w:p>
        </w:tc>
        <w:tc>
          <w:tcPr>
            <w:tcW w:w="2550" w:type="dxa"/>
            <w:shd w:val="clear" w:color="auto" w:fill="1F3864"/>
            <w:vAlign w:val="center"/>
          </w:tcPr>
          <w:p w14:paraId="1677655C" w14:textId="77777777" w:rsidR="00875D22" w:rsidRPr="00E3012D" w:rsidRDefault="00000000">
            <w:pPr>
              <w:pBdr>
                <w:top w:val="nil"/>
                <w:left w:val="nil"/>
                <w:bottom w:val="nil"/>
                <w:right w:val="nil"/>
                <w:between w:val="nil"/>
              </w:pBdr>
              <w:spacing w:before="36" w:after="0"/>
            </w:pPr>
            <w:r w:rsidRPr="00E3012D">
              <w:rPr>
                <w:rFonts w:ascii="Cambria" w:eastAsia="Cambria" w:hAnsi="Cambria" w:cs="Cambria"/>
                <w:b/>
                <w:bCs/>
                <w:sz w:val="16"/>
                <w:szCs w:val="16"/>
              </w:rPr>
              <w:t>Tier 3</w:t>
            </w:r>
          </w:p>
        </w:tc>
      </w:tr>
      <w:tr w:rsidR="00875D22" w:rsidRPr="00E3012D" w14:paraId="4EAE772F" w14:textId="77777777" w:rsidTr="00875D22">
        <w:trPr>
          <w:jc w:val="center"/>
        </w:trPr>
        <w:tc>
          <w:tcPr>
            <w:tcW w:w="1720" w:type="dxa"/>
            <w:shd w:val="clear" w:color="auto" w:fill="FFFFFF"/>
            <w:vAlign w:val="center"/>
          </w:tcPr>
          <w:p w14:paraId="0A17B91B" w14:textId="77777777" w:rsidR="00875D22" w:rsidRPr="00E3012D" w:rsidRDefault="00000000">
            <w:pPr>
              <w:pBdr>
                <w:top w:val="nil"/>
                <w:left w:val="nil"/>
                <w:bottom w:val="nil"/>
                <w:right w:val="nil"/>
                <w:between w:val="nil"/>
              </w:pBdr>
              <w:spacing w:before="36" w:after="0"/>
            </w:pPr>
            <w:r w:rsidRPr="00E3012D">
              <w:rPr>
                <w:rFonts w:ascii="Cambria" w:eastAsia="Cambria" w:hAnsi="Cambria" w:cs="Cambria"/>
                <w:b/>
                <w:bCs/>
                <w:sz w:val="16"/>
                <w:szCs w:val="16"/>
              </w:rPr>
              <w:t>Model Development Pipeline Integrity</w:t>
            </w:r>
          </w:p>
        </w:tc>
        <w:tc>
          <w:tcPr>
            <w:tcW w:w="2240" w:type="dxa"/>
            <w:shd w:val="clear" w:color="auto" w:fill="FFFFFF"/>
            <w:vAlign w:val="center"/>
          </w:tcPr>
          <w:p w14:paraId="4B24EDB1" w14:textId="77777777" w:rsidR="00875D22" w:rsidRPr="00E3012D" w:rsidRDefault="00000000">
            <w:pPr>
              <w:spacing w:after="0"/>
            </w:pPr>
            <w:r w:rsidRPr="00E3012D">
              <w:rPr>
                <w:sz w:val="16"/>
                <w:szCs w:val="16"/>
              </w:rPr>
              <w:t>Full assessment of SD-1.1 through SD-1.6; objective evidence required.</w:t>
            </w:r>
          </w:p>
        </w:tc>
        <w:tc>
          <w:tcPr>
            <w:tcW w:w="3135" w:type="dxa"/>
            <w:shd w:val="clear" w:color="auto" w:fill="FFFFFF"/>
            <w:vAlign w:val="center"/>
          </w:tcPr>
          <w:p w14:paraId="62BF7192" w14:textId="77777777" w:rsidR="00875D22" w:rsidRPr="00E3012D" w:rsidRDefault="00000000">
            <w:pPr>
              <w:spacing w:after="0"/>
            </w:pPr>
            <w:r w:rsidRPr="00E3012D">
              <w:rPr>
                <w:sz w:val="16"/>
                <w:szCs w:val="16"/>
              </w:rPr>
              <w:t xml:space="preserve">Assess the pipeline sub-dimensions applicable to the supplied component; mapped attestations may support </w:t>
            </w:r>
            <w:r w:rsidRPr="00E3012D">
              <w:rPr>
                <w:sz w:val="16"/>
                <w:szCs w:val="16"/>
              </w:rPr>
              <w:lastRenderedPageBreak/>
              <w:t>evidence but do not independently support a score above 2.</w:t>
            </w:r>
          </w:p>
        </w:tc>
        <w:tc>
          <w:tcPr>
            <w:tcW w:w="2550" w:type="dxa"/>
            <w:shd w:val="clear" w:color="auto" w:fill="FFFFFF"/>
            <w:vAlign w:val="center"/>
          </w:tcPr>
          <w:p w14:paraId="6574D8CF" w14:textId="77777777" w:rsidR="00875D22" w:rsidRPr="00E3012D" w:rsidRDefault="00000000">
            <w:pPr>
              <w:spacing w:after="0"/>
            </w:pPr>
            <w:r w:rsidRPr="00E3012D">
              <w:rPr>
                <w:sz w:val="16"/>
                <w:szCs w:val="16"/>
              </w:rPr>
              <w:lastRenderedPageBreak/>
              <w:t>Declaration plus targeted evidence for material pipeline controls; right to audit reserved.</w:t>
            </w:r>
          </w:p>
        </w:tc>
      </w:tr>
      <w:tr w:rsidR="00875D22" w:rsidRPr="00E3012D" w14:paraId="42D80020" w14:textId="77777777" w:rsidTr="00875D22">
        <w:trPr>
          <w:jc w:val="center"/>
        </w:trPr>
        <w:tc>
          <w:tcPr>
            <w:tcW w:w="1720" w:type="dxa"/>
            <w:shd w:val="clear" w:color="auto" w:fill="D9E2F3"/>
            <w:vAlign w:val="center"/>
          </w:tcPr>
          <w:p w14:paraId="161F14D4" w14:textId="77777777" w:rsidR="00875D22" w:rsidRPr="00E3012D" w:rsidRDefault="00000000">
            <w:pPr>
              <w:pBdr>
                <w:top w:val="nil"/>
                <w:left w:val="nil"/>
                <w:bottom w:val="nil"/>
                <w:right w:val="nil"/>
                <w:between w:val="nil"/>
              </w:pBdr>
              <w:spacing w:before="36" w:after="0"/>
            </w:pPr>
            <w:r w:rsidRPr="00E3012D">
              <w:rPr>
                <w:rFonts w:ascii="Cambria" w:eastAsia="Cambria" w:hAnsi="Cambria" w:cs="Cambria"/>
                <w:b/>
                <w:bCs/>
                <w:sz w:val="16"/>
                <w:szCs w:val="16"/>
              </w:rPr>
              <w:t>AI-BOM Completeness and Currency</w:t>
            </w:r>
          </w:p>
        </w:tc>
        <w:tc>
          <w:tcPr>
            <w:tcW w:w="2240" w:type="dxa"/>
            <w:shd w:val="clear" w:color="auto" w:fill="D9E2F3"/>
            <w:vAlign w:val="center"/>
          </w:tcPr>
          <w:p w14:paraId="416EB8D2" w14:textId="77777777" w:rsidR="00875D22" w:rsidRPr="00E3012D" w:rsidRDefault="00000000">
            <w:pPr>
              <w:spacing w:after="0"/>
            </w:pPr>
            <w:r w:rsidRPr="00E3012D">
              <w:rPr>
                <w:sz w:val="16"/>
                <w:szCs w:val="16"/>
              </w:rPr>
              <w:t>Full review of AI-BOM Elements 1-4, DIM2-TD, and DIM2-DATA; machine-readable evidence required.</w:t>
            </w:r>
          </w:p>
        </w:tc>
        <w:tc>
          <w:tcPr>
            <w:tcW w:w="3135" w:type="dxa"/>
            <w:shd w:val="clear" w:color="auto" w:fill="D9E2F3"/>
            <w:vAlign w:val="center"/>
          </w:tcPr>
          <w:p w14:paraId="4FB525C8" w14:textId="77777777" w:rsidR="00875D22" w:rsidRPr="00E3012D" w:rsidRDefault="00000000">
            <w:pPr>
              <w:spacing w:after="0"/>
            </w:pPr>
            <w:r w:rsidRPr="00E3012D">
              <w:rPr>
                <w:sz w:val="16"/>
                <w:szCs w:val="16"/>
              </w:rPr>
              <w:t>AI-BOM Elements 1 and 4 plus material dependency/data-use controls; mapped attestation alone is capped at 2.</w:t>
            </w:r>
          </w:p>
        </w:tc>
        <w:tc>
          <w:tcPr>
            <w:tcW w:w="2550" w:type="dxa"/>
            <w:shd w:val="clear" w:color="auto" w:fill="D9E2F3"/>
            <w:vAlign w:val="center"/>
          </w:tcPr>
          <w:p w14:paraId="73774D29" w14:textId="77777777" w:rsidR="00875D22" w:rsidRPr="00E3012D" w:rsidRDefault="00000000">
            <w:pPr>
              <w:spacing w:after="0"/>
            </w:pPr>
            <w:r w:rsidRPr="00E3012D">
              <w:rPr>
                <w:sz w:val="16"/>
                <w:szCs w:val="16"/>
              </w:rPr>
              <w:t>Component inventory with version identifiers and declared data-use terms; mapped attestation alone is capped at 2.</w:t>
            </w:r>
          </w:p>
        </w:tc>
      </w:tr>
      <w:tr w:rsidR="00875D22" w:rsidRPr="00E3012D" w14:paraId="06ED4EBA" w14:textId="77777777" w:rsidTr="00875D22">
        <w:trPr>
          <w:jc w:val="center"/>
        </w:trPr>
        <w:tc>
          <w:tcPr>
            <w:tcW w:w="1720" w:type="dxa"/>
            <w:shd w:val="clear" w:color="auto" w:fill="FFFFFF"/>
            <w:vAlign w:val="center"/>
          </w:tcPr>
          <w:p w14:paraId="7389AA8E" w14:textId="77777777" w:rsidR="00875D22" w:rsidRPr="00E3012D" w:rsidRDefault="00000000">
            <w:pPr>
              <w:pBdr>
                <w:top w:val="nil"/>
                <w:left w:val="nil"/>
                <w:bottom w:val="nil"/>
                <w:right w:val="nil"/>
                <w:between w:val="nil"/>
              </w:pBdr>
              <w:spacing w:before="36" w:after="0"/>
            </w:pPr>
            <w:r w:rsidRPr="00E3012D">
              <w:rPr>
                <w:rFonts w:ascii="Cambria" w:eastAsia="Cambria" w:hAnsi="Cambria" w:cs="Cambria"/>
                <w:b/>
                <w:bCs/>
                <w:sz w:val="16"/>
                <w:szCs w:val="16"/>
              </w:rPr>
              <w:t>Adversarial Robustness Evidence</w:t>
            </w:r>
          </w:p>
        </w:tc>
        <w:tc>
          <w:tcPr>
            <w:tcW w:w="2240" w:type="dxa"/>
            <w:shd w:val="clear" w:color="auto" w:fill="FFFFFF"/>
            <w:vAlign w:val="center"/>
          </w:tcPr>
          <w:p w14:paraId="03610F1D" w14:textId="77777777" w:rsidR="00875D22" w:rsidRPr="00E3012D" w:rsidRDefault="00000000">
            <w:pPr>
              <w:pBdr>
                <w:top w:val="nil"/>
                <w:left w:val="nil"/>
                <w:bottom w:val="nil"/>
                <w:right w:val="nil"/>
                <w:between w:val="nil"/>
              </w:pBdr>
              <w:spacing w:before="36" w:after="0"/>
            </w:pPr>
            <w:r w:rsidRPr="00E3012D">
              <w:rPr>
                <w:rFonts w:ascii="Cambria" w:eastAsia="Cambria" w:hAnsi="Cambria" w:cs="Cambria"/>
                <w:sz w:val="16"/>
                <w:szCs w:val="16"/>
              </w:rPr>
              <w:t>Full review including MITRE ATLAS technique coverage and physical-world perception testing results.</w:t>
            </w:r>
          </w:p>
        </w:tc>
        <w:tc>
          <w:tcPr>
            <w:tcW w:w="3135" w:type="dxa"/>
            <w:shd w:val="clear" w:color="auto" w:fill="FFFFFF"/>
            <w:vAlign w:val="center"/>
          </w:tcPr>
          <w:p w14:paraId="3D8D7306" w14:textId="77777777" w:rsidR="00875D22" w:rsidRPr="00E3012D" w:rsidRDefault="00000000">
            <w:r w:rsidRPr="00E3012D">
              <w:t>Functional security testing results required; a mapped MITRE ATLAS coverage attestation may support the review but cannot independently support a score above 2 without objective evidence.</w:t>
            </w:r>
          </w:p>
        </w:tc>
        <w:tc>
          <w:tcPr>
            <w:tcW w:w="2550" w:type="dxa"/>
            <w:shd w:val="clear" w:color="auto" w:fill="FFFFFF"/>
            <w:vAlign w:val="center"/>
          </w:tcPr>
          <w:p w14:paraId="76827C73" w14:textId="77777777" w:rsidR="00875D22" w:rsidRPr="00E3012D" w:rsidRDefault="00000000">
            <w:pPr>
              <w:pBdr>
                <w:top w:val="nil"/>
                <w:left w:val="nil"/>
                <w:bottom w:val="nil"/>
                <w:right w:val="nil"/>
                <w:between w:val="nil"/>
              </w:pBdr>
              <w:spacing w:before="36" w:after="0"/>
            </w:pPr>
            <w:r w:rsidRPr="00E3012D">
              <w:rPr>
                <w:rFonts w:ascii="Cambria" w:eastAsia="Cambria" w:hAnsi="Cambria" w:cs="Cambria"/>
                <w:sz w:val="16"/>
                <w:szCs w:val="16"/>
              </w:rPr>
              <w:t>Review of vulnerability disclosure policy and CVE history only.</w:t>
            </w:r>
          </w:p>
        </w:tc>
      </w:tr>
      <w:tr w:rsidR="00875D22" w:rsidRPr="00E3012D" w14:paraId="2A124953" w14:textId="77777777" w:rsidTr="00875D22">
        <w:trPr>
          <w:jc w:val="center"/>
        </w:trPr>
        <w:tc>
          <w:tcPr>
            <w:tcW w:w="1720" w:type="dxa"/>
            <w:shd w:val="clear" w:color="auto" w:fill="D9E2F3"/>
            <w:vAlign w:val="center"/>
          </w:tcPr>
          <w:p w14:paraId="58F1EE4A" w14:textId="77777777" w:rsidR="00875D22" w:rsidRPr="00E3012D" w:rsidRDefault="00000000">
            <w:pPr>
              <w:pBdr>
                <w:top w:val="nil"/>
                <w:left w:val="nil"/>
                <w:bottom w:val="nil"/>
                <w:right w:val="nil"/>
                <w:between w:val="nil"/>
              </w:pBdr>
              <w:spacing w:before="36" w:after="0"/>
            </w:pPr>
            <w:r w:rsidRPr="00E3012D">
              <w:rPr>
                <w:rFonts w:ascii="Cambria" w:eastAsia="Cambria" w:hAnsi="Cambria" w:cs="Cambria"/>
                <w:b/>
                <w:bCs/>
                <w:sz w:val="16"/>
                <w:szCs w:val="16"/>
              </w:rPr>
              <w:t>Incident Response and Forensic Cooperation</w:t>
            </w:r>
          </w:p>
        </w:tc>
        <w:tc>
          <w:tcPr>
            <w:tcW w:w="2240" w:type="dxa"/>
            <w:shd w:val="clear" w:color="auto" w:fill="D9E2F3"/>
            <w:vAlign w:val="center"/>
          </w:tcPr>
          <w:p w14:paraId="544F79FA" w14:textId="77777777" w:rsidR="00875D22" w:rsidRPr="00E3012D" w:rsidRDefault="00000000">
            <w:pPr>
              <w:pBdr>
                <w:top w:val="nil"/>
                <w:left w:val="nil"/>
                <w:bottom w:val="nil"/>
                <w:right w:val="nil"/>
                <w:between w:val="nil"/>
              </w:pBdr>
              <w:spacing w:before="36" w:after="0"/>
            </w:pPr>
            <w:r w:rsidRPr="00E3012D">
              <w:rPr>
                <w:rFonts w:ascii="Cambria" w:eastAsia="Cambria" w:hAnsi="Cambria" w:cs="Cambria"/>
                <w:sz w:val="16"/>
                <w:szCs w:val="16"/>
              </w:rPr>
              <w:t>Full capability assessment including a required tabletop exercise; forensic cooperation SLA negotiated pre-contract.</w:t>
            </w:r>
          </w:p>
        </w:tc>
        <w:tc>
          <w:tcPr>
            <w:tcW w:w="3135" w:type="dxa"/>
            <w:shd w:val="clear" w:color="auto" w:fill="D9E2F3"/>
            <w:vAlign w:val="center"/>
          </w:tcPr>
          <w:p w14:paraId="080757A5" w14:textId="77777777" w:rsidR="00875D22" w:rsidRPr="00E3012D" w:rsidRDefault="00000000">
            <w:r w:rsidRPr="00E3012D">
              <w:t>Incident response policy review; forensic cooperation obligations accepted as standard ASCR-11 terms.</w:t>
            </w:r>
          </w:p>
        </w:tc>
        <w:tc>
          <w:tcPr>
            <w:tcW w:w="2550" w:type="dxa"/>
            <w:shd w:val="clear" w:color="auto" w:fill="D9E2F3"/>
            <w:vAlign w:val="center"/>
          </w:tcPr>
          <w:p w14:paraId="1CBA1708" w14:textId="77777777" w:rsidR="00875D22" w:rsidRPr="00E3012D" w:rsidRDefault="00000000">
            <w:pPr>
              <w:pBdr>
                <w:top w:val="nil"/>
                <w:left w:val="nil"/>
                <w:bottom w:val="nil"/>
                <w:right w:val="nil"/>
                <w:between w:val="nil"/>
              </w:pBdr>
              <w:spacing w:before="36" w:after="0"/>
            </w:pPr>
            <w:r w:rsidRPr="00E3012D">
              <w:rPr>
                <w:rFonts w:ascii="Cambria" w:eastAsia="Cambria" w:hAnsi="Cambria" w:cs="Cambria"/>
                <w:sz w:val="16"/>
                <w:szCs w:val="16"/>
              </w:rPr>
              <w:t>Incident response policy review only.</w:t>
            </w:r>
          </w:p>
        </w:tc>
      </w:tr>
      <w:tr w:rsidR="00875D22" w:rsidRPr="00E3012D" w14:paraId="053A28D1" w14:textId="77777777" w:rsidTr="00875D22">
        <w:trPr>
          <w:jc w:val="center"/>
        </w:trPr>
        <w:tc>
          <w:tcPr>
            <w:tcW w:w="1720" w:type="dxa"/>
            <w:shd w:val="clear" w:color="auto" w:fill="FFFFFF"/>
            <w:vAlign w:val="center"/>
          </w:tcPr>
          <w:p w14:paraId="1A93D091" w14:textId="77777777" w:rsidR="00875D22" w:rsidRPr="00E3012D" w:rsidRDefault="00000000">
            <w:pPr>
              <w:pBdr>
                <w:top w:val="nil"/>
                <w:left w:val="nil"/>
                <w:bottom w:val="nil"/>
                <w:right w:val="nil"/>
                <w:between w:val="nil"/>
              </w:pBdr>
              <w:spacing w:before="36" w:after="0"/>
            </w:pPr>
            <w:r w:rsidRPr="00E3012D">
              <w:rPr>
                <w:rFonts w:ascii="Cambria" w:eastAsia="Cambria" w:hAnsi="Cambria" w:cs="Cambria"/>
                <w:b/>
                <w:bCs/>
                <w:sz w:val="16"/>
                <w:szCs w:val="16"/>
              </w:rPr>
              <w:t>Fourth-Party Supply Chain Visibility</w:t>
            </w:r>
          </w:p>
        </w:tc>
        <w:tc>
          <w:tcPr>
            <w:tcW w:w="2240" w:type="dxa"/>
            <w:shd w:val="clear" w:color="auto" w:fill="FFFFFF"/>
            <w:vAlign w:val="center"/>
          </w:tcPr>
          <w:p w14:paraId="33B5153B" w14:textId="77777777" w:rsidR="00875D22" w:rsidRPr="00E3012D" w:rsidRDefault="00000000">
            <w:pPr>
              <w:pBdr>
                <w:top w:val="nil"/>
                <w:left w:val="nil"/>
                <w:bottom w:val="nil"/>
                <w:right w:val="nil"/>
                <w:between w:val="nil"/>
              </w:pBdr>
              <w:spacing w:before="36" w:after="0"/>
            </w:pPr>
            <w:r w:rsidRPr="00E3012D">
              <w:rPr>
                <w:rFonts w:ascii="Cambria" w:eastAsia="Cambria" w:hAnsi="Cambria" w:cs="Cambria"/>
                <w:sz w:val="16"/>
                <w:szCs w:val="16"/>
              </w:rPr>
              <w:t>Full fourth-party inventory required, covering the top three depth levels of the vendor’s transitive supply chain. First-tier suppliers (Level 1 — those with direct access to model training or compilation infrastructure) must be assessed against ASCR-17 Dimension 1 equivalent criteria.</w:t>
            </w:r>
          </w:p>
        </w:tc>
        <w:tc>
          <w:tcPr>
            <w:tcW w:w="3135" w:type="dxa"/>
            <w:shd w:val="clear" w:color="auto" w:fill="FFFFFF"/>
            <w:vAlign w:val="center"/>
          </w:tcPr>
          <w:p w14:paraId="44FC4802" w14:textId="77777777" w:rsidR="00875D22" w:rsidRPr="00E3012D" w:rsidRDefault="00000000">
            <w:pPr>
              <w:pBdr>
                <w:top w:val="nil"/>
                <w:left w:val="nil"/>
                <w:bottom w:val="nil"/>
                <w:right w:val="nil"/>
                <w:between w:val="nil"/>
              </w:pBdr>
              <w:spacing w:before="36" w:after="0"/>
            </w:pPr>
            <w:r w:rsidRPr="00E3012D">
              <w:rPr>
                <w:rFonts w:ascii="Cambria" w:eastAsia="Cambria" w:hAnsi="Cambria" w:cs="Cambria"/>
                <w:sz w:val="16"/>
                <w:szCs w:val="16"/>
              </w:rPr>
              <w:t>Inventory of the top two tiers required.</w:t>
            </w:r>
          </w:p>
        </w:tc>
        <w:tc>
          <w:tcPr>
            <w:tcW w:w="2550" w:type="dxa"/>
            <w:shd w:val="clear" w:color="auto" w:fill="FFFFFF"/>
            <w:vAlign w:val="center"/>
          </w:tcPr>
          <w:p w14:paraId="1D634AD2" w14:textId="77777777" w:rsidR="00875D22" w:rsidRPr="00E3012D" w:rsidRDefault="00000000">
            <w:pPr>
              <w:pBdr>
                <w:top w:val="nil"/>
                <w:left w:val="nil"/>
                <w:bottom w:val="nil"/>
                <w:right w:val="nil"/>
                <w:between w:val="nil"/>
              </w:pBdr>
              <w:spacing w:before="36" w:after="0"/>
            </w:pPr>
            <w:r w:rsidRPr="00E3012D">
              <w:rPr>
                <w:rFonts w:ascii="Cambria" w:eastAsia="Cambria" w:hAnsi="Cambria" w:cs="Cambria"/>
                <w:sz w:val="16"/>
                <w:szCs w:val="16"/>
              </w:rPr>
              <w:t>Primary dependency inventory only.</w:t>
            </w:r>
          </w:p>
        </w:tc>
      </w:tr>
      <w:tr w:rsidR="00875D22" w:rsidRPr="00E3012D" w14:paraId="0DA2FCB0" w14:textId="77777777" w:rsidTr="00875D22">
        <w:trPr>
          <w:jc w:val="center"/>
        </w:trPr>
        <w:tc>
          <w:tcPr>
            <w:tcW w:w="1720" w:type="dxa"/>
            <w:shd w:val="clear" w:color="auto" w:fill="D9E2F3"/>
            <w:vAlign w:val="center"/>
          </w:tcPr>
          <w:p w14:paraId="233C9B31" w14:textId="77777777" w:rsidR="00875D22" w:rsidRPr="00E3012D" w:rsidRDefault="00000000">
            <w:pPr>
              <w:pBdr>
                <w:top w:val="nil"/>
                <w:left w:val="nil"/>
                <w:bottom w:val="nil"/>
                <w:right w:val="nil"/>
                <w:between w:val="nil"/>
              </w:pBdr>
              <w:spacing w:before="36" w:after="0"/>
            </w:pPr>
            <w:r w:rsidRPr="00E3012D">
              <w:rPr>
                <w:rFonts w:ascii="Cambria" w:eastAsia="Cambria" w:hAnsi="Cambria" w:cs="Cambria"/>
                <w:sz w:val="16"/>
                <w:szCs w:val="16"/>
              </w:rPr>
              <w:t>KQP Hardware Capability (command authentication proxy hardware vendors only — see Section 4.3 for full assessment requirements)</w:t>
            </w:r>
          </w:p>
        </w:tc>
        <w:tc>
          <w:tcPr>
            <w:tcW w:w="2240" w:type="dxa"/>
            <w:shd w:val="clear" w:color="auto" w:fill="D9E2F3"/>
            <w:vAlign w:val="center"/>
          </w:tcPr>
          <w:p w14:paraId="671A624B" w14:textId="77777777" w:rsidR="00875D22" w:rsidRPr="00E3012D" w:rsidRDefault="00000000">
            <w:pPr>
              <w:pBdr>
                <w:top w:val="nil"/>
                <w:left w:val="nil"/>
                <w:bottom w:val="nil"/>
                <w:right w:val="nil"/>
                <w:between w:val="nil"/>
              </w:pBdr>
              <w:spacing w:before="36" w:after="0"/>
            </w:pPr>
            <w:r w:rsidRPr="00E3012D">
              <w:rPr>
                <w:rFonts w:ascii="Cambria" w:eastAsia="Cambria" w:hAnsi="Cambria" w:cs="Cambria"/>
                <w:sz w:val="16"/>
                <w:szCs w:val="16"/>
              </w:rPr>
              <w:t>Full assessment; requires TKQ evidence, third-party tamper-detection certification, HSM FIPS 140-3 Level 3, and phase isolation documentation.</w:t>
            </w:r>
          </w:p>
        </w:tc>
        <w:tc>
          <w:tcPr>
            <w:tcW w:w="3135" w:type="dxa"/>
            <w:shd w:val="clear" w:color="auto" w:fill="D9E2F3"/>
            <w:vAlign w:val="center"/>
          </w:tcPr>
          <w:p w14:paraId="7A39B9A0" w14:textId="77777777" w:rsidR="00875D22" w:rsidRPr="00E3012D" w:rsidRDefault="00000000">
            <w:r w:rsidRPr="00E3012D">
              <w:t xml:space="preserve">TKQ evidence, HSM certification, third-party KQP-2 tamper-detection evidence, and firmware-notification process documentation required; phase-isolation attestation may support the reduced Tier 2 review. Any proxy promoted to a physical-actuation role is Tier 1 and requires the full KQP </w:t>
            </w:r>
            <w:r w:rsidRPr="00E3012D">
              <w:lastRenderedPageBreak/>
              <w:t>assessment before admission.</w:t>
            </w:r>
          </w:p>
        </w:tc>
        <w:tc>
          <w:tcPr>
            <w:tcW w:w="2550" w:type="dxa"/>
            <w:shd w:val="clear" w:color="auto" w:fill="D9E2F3"/>
            <w:vAlign w:val="center"/>
          </w:tcPr>
          <w:p w14:paraId="13931BED" w14:textId="77777777" w:rsidR="00875D22" w:rsidRPr="00E3012D" w:rsidRDefault="00000000">
            <w:pPr>
              <w:pBdr>
                <w:top w:val="nil"/>
                <w:left w:val="nil"/>
                <w:bottom w:val="nil"/>
                <w:right w:val="nil"/>
                <w:between w:val="nil"/>
              </w:pBdr>
              <w:spacing w:before="36" w:after="0"/>
            </w:pPr>
            <w:r w:rsidRPr="00E3012D">
              <w:rPr>
                <w:rFonts w:ascii="Cambria" w:eastAsia="Cambria" w:hAnsi="Cambria" w:cs="Cambria"/>
                <w:sz w:val="16"/>
                <w:szCs w:val="16"/>
              </w:rPr>
              <w:lastRenderedPageBreak/>
              <w:t>Not applicable; Tier 3 vendors are restricted from command authentication proxy roles.</w:t>
            </w:r>
          </w:p>
        </w:tc>
      </w:tr>
      <w:tr w:rsidR="00875D22" w:rsidRPr="00E3012D" w14:paraId="2C4C7F72" w14:textId="77777777" w:rsidTr="00875D22">
        <w:trPr>
          <w:jc w:val="center"/>
        </w:trPr>
        <w:tc>
          <w:tcPr>
            <w:tcW w:w="1720" w:type="dxa"/>
            <w:shd w:val="clear" w:color="auto" w:fill="FFFFFF"/>
            <w:vAlign w:val="center"/>
          </w:tcPr>
          <w:p w14:paraId="40C49825" w14:textId="77777777" w:rsidR="00875D22" w:rsidRPr="00E3012D" w:rsidRDefault="00000000">
            <w:pPr>
              <w:spacing w:after="0"/>
            </w:pPr>
            <w:r w:rsidRPr="00E3012D">
              <w:rPr>
                <w:sz w:val="16"/>
                <w:szCs w:val="16"/>
              </w:rPr>
              <w:t>Edge Inference Hardware Assurance (edge inference hardware vendors only - Section 4.4)</w:t>
            </w:r>
          </w:p>
        </w:tc>
        <w:tc>
          <w:tcPr>
            <w:tcW w:w="2240" w:type="dxa"/>
            <w:shd w:val="clear" w:color="auto" w:fill="FFFFFF"/>
            <w:vAlign w:val="center"/>
          </w:tcPr>
          <w:p w14:paraId="510DA3B9" w14:textId="77777777" w:rsidR="00875D22" w:rsidRPr="00E3012D" w:rsidRDefault="00000000">
            <w:pPr>
              <w:spacing w:after="0"/>
            </w:pPr>
            <w:r w:rsidRPr="00E3012D">
              <w:rPr>
                <w:sz w:val="16"/>
                <w:szCs w:val="16"/>
              </w:rPr>
              <w:t>Full EDGE track: TEE/secure-boot attestation, firmware provenance/change control, and hardware trust-anchor/key-isolation evidence.</w:t>
            </w:r>
          </w:p>
        </w:tc>
        <w:tc>
          <w:tcPr>
            <w:tcW w:w="3135" w:type="dxa"/>
            <w:shd w:val="clear" w:color="auto" w:fill="FFFFFF"/>
            <w:vAlign w:val="center"/>
          </w:tcPr>
          <w:p w14:paraId="134ED9B6" w14:textId="77777777" w:rsidR="00875D22" w:rsidRPr="00E3012D" w:rsidRDefault="00000000">
            <w:r w:rsidRPr="00E3012D">
              <w:t>Tier 2 applies only to non-production or non-actuation support scope. Core attestation and firmware-provenance evidence are required. Any edge hardware used in a production physical-actuation role is Tier 1 and requires the full EDGE track before admission.</w:t>
            </w:r>
          </w:p>
        </w:tc>
        <w:tc>
          <w:tcPr>
            <w:tcW w:w="2550" w:type="dxa"/>
            <w:shd w:val="clear" w:color="auto" w:fill="FFFFFF"/>
            <w:vAlign w:val="center"/>
          </w:tcPr>
          <w:p w14:paraId="5302C500" w14:textId="77777777" w:rsidR="00875D22" w:rsidRPr="00E3012D" w:rsidRDefault="00000000">
            <w:pPr>
              <w:spacing w:after="0"/>
            </w:pPr>
            <w:r w:rsidRPr="00E3012D">
              <w:rPr>
                <w:sz w:val="16"/>
                <w:szCs w:val="16"/>
              </w:rPr>
              <w:t>Not applicable to Tier 3 production actuation roles.</w:t>
            </w:r>
          </w:p>
        </w:tc>
      </w:tr>
    </w:tbl>
    <w:p w14:paraId="0DC20837" w14:textId="77777777" w:rsidR="00875D22" w:rsidRPr="00E3012D" w:rsidRDefault="00000000">
      <w:pPr>
        <w:pStyle w:val="Heading3"/>
        <w:rPr>
          <w:color w:val="auto"/>
        </w:rPr>
      </w:pPr>
      <w:r w:rsidRPr="00E3012D">
        <w:rPr>
          <w:color w:val="auto"/>
        </w:rPr>
        <w:t>1.3 Qualification determination</w:t>
      </w:r>
    </w:p>
    <w:p w14:paraId="67C1EA9D" w14:textId="77777777" w:rsidR="00875D22" w:rsidRPr="00E3012D" w:rsidRDefault="00000000">
      <w:pPr>
        <w:pBdr>
          <w:top w:val="nil"/>
          <w:left w:val="nil"/>
          <w:bottom w:val="nil"/>
          <w:right w:val="nil"/>
          <w:between w:val="nil"/>
        </w:pBdr>
        <w:spacing w:before="180" w:after="180"/>
      </w:pPr>
      <w:r w:rsidRPr="00E3012D">
        <w:rPr>
          <w:rFonts w:ascii="Cambria" w:eastAsia="Cambria" w:hAnsi="Cambria" w:cs="Cambria"/>
        </w:rPr>
        <w:t>Assessment findings across the five dimensions produce one of three qualification determinations:</w:t>
      </w:r>
    </w:p>
    <w:p w14:paraId="15527190" w14:textId="77777777" w:rsidR="00875D22" w:rsidRPr="00E3012D" w:rsidRDefault="00000000">
      <w:pPr>
        <w:pBdr>
          <w:top w:val="nil"/>
          <w:left w:val="nil"/>
          <w:bottom w:val="nil"/>
          <w:right w:val="nil"/>
          <w:between w:val="nil"/>
        </w:pBdr>
        <w:spacing w:before="180" w:after="180"/>
      </w:pPr>
      <w:r w:rsidRPr="00E3012D">
        <w:t xml:space="preserve">Qualified. The vendor satisfies all mandatory technical requirements for its </w:t>
      </w:r>
      <w:proofErr w:type="gramStart"/>
      <w:r w:rsidRPr="00E3012D">
        <w:t>tier</w:t>
      </w:r>
      <w:proofErr w:type="gramEnd"/>
      <w:r w:rsidRPr="00E3012D">
        <w:t xml:space="preserve"> across all applicable assessment dimensions. Proceed to the ASCR-17 Section 1.6 Commercial and Legal Readiness Gate. After that gate is completed and any applicable ASCR-03 authorization is obtained, proceed to ASCR-11 contract execution. Finalize and retain the signed ASCR-17 vendor qualification record, link it to the applicable ASCR-11 contractual record where required, and schedule the next reassessment per Update Cadence.</w:t>
      </w:r>
    </w:p>
    <w:p w14:paraId="16DB63B4" w14:textId="77777777" w:rsidR="00875D22" w:rsidRPr="00E3012D" w:rsidRDefault="00000000">
      <w:pPr>
        <w:pBdr>
          <w:top w:val="nil"/>
          <w:left w:val="nil"/>
          <w:bottom w:val="nil"/>
          <w:right w:val="nil"/>
          <w:between w:val="nil"/>
        </w:pBdr>
        <w:spacing w:before="180" w:after="180"/>
      </w:pPr>
      <w:r w:rsidRPr="00E3012D">
        <w:t xml:space="preserve">Conditionally Qualified. The vendor has no Critical Failure, no applicable sub-dimension scored 1, and an overall applicable-dimension average of at least 2.0, but one or more remediation gaps </w:t>
      </w:r>
      <w:proofErr w:type="gramStart"/>
      <w:r w:rsidRPr="00E3012D">
        <w:t>remain</w:t>
      </w:r>
      <w:proofErr w:type="gramEnd"/>
      <w:r w:rsidRPr="00E3012D">
        <w:t xml:space="preserve"> or the aggregate evidence does not reach the Qualified threshold. CQ-90 applies when there are 1 to 3 open remediation items and no applicable dimension average is below 2.5. CQ-30 applies when there are 4 or more open remediation items or any applicable dimension average is below 2.5. CQ-30 also requires the ASCR-03 Section 4.3 ASCR-17 CQ-30 vendor qualification authorization. Section 7.2 is normative.</w:t>
      </w:r>
    </w:p>
    <w:p w14:paraId="798CA151" w14:textId="77777777" w:rsidR="00875D22" w:rsidRPr="00E3012D" w:rsidRDefault="00000000">
      <w:pPr>
        <w:pBdr>
          <w:top w:val="nil"/>
          <w:left w:val="nil"/>
          <w:bottom w:val="nil"/>
          <w:right w:val="nil"/>
          <w:between w:val="nil"/>
        </w:pBdr>
        <w:spacing w:before="180" w:after="180"/>
      </w:pPr>
      <w:r w:rsidRPr="00E3012D">
        <w:t xml:space="preserve">Conditional qualification establishes a technically acceptable path subject to the documented remediation requirements below. Before contract execution, complete the ASCR-17 Section 1.6 Commercial and Legal Readiness Gate and any required ASCR-03 authorization. Contract execution under ASCR-11 may proceed only after those governance conditions are satisfied. The gap must be documented in the signed ASCR-17 vendor </w:t>
      </w:r>
      <w:r w:rsidRPr="00E3012D">
        <w:lastRenderedPageBreak/>
        <w:t xml:space="preserve">qualification record with a remediation milestone date. Under ASCR policy, a confirmed missed remediation milestone requires the qualification status to be changed to Disqualified and recorded through the Section 8.2 </w:t>
      </w:r>
      <w:proofErr w:type="gramStart"/>
      <w:r w:rsidRPr="00E3012D">
        <w:t>triggered-reassessment</w:t>
      </w:r>
      <w:proofErr w:type="gramEnd"/>
      <w:r w:rsidRPr="00E3012D">
        <w:t xml:space="preserve">/governance process; the workbook does not monitor calendar deadlines or change status automatically. Use the Part 2 Conditionally Qualified letter template in ASCR-17-OE02-Operational-Companion.docx to communicate this determination and milestone to the vendor. The template includes the milestone date, open remediation items, and the required conversion notice. The ASCR-11 contract owner must notify the Tier 3 governance authority within five business days of a confirmed missed milestone. The governance authority must issue a written determination on continued deployment within ten business days of notification. Continued deployment without </w:t>
      </w:r>
      <w:proofErr w:type="gramStart"/>
      <w:r w:rsidRPr="00E3012D">
        <w:t>a written</w:t>
      </w:r>
      <w:proofErr w:type="gramEnd"/>
      <w:r w:rsidRPr="00E3012D">
        <w:t xml:space="preserve"> governance determination is not permitted. The status change and determination must be recorded in the ASCR-17 vendor qualification record and linked to the applicable ASCR-11 contractual record where that agreement relies on the qualification status.</w:t>
      </w:r>
    </w:p>
    <w:p w14:paraId="231591B8" w14:textId="77777777" w:rsidR="00875D22" w:rsidRPr="00E3012D" w:rsidRDefault="00000000">
      <w:pPr>
        <w:pBdr>
          <w:top w:val="nil"/>
          <w:left w:val="nil"/>
          <w:bottom w:val="nil"/>
          <w:right w:val="nil"/>
          <w:between w:val="nil"/>
        </w:pBdr>
        <w:spacing w:before="180" w:after="180"/>
      </w:pPr>
      <w:r w:rsidRPr="00E3012D">
        <w:t>Disqualified. A Disqualified determination arises under any of the Section 7.2 conditions: any Critical Failure in an applicable sub-dimension; any applicable sub-dimension scored 1; or an overall applicable-dimension average below 2.0. A Disqualified determination prohibits new admission of the assessed component, execution of a new deployment contract for that component, and admission of additional artifact versions. An already-deployed component may be retained temporarily only under the ASCR-03 Section 4.3 ASCR-17 Disqualified-component temporary-retention authorization and written risk acceptance when immediate withdrawal would create greater safety, mission-continuity, or operational risk. Temporary retention does not change the Disqualified determination, may not exceed 180 days without a new authorization, and must be reauthorized immediately for material scope expansion. Record the finding as high-priority vendor-risk evidence in ASCR-01; any affected ASCR-01 question is rescored only through the normal ASCR-01 methodology.</w:t>
      </w:r>
    </w:p>
    <w:p w14:paraId="0D840BE6" w14:textId="77777777" w:rsidR="00875D22" w:rsidRPr="00E3012D" w:rsidRDefault="00000000">
      <w:pPr>
        <w:pStyle w:val="Heading3"/>
        <w:rPr>
          <w:color w:val="auto"/>
        </w:rPr>
      </w:pPr>
      <w:r w:rsidRPr="00E3012D">
        <w:rPr>
          <w:color w:val="auto"/>
        </w:rPr>
        <w:t>1.4 Reusing existing attestations</w:t>
      </w:r>
    </w:p>
    <w:p w14:paraId="1DC9380B" w14:textId="77777777" w:rsidR="00875D22" w:rsidRPr="00E3012D" w:rsidRDefault="00000000">
      <w:r w:rsidRPr="00E3012D">
        <w:t>Existing ISO/IEC 27001, ISO/IEC 42001, SOC 2, CAIQ, SIG, NIST AI RMF, IEC 62443, and applicable DORA third-party evidence may be reused when the artifact is current, its scope matches the assessed service/component, and the assessor maps it to a specific ASCR-17 sub-dimension. SOC 2 and ISO/IEC 27001 demonstrate general control-system assurance; ISO/IEC 42001 demonstrates AI-management-system assurance. None independently demonstrates model integrity, pipeline provenance, behavioral robustness, or other ASCR-specific controls. An attestation alone cannot support a score above 2 for an ASCR-specific sub-dimension; scores 3 and 4 require the objective evidence named by that sub-dimension.</w:t>
      </w:r>
    </w:p>
    <w:p w14:paraId="4B77CE65" w14:textId="77777777" w:rsidR="00875D22" w:rsidRPr="00E3012D" w:rsidRDefault="00000000">
      <w:pPr>
        <w:pStyle w:val="Heading3"/>
        <w:rPr>
          <w:color w:val="auto"/>
        </w:rPr>
      </w:pPr>
      <w:r w:rsidRPr="00E3012D">
        <w:rPr>
          <w:color w:val="auto"/>
        </w:rPr>
        <w:lastRenderedPageBreak/>
        <w:t>1.5 Assessment team composition</w:t>
      </w:r>
    </w:p>
    <w:p w14:paraId="4E35CEB5" w14:textId="77777777" w:rsidR="00875D22" w:rsidRPr="00E3012D" w:rsidRDefault="00000000">
      <w:r w:rsidRPr="00E3012D">
        <w:t>The assessment team must collectively cover supply-chain/build security, AI/ML assurance, agent/MCP security, incident response and MITRE ATLAS analysis, OT/physical-system safety for kinetic deployments, and regulatory/contract interpretation where relevant. Use ASCR-13 for competency expectations, ASCR-02 for regulatory applicability/localization, and ASCR-12 for continuing performance visibility. A single assessor may fill multiple roles only where equivalent competence is documented.</w:t>
      </w:r>
    </w:p>
    <w:p w14:paraId="0147E3AE" w14:textId="77777777" w:rsidR="00875D22" w:rsidRPr="00E3012D" w:rsidRDefault="00000000">
      <w:pPr>
        <w:pStyle w:val="Heading3"/>
        <w:rPr>
          <w:color w:val="auto"/>
        </w:rPr>
      </w:pPr>
      <w:r w:rsidRPr="00E3012D">
        <w:rPr>
          <w:color w:val="auto"/>
        </w:rPr>
        <w:t>1.6 Commercial and legal readiness gate (non-scoring)</w:t>
      </w:r>
    </w:p>
    <w:p w14:paraId="3DF6293B" w14:textId="77777777" w:rsidR="00875D22" w:rsidRPr="00E3012D" w:rsidRDefault="00000000">
      <w:r w:rsidRPr="00E3012D">
        <w:t>After technical qualification and before contract execution, Legal and Procurement must complete a mandatory non-scoring gate covering evidence of insurance appropriate to the deployment, material AI/autonomy exclusions, proposed liability caps and applicable personal-injury/death treatment, bodily-injury/property-damage indemnity, output-IP indemnity where relevant, and material pending litigation or regulatory actions. These checks do not alter ASCR-17 security scores. Contractual risk allocation and enforceability are implemented through ASCR-11.</w:t>
      </w:r>
    </w:p>
    <w:p w14:paraId="27989DEB" w14:textId="77777777" w:rsidR="00875D22" w:rsidRPr="00E3012D" w:rsidRDefault="00000000">
      <w:pPr>
        <w:pStyle w:val="Heading3"/>
        <w:rPr>
          <w:color w:val="auto"/>
        </w:rPr>
      </w:pPr>
      <w:r w:rsidRPr="00E3012D">
        <w:rPr>
          <w:color w:val="auto"/>
        </w:rPr>
        <w:t>1.7 EU AI Act role and duty check</w:t>
      </w:r>
    </w:p>
    <w:p w14:paraId="24EF0B60" w14:textId="77777777" w:rsidR="00875D22" w:rsidRPr="00E3012D" w:rsidRDefault="00000000">
      <w:r w:rsidRPr="00E3012D">
        <w:t>Do not assume that every vendor is the legal provider or that every buyer is only a deployer. For each EU-scoped assessment, record the vendor/operator role for the specific AI system or GPAI model, evaluate applicable provider duties, identify deployer duties under Article 26, and determine whether branding, integration, or substantial modification could cause provider-role reassignment under Article 25. Regulatory-role conclusions are localized through ASCR-02 and do not substitute for counsel.</w:t>
      </w:r>
    </w:p>
    <w:p w14:paraId="019434E6" w14:textId="77777777" w:rsidR="00875D22" w:rsidRPr="00E3012D" w:rsidRDefault="00000000">
      <w:pPr>
        <w:pStyle w:val="Heading2"/>
        <w:rPr>
          <w:color w:val="auto"/>
        </w:rPr>
      </w:pPr>
      <w:r w:rsidRPr="00E3012D">
        <w:rPr>
          <w:color w:val="auto"/>
        </w:rPr>
        <w:t>Section 2 — Dimension 1: Model development pipeline integrity</w:t>
      </w:r>
    </w:p>
    <w:p w14:paraId="2DBE18EC" w14:textId="77777777" w:rsidR="00875D22" w:rsidRPr="00E3012D" w:rsidRDefault="00000000">
      <w:pPr>
        <w:pStyle w:val="Heading3"/>
        <w:rPr>
          <w:color w:val="auto"/>
        </w:rPr>
      </w:pPr>
      <w:r w:rsidRPr="00E3012D">
        <w:rPr>
          <w:color w:val="auto"/>
        </w:rPr>
        <w:t>2.1 Assessment objective</w:t>
      </w:r>
    </w:p>
    <w:p w14:paraId="70CEE681" w14:textId="77777777" w:rsidR="00875D22" w:rsidRPr="00E3012D" w:rsidRDefault="00000000">
      <w:pPr>
        <w:pBdr>
          <w:top w:val="nil"/>
          <w:left w:val="nil"/>
          <w:bottom w:val="nil"/>
          <w:right w:val="nil"/>
          <w:between w:val="nil"/>
        </w:pBdr>
        <w:spacing w:before="180" w:after="180"/>
      </w:pPr>
      <w:r w:rsidRPr="00E3012D">
        <w:t xml:space="preserve">Pipeline integrity assessment evaluates whether the vendor’s training and delivery infrastructure can resist sophisticated supply chain attacks. This evaluation specifically targets the compromise pattern demonstrated by the </w:t>
      </w:r>
      <w:proofErr w:type="spellStart"/>
      <w:r w:rsidRPr="00E3012D">
        <w:t>xz</w:t>
      </w:r>
      <w:proofErr w:type="spellEnd"/>
      <w:r w:rsidRPr="00E3012D">
        <w:t>-utils backdoor (CVE-2024-3094), where a trusted maintainer introduced malicious code into a widely deployed open-source dependency through a long-term supply-chain compromise campaign. This compromise pattern is documented in the ASCR-15 adversary profiles. In this pattern, the adversary bypasses direct vendor defenses by compromising a transitive dependency within a trusted open-source build pipeline.</w:t>
      </w:r>
    </w:p>
    <w:p w14:paraId="4C6DE739" w14:textId="77777777" w:rsidR="00875D22" w:rsidRPr="00E3012D" w:rsidRDefault="00000000">
      <w:pPr>
        <w:pBdr>
          <w:top w:val="nil"/>
          <w:left w:val="nil"/>
          <w:bottom w:val="nil"/>
          <w:right w:val="nil"/>
          <w:between w:val="nil"/>
        </w:pBdr>
        <w:spacing w:before="180" w:after="180"/>
      </w:pPr>
      <w:r w:rsidRPr="00E3012D">
        <w:t>The assessment evaluates six sub-dimensions of pipeline integrity.</w:t>
      </w:r>
    </w:p>
    <w:p w14:paraId="2F4C5DC9" w14:textId="77777777" w:rsidR="00875D22" w:rsidRPr="00E3012D" w:rsidRDefault="00000000">
      <w:pPr>
        <w:pStyle w:val="Heading3"/>
        <w:rPr>
          <w:color w:val="auto"/>
        </w:rPr>
      </w:pPr>
      <w:r w:rsidRPr="00E3012D">
        <w:rPr>
          <w:color w:val="auto"/>
        </w:rPr>
        <w:lastRenderedPageBreak/>
        <w:t>2.2 Sub-dimensions and evidence requirements</w:t>
      </w:r>
    </w:p>
    <w:p w14:paraId="1FB6A6F6" w14:textId="77777777" w:rsidR="00875D22" w:rsidRPr="00E3012D" w:rsidRDefault="00000000">
      <w:pPr>
        <w:pBdr>
          <w:top w:val="nil"/>
          <w:left w:val="nil"/>
          <w:bottom w:val="nil"/>
          <w:right w:val="nil"/>
          <w:between w:val="nil"/>
        </w:pBdr>
        <w:spacing w:before="180" w:after="180"/>
      </w:pPr>
      <w:r w:rsidRPr="00E3012D">
        <w:rPr>
          <w:rFonts w:ascii="Cambria" w:eastAsia="Cambria" w:hAnsi="Cambria" w:cs="Cambria"/>
          <w:b/>
          <w:bCs/>
        </w:rPr>
        <w:t xml:space="preserve">SD-1.1 — Build Pipeline Access Control The vendor must demonstrate that write access to model training, fine-tuning, and artifact compilation pipelines is restricted to authorized personnel through multi-factor authentication, access review processes, and audit logging. The SolarWinds supply chain compromise entered through a build pipeline with insufficient access segregation. The </w:t>
      </w:r>
      <w:proofErr w:type="spellStart"/>
      <w:r w:rsidRPr="00E3012D">
        <w:rPr>
          <w:rFonts w:ascii="Cambria" w:eastAsia="Cambria" w:hAnsi="Cambria" w:cs="Cambria"/>
          <w:b/>
          <w:bCs/>
        </w:rPr>
        <w:t>xz</w:t>
      </w:r>
      <w:proofErr w:type="spellEnd"/>
      <w:r w:rsidRPr="00E3012D">
        <w:rPr>
          <w:rFonts w:ascii="Cambria" w:eastAsia="Cambria" w:hAnsi="Cambria" w:cs="Cambria"/>
          <w:b/>
          <w:bCs/>
        </w:rPr>
        <w:t>-utils compromise entered through a social engineering campaign targeting a maintainer with merge authority. Both attack patterns required adversary influence over trusted build or maintainer authority. Downstream organizations generally had limited visibility into the pre-delivery vendor environment, and post-delivery controls alone could not establish the build-pipeline access-control posture that existed when the artifact was created. SD-1.1 therefore makes objective evidence of those vendor controls a procurement requirement rather than assuming downstream artifact inspection can substitute for pipeline assurance.</w:t>
      </w:r>
    </w:p>
    <w:p w14:paraId="3D2FF506" w14:textId="77777777" w:rsidR="00875D22" w:rsidRPr="00E3012D" w:rsidRDefault="00000000">
      <w:pPr>
        <w:pBdr>
          <w:top w:val="nil"/>
          <w:left w:val="nil"/>
          <w:bottom w:val="nil"/>
          <w:right w:val="nil"/>
          <w:between w:val="nil"/>
        </w:pBdr>
        <w:spacing w:before="180" w:after="180"/>
      </w:pPr>
      <w:r w:rsidRPr="00E3012D">
        <w:rPr>
          <w:rFonts w:ascii="Cambria" w:eastAsia="Cambria" w:hAnsi="Cambria" w:cs="Cambria"/>
          <w:i/>
          <w:iCs/>
        </w:rPr>
        <w:t>Evidence required (Tier 1):</w:t>
      </w:r>
    </w:p>
    <w:p w14:paraId="73D7AFDB" w14:textId="77777777" w:rsidR="00875D22" w:rsidRPr="00E3012D" w:rsidRDefault="00000000">
      <w:pPr>
        <w:numPr>
          <w:ilvl w:val="0"/>
          <w:numId w:val="12"/>
        </w:numPr>
      </w:pPr>
      <w:r w:rsidRPr="00E3012D">
        <w:rPr>
          <w:i/>
          <w:iCs/>
        </w:rPr>
        <w:t>Access control architecture documentation.</w:t>
      </w:r>
    </w:p>
    <w:p w14:paraId="34826C1B" w14:textId="77777777" w:rsidR="00875D22" w:rsidRPr="00E3012D" w:rsidRDefault="00000000">
      <w:pPr>
        <w:numPr>
          <w:ilvl w:val="0"/>
          <w:numId w:val="12"/>
        </w:numPr>
      </w:pPr>
      <w:r w:rsidRPr="00E3012D">
        <w:rPr>
          <w:i/>
          <w:iCs/>
        </w:rPr>
        <w:t>Privileged access review records for the trailing 12 months.</w:t>
      </w:r>
    </w:p>
    <w:p w14:paraId="0A7A11EB" w14:textId="77777777" w:rsidR="00875D22" w:rsidRPr="00E3012D" w:rsidRDefault="00000000">
      <w:pPr>
        <w:numPr>
          <w:ilvl w:val="0"/>
          <w:numId w:val="12"/>
        </w:numPr>
      </w:pPr>
      <w:r w:rsidRPr="00E3012D">
        <w:t>IdP policy export or configuration screenshot showing MFA enforced on the pipeline-write group, plus a sample privileged-access review record.</w:t>
      </w:r>
    </w:p>
    <w:p w14:paraId="080E0A24" w14:textId="77777777" w:rsidR="00875D22" w:rsidRPr="00E3012D" w:rsidRDefault="00000000">
      <w:pPr>
        <w:numPr>
          <w:ilvl w:val="0"/>
          <w:numId w:val="12"/>
        </w:numPr>
      </w:pPr>
      <w:r w:rsidRPr="00E3012D">
        <w:rPr>
          <w:i/>
          <w:iCs/>
        </w:rPr>
        <w:t>Separation of duties evidence confirming distinct authorized roles for model training, fine-tuning, and artifact signing.</w:t>
      </w:r>
    </w:p>
    <w:p w14:paraId="1DA7A92C" w14:textId="77777777" w:rsidR="00875D22" w:rsidRPr="00E3012D" w:rsidRDefault="00000000">
      <w:pPr>
        <w:pBdr>
          <w:top w:val="nil"/>
          <w:left w:val="nil"/>
          <w:bottom w:val="nil"/>
          <w:right w:val="nil"/>
          <w:between w:val="nil"/>
        </w:pBdr>
        <w:spacing w:before="180" w:after="180"/>
      </w:pPr>
      <w:r w:rsidRPr="00E3012D">
        <w:rPr>
          <w:rFonts w:ascii="Cambria" w:eastAsia="Cambria" w:hAnsi="Cambria" w:cs="Cambria"/>
          <w:i/>
          <w:iCs/>
        </w:rPr>
        <w:t>Critical failure threshold:</w:t>
      </w:r>
      <w:r w:rsidRPr="00E3012D">
        <w:rPr>
          <w:rFonts w:ascii="Cambria" w:eastAsia="Cambria" w:hAnsi="Cambria" w:cs="Cambria"/>
        </w:rPr>
        <w:t xml:space="preserve"> Pipeline write access not gated by multi-factor authentication; no documented access review process; single individual with concurrent authority over model training, fine-tuning, and artifact signing.</w:t>
      </w:r>
    </w:p>
    <w:p w14:paraId="4411C943" w14:textId="77777777" w:rsidR="00875D22" w:rsidRPr="00E3012D" w:rsidRDefault="00000000">
      <w:pPr>
        <w:pBdr>
          <w:top w:val="nil"/>
          <w:left w:val="nil"/>
          <w:bottom w:val="nil"/>
          <w:right w:val="nil"/>
          <w:between w:val="nil"/>
        </w:pBdr>
        <w:spacing w:before="180" w:after="180"/>
      </w:pPr>
      <w:r w:rsidRPr="00E3012D">
        <w:rPr>
          <w:rFonts w:ascii="Cambria" w:eastAsia="Cambria" w:hAnsi="Cambria" w:cs="Cambria"/>
          <w:b/>
          <w:bCs/>
        </w:rPr>
        <w:t xml:space="preserve">SD-1.2 — Dependency Chain Integrity The vendor must track, version-pin, and hash-verify the open-source and third-party dependencies required by the applicable tier and component scope across the model training pipeline, fine-tuning infrastructure, and compilation toolchain. Tier 1 vendors, and lower-tier vendors explicitly elevated to Tier 1 dependency depth, must extend the inventory to at least three transitive levels, with deeper enumeration for critical functions as specified in Dimension 2. Ordinary Tier 2 and Tier 3 assessments use the reduced dependency depth defined in Section 1.2 and DIM2-TD. The </w:t>
      </w:r>
      <w:proofErr w:type="spellStart"/>
      <w:r w:rsidRPr="00E3012D">
        <w:rPr>
          <w:rFonts w:ascii="Cambria" w:eastAsia="Cambria" w:hAnsi="Cambria" w:cs="Cambria"/>
          <w:b/>
          <w:bCs/>
        </w:rPr>
        <w:t>xz</w:t>
      </w:r>
      <w:proofErr w:type="spellEnd"/>
      <w:r w:rsidRPr="00E3012D">
        <w:rPr>
          <w:rFonts w:ascii="Cambria" w:eastAsia="Cambria" w:hAnsi="Cambria" w:cs="Cambria"/>
          <w:b/>
          <w:bCs/>
        </w:rPr>
        <w:t>-utils compromise illustrates why shallow inventories can miss compromise below the top-level dependency record.</w:t>
      </w:r>
    </w:p>
    <w:p w14:paraId="7962E5BB" w14:textId="77777777" w:rsidR="00875D22" w:rsidRPr="00E3012D" w:rsidRDefault="00000000">
      <w:pPr>
        <w:pBdr>
          <w:top w:val="nil"/>
          <w:left w:val="nil"/>
          <w:bottom w:val="nil"/>
          <w:right w:val="nil"/>
          <w:between w:val="nil"/>
        </w:pBdr>
        <w:spacing w:before="180" w:after="180"/>
      </w:pPr>
      <w:r w:rsidRPr="00E3012D">
        <w:rPr>
          <w:rFonts w:ascii="Cambria" w:eastAsia="Cambria" w:hAnsi="Cambria" w:cs="Cambria"/>
          <w:i/>
          <w:iCs/>
        </w:rPr>
        <w:t>Evidence required (Tier 1):</w:t>
      </w:r>
    </w:p>
    <w:p w14:paraId="62142154" w14:textId="77777777" w:rsidR="00875D22" w:rsidRPr="00E3012D" w:rsidRDefault="00000000">
      <w:pPr>
        <w:numPr>
          <w:ilvl w:val="0"/>
          <w:numId w:val="13"/>
        </w:numPr>
      </w:pPr>
      <w:r w:rsidRPr="00E3012D">
        <w:rPr>
          <w:i/>
          <w:iCs/>
        </w:rPr>
        <w:lastRenderedPageBreak/>
        <w:t>Dependency inventory for the model training and compilation toolchain, including hash verification records.</w:t>
      </w:r>
    </w:p>
    <w:p w14:paraId="394F9105" w14:textId="77777777" w:rsidR="00875D22" w:rsidRPr="00E3012D" w:rsidRDefault="00000000">
      <w:pPr>
        <w:numPr>
          <w:ilvl w:val="0"/>
          <w:numId w:val="13"/>
        </w:numPr>
      </w:pPr>
      <w:r w:rsidRPr="00E3012D">
        <w:rPr>
          <w:i/>
          <w:iCs/>
        </w:rPr>
        <w:t>Transitive dependency disclosure to a minimum depth of three levels.</w:t>
      </w:r>
    </w:p>
    <w:p w14:paraId="3C7B502C" w14:textId="77777777" w:rsidR="00875D22" w:rsidRPr="00E3012D" w:rsidRDefault="00000000">
      <w:pPr>
        <w:numPr>
          <w:ilvl w:val="0"/>
          <w:numId w:val="13"/>
        </w:numPr>
      </w:pPr>
      <w:r w:rsidRPr="00E3012D">
        <w:rPr>
          <w:i/>
          <w:iCs/>
        </w:rPr>
        <w:t>Process documentation for dependency update authorization and verification.</w:t>
      </w:r>
    </w:p>
    <w:p w14:paraId="61BF7C47" w14:textId="77777777" w:rsidR="00875D22" w:rsidRPr="00E3012D" w:rsidRDefault="00000000">
      <w:pPr>
        <w:numPr>
          <w:ilvl w:val="0"/>
          <w:numId w:val="13"/>
        </w:numPr>
      </w:pPr>
      <w:r w:rsidRPr="00E3012D">
        <w:rPr>
          <w:i/>
          <w:iCs/>
        </w:rPr>
        <w:t>Evidence of continuous dependency vulnerability scanning paired with defined remediation SLAs.</w:t>
      </w:r>
    </w:p>
    <w:p w14:paraId="0A0F96E6" w14:textId="77777777" w:rsidR="00875D22" w:rsidRPr="00E3012D" w:rsidRDefault="00000000">
      <w:pPr>
        <w:pBdr>
          <w:top w:val="nil"/>
          <w:left w:val="nil"/>
          <w:bottom w:val="nil"/>
          <w:right w:val="nil"/>
          <w:between w:val="nil"/>
        </w:pBdr>
        <w:spacing w:before="180" w:after="180"/>
      </w:pPr>
      <w:r w:rsidRPr="00E3012D">
        <w:rPr>
          <w:rFonts w:ascii="Cambria" w:eastAsia="Cambria" w:hAnsi="Cambria" w:cs="Cambria"/>
          <w:i/>
          <w:iCs/>
        </w:rPr>
        <w:t>Critical failure threshold for Tier 1 and lower-tier vendors explicitly elevated to Tier 1 dependency depth: no required transitive dependency inventory; dependency updates not hash-verified; or no documented process for dependency update authorization. For ordinary Tier 2 and Tier 3 assessments, score dependency-depth and update-control gaps under the 1-4 scale unless another explicit Critical Failure condition is independently met.</w:t>
      </w:r>
    </w:p>
    <w:p w14:paraId="131CA6A3" w14:textId="77777777" w:rsidR="00875D22" w:rsidRPr="00E3012D" w:rsidRDefault="00000000">
      <w:pPr>
        <w:pBdr>
          <w:top w:val="nil"/>
          <w:left w:val="nil"/>
          <w:bottom w:val="nil"/>
          <w:right w:val="nil"/>
          <w:between w:val="nil"/>
        </w:pBdr>
        <w:spacing w:before="180" w:after="180"/>
      </w:pPr>
      <w:r w:rsidRPr="00E3012D">
        <w:rPr>
          <w:rFonts w:ascii="Cambria" w:eastAsia="Cambria" w:hAnsi="Cambria" w:cs="Cambria"/>
          <w:b/>
          <w:bCs/>
        </w:rPr>
        <w:t>SD-1.3 — Artifact Signing and Provenance</w:t>
      </w:r>
      <w:r w:rsidRPr="00E3012D">
        <w:rPr>
          <w:rFonts w:ascii="Cambria" w:eastAsia="Cambria" w:hAnsi="Cambria" w:cs="Cambria"/>
        </w:rPr>
        <w:t xml:space="preserve"> The vendor must demonstrate that every model artifact release is cryptographically signed by a key whose custody is controlled by a defined key management process, and that the signing key is isolated from the model training and fine-tuning infrastructure. If the signing key lives in the same infrastructure that trains and compiles the artifact, a pipeline compromise owns both the artifact and its signature. The key must be isolated.</w:t>
      </w:r>
    </w:p>
    <w:p w14:paraId="4D316DB7" w14:textId="77777777" w:rsidR="00875D22" w:rsidRPr="00E3012D" w:rsidRDefault="00000000">
      <w:pPr>
        <w:pBdr>
          <w:top w:val="nil"/>
          <w:left w:val="nil"/>
          <w:bottom w:val="nil"/>
          <w:right w:val="nil"/>
          <w:between w:val="nil"/>
        </w:pBdr>
        <w:spacing w:before="180" w:after="180"/>
      </w:pPr>
      <w:r w:rsidRPr="00E3012D">
        <w:rPr>
          <w:rFonts w:ascii="Cambria" w:eastAsia="Cambria" w:hAnsi="Cambria" w:cs="Cambria"/>
          <w:i/>
          <w:iCs/>
        </w:rPr>
        <w:t>Evidence required (Tier 1):</w:t>
      </w:r>
    </w:p>
    <w:p w14:paraId="7C4AEFA7" w14:textId="77777777" w:rsidR="00875D22" w:rsidRPr="00E3012D" w:rsidRDefault="00000000">
      <w:pPr>
        <w:numPr>
          <w:ilvl w:val="0"/>
          <w:numId w:val="14"/>
        </w:numPr>
      </w:pPr>
      <w:r w:rsidRPr="00E3012D">
        <w:rPr>
          <w:i/>
          <w:iCs/>
        </w:rPr>
        <w:t>Signing key management documentation.</w:t>
      </w:r>
    </w:p>
    <w:p w14:paraId="61D8C244" w14:textId="77777777" w:rsidR="00875D22" w:rsidRPr="00E3012D" w:rsidRDefault="00000000">
      <w:pPr>
        <w:numPr>
          <w:ilvl w:val="0"/>
          <w:numId w:val="14"/>
        </w:numPr>
      </w:pPr>
      <w:r w:rsidRPr="00E3012D">
        <w:rPr>
          <w:i/>
          <w:iCs/>
        </w:rPr>
        <w:t>Evidence of key isolation from the training and fine-tuning infrastructure.</w:t>
      </w:r>
    </w:p>
    <w:p w14:paraId="53A19A6C" w14:textId="77777777" w:rsidR="00875D22" w:rsidRPr="00E3012D" w:rsidRDefault="00000000">
      <w:pPr>
        <w:numPr>
          <w:ilvl w:val="0"/>
          <w:numId w:val="14"/>
        </w:numPr>
      </w:pPr>
      <w:r w:rsidRPr="00E3012D">
        <w:rPr>
          <w:i/>
          <w:iCs/>
        </w:rPr>
        <w:t>Certificate authority and trust chain documentation.</w:t>
      </w:r>
    </w:p>
    <w:p w14:paraId="79ADF467" w14:textId="77777777" w:rsidR="00875D22" w:rsidRPr="00E3012D" w:rsidRDefault="00000000">
      <w:pPr>
        <w:numPr>
          <w:ilvl w:val="0"/>
          <w:numId w:val="14"/>
        </w:numPr>
      </w:pPr>
      <w:r w:rsidRPr="00E3012D">
        <w:rPr>
          <w:i/>
          <w:iCs/>
        </w:rPr>
        <w:t>Revocation process for compromised signing keys, detailing the maximum revocation propagation time.</w:t>
      </w:r>
    </w:p>
    <w:p w14:paraId="21860516" w14:textId="77777777" w:rsidR="00875D22" w:rsidRPr="00E3012D" w:rsidRDefault="00000000">
      <w:pPr>
        <w:numPr>
          <w:ilvl w:val="0"/>
          <w:numId w:val="14"/>
        </w:numPr>
      </w:pPr>
      <w:r w:rsidRPr="00E3012D">
        <w:t>Objective evidence that the vendor can supply the signed-artifact and provenance inputs required by the deploying organization’s ASCR-16 lineage-token process, such as artifact signatures and key metadata, AI-BOM delta/provenance records, and verifier-compatible evidence. Where the vendor contractually operates ASCR-16 EP-17, a controlled lineage-token generation demonstration or signed sample token may satisfy this requirement.</w:t>
      </w:r>
    </w:p>
    <w:p w14:paraId="2D7DE599" w14:textId="77777777" w:rsidR="00875D22" w:rsidRPr="00E3012D" w:rsidRDefault="00000000">
      <w:pPr>
        <w:pBdr>
          <w:top w:val="nil"/>
          <w:left w:val="nil"/>
          <w:bottom w:val="nil"/>
          <w:right w:val="nil"/>
          <w:between w:val="nil"/>
        </w:pBdr>
        <w:spacing w:before="180" w:after="180"/>
      </w:pPr>
      <w:r w:rsidRPr="00E3012D">
        <w:rPr>
          <w:rFonts w:ascii="Cambria" w:eastAsia="Cambria" w:hAnsi="Cambria" w:cs="Cambria"/>
          <w:i/>
          <w:iCs/>
        </w:rPr>
        <w:t>Critical failure threshold:</w:t>
      </w:r>
      <w:r w:rsidRPr="00E3012D">
        <w:rPr>
          <w:rFonts w:ascii="Cambria" w:eastAsia="Cambria" w:hAnsi="Cambria" w:cs="Cambria"/>
        </w:rPr>
        <w:t xml:space="preserve"> Signing key accessible from model training or fine-tuning infrastructure; no documented key management process; inability to provide verifiable signed-artifact and provenance inputs required by the deployment’s ASCR-16 lineage-token process.</w:t>
      </w:r>
    </w:p>
    <w:p w14:paraId="51DDF8CC" w14:textId="77777777" w:rsidR="00875D22" w:rsidRPr="00E3012D" w:rsidRDefault="00000000">
      <w:pPr>
        <w:pBdr>
          <w:top w:val="nil"/>
          <w:left w:val="nil"/>
          <w:bottom w:val="nil"/>
          <w:right w:val="nil"/>
          <w:between w:val="nil"/>
        </w:pBdr>
        <w:spacing w:before="180" w:after="180"/>
      </w:pPr>
      <w:r w:rsidRPr="00E3012D">
        <w:lastRenderedPageBreak/>
        <w:t>SD-1.4 — Behavioral Testing Coverage for Trigger-Conditional Modifications The vendor must demonstrate that their pre-release model evaluation includes advanced model validation such as mechanistic interpretability scans, representation engineering, or targeted trigger-synthesis red teaming, designed to identify latent trigger-conditional vulnerabilities that standard behavioral benchmarks fail to detect. These are modifications where the model performs correctly under standard evaluation conditions but exhibits adversarially directed behavior when specific trigger conditions are met. Standard benchmark evaluation is not designed to reliably detect trigger-conditional modifications and may miss them when the activating conditions are absent from the evaluation set. For instance, in the Port Paralysis scenario the Predictive Maintenance Agent passed all standard acceptance testing precisely because the trigger condition was never encountered during evaluation.</w:t>
      </w:r>
    </w:p>
    <w:p w14:paraId="4B9E7842" w14:textId="77777777" w:rsidR="00875D22" w:rsidRPr="00E3012D" w:rsidRDefault="00000000">
      <w:pPr>
        <w:pBdr>
          <w:top w:val="nil"/>
          <w:left w:val="nil"/>
          <w:bottom w:val="nil"/>
          <w:right w:val="nil"/>
          <w:between w:val="nil"/>
        </w:pBdr>
        <w:spacing w:before="180" w:after="180"/>
      </w:pPr>
      <w:r w:rsidRPr="00E3012D">
        <w:rPr>
          <w:rFonts w:ascii="Cambria" w:eastAsia="Cambria" w:hAnsi="Cambria" w:cs="Cambria"/>
          <w:i/>
          <w:iCs/>
        </w:rPr>
        <w:t>Evidence required (Tier 1):</w:t>
      </w:r>
      <w:r w:rsidRPr="00E3012D">
        <w:rPr>
          <w:rFonts w:ascii="Cambria" w:eastAsia="Cambria" w:hAnsi="Cambria" w:cs="Cambria"/>
        </w:rPr>
        <w:t xml:space="preserve"> Description of adversarial behavioral testing methodology includes the acceptance of red-team hypothesis-driven testing utilizing differential behavioral analysis between evaluation and production input distributions. Acceptable evidence forms for SD-1.4 include:</w:t>
      </w:r>
    </w:p>
    <w:p w14:paraId="19786720" w14:textId="77777777" w:rsidR="00875D22" w:rsidRPr="00E3012D" w:rsidRDefault="00000000">
      <w:pPr>
        <w:numPr>
          <w:ilvl w:val="0"/>
          <w:numId w:val="2"/>
        </w:numPr>
      </w:pPr>
      <w:r w:rsidRPr="00E3012D">
        <w:t>Third-party red team report from an organization that did not develop the model, covering trigger-conditional methodology;</w:t>
      </w:r>
    </w:p>
    <w:p w14:paraId="3B1906B9" w14:textId="77777777" w:rsidR="00875D22" w:rsidRPr="00E3012D" w:rsidRDefault="00000000">
      <w:pPr>
        <w:numPr>
          <w:ilvl w:val="0"/>
          <w:numId w:val="2"/>
        </w:numPr>
      </w:pPr>
      <w:r w:rsidRPr="00E3012D">
        <w:t>Published peer-reviewed evaluation results covering adversarial behavioral testing;</w:t>
      </w:r>
    </w:p>
    <w:p w14:paraId="4A23C7B7" w14:textId="77777777" w:rsidR="00875D22" w:rsidRPr="00E3012D" w:rsidRDefault="00000000">
      <w:pPr>
        <w:numPr>
          <w:ilvl w:val="0"/>
          <w:numId w:val="2"/>
        </w:numPr>
      </w:pPr>
      <w:r w:rsidRPr="00E3012D">
        <w:t>Regulatory conformity-assessment evidence under EU AI Act Article 43 where legally applicable and available; until applicable conformity evidence exists, use an independent third-party adversarial/robustness evaluation covering the same operational attack surface.</w:t>
      </w:r>
    </w:p>
    <w:p w14:paraId="59B18F85" w14:textId="77777777" w:rsidR="00875D22" w:rsidRPr="00E3012D" w:rsidRDefault="00000000">
      <w:pPr>
        <w:pBdr>
          <w:top w:val="nil"/>
          <w:left w:val="nil"/>
          <w:bottom w:val="nil"/>
          <w:right w:val="nil"/>
          <w:between w:val="nil"/>
        </w:pBdr>
        <w:spacing w:before="180" w:after="180"/>
      </w:pPr>
      <w:r w:rsidRPr="00E3012D">
        <w:rPr>
          <w:rFonts w:ascii="Cambria" w:eastAsia="Cambria" w:hAnsi="Cambria" w:cs="Cambria"/>
        </w:rPr>
        <w:t>Vendor-authored internal reports, benchmark leaderboard entries, and marketing white papers do not satisfy this requirement.</w:t>
      </w:r>
    </w:p>
    <w:p w14:paraId="0BDBCB91" w14:textId="77777777" w:rsidR="00875D22" w:rsidRPr="00E3012D" w:rsidRDefault="00000000">
      <w:pPr>
        <w:pBdr>
          <w:top w:val="nil"/>
          <w:left w:val="nil"/>
          <w:bottom w:val="nil"/>
          <w:right w:val="nil"/>
          <w:between w:val="nil"/>
        </w:pBdr>
        <w:spacing w:before="180" w:after="180"/>
      </w:pPr>
      <w:r w:rsidRPr="00E3012D">
        <w:t xml:space="preserve">Evidence that testing scope covers the operational conditions in the deploying organization's ASCR-01 risk profile as potential trigger conditions. Objective test records must show that testing used adversarially crafted inputs designed to activate plausible trigger conditions, not only benign variation. Testing results from the most recent model release cycle must include vendor-native objective-state and behavioral-change indicators that can be mapped to the deployment's ASCR-07 </w:t>
      </w:r>
      <w:proofErr w:type="spellStart"/>
      <w:r w:rsidRPr="00E3012D">
        <w:t>goal_hash</w:t>
      </w:r>
      <w:proofErr w:type="spellEnd"/>
      <w:r w:rsidRPr="00E3012D">
        <w:t xml:space="preserve"> and </w:t>
      </w:r>
      <w:proofErr w:type="spellStart"/>
      <w:r w:rsidRPr="00E3012D">
        <w:t>plan_delta_summary</w:t>
      </w:r>
      <w:proofErr w:type="spellEnd"/>
      <w:r w:rsidRPr="00E3012D">
        <w:t xml:space="preserve"> semantics, or those ASCR fields where the vendor already implements them. The mapping must be documented. These records support an assessment of whether the deployment's ASCR-07 monitoring thresholds would have surfaced the tested manipulation under the evaluated conditions; they do not establish detection coverage outside that tested envelope.</w:t>
      </w:r>
    </w:p>
    <w:p w14:paraId="0A1D42E2" w14:textId="77777777" w:rsidR="00875D22" w:rsidRPr="00E3012D" w:rsidRDefault="00000000">
      <w:pPr>
        <w:pBdr>
          <w:top w:val="nil"/>
          <w:left w:val="nil"/>
          <w:bottom w:val="nil"/>
          <w:right w:val="nil"/>
          <w:between w:val="nil"/>
        </w:pBdr>
        <w:spacing w:before="180" w:after="180"/>
      </w:pPr>
      <w:r w:rsidRPr="00E3012D">
        <w:rPr>
          <w:rFonts w:ascii="Cambria" w:eastAsia="Cambria" w:hAnsi="Cambria" w:cs="Cambria"/>
        </w:rPr>
        <w:t>Vendors must provide:</w:t>
      </w:r>
    </w:p>
    <w:p w14:paraId="1F9B9D56" w14:textId="77777777" w:rsidR="00875D22" w:rsidRPr="00E3012D" w:rsidRDefault="00000000">
      <w:pPr>
        <w:numPr>
          <w:ilvl w:val="0"/>
          <w:numId w:val="3"/>
        </w:numPr>
      </w:pPr>
      <w:r w:rsidRPr="00E3012D">
        <w:lastRenderedPageBreak/>
        <w:t xml:space="preserve">the vendor-native objective-state and behavioral-change indicators used during testing, with a documented mapping to ASCR-07 </w:t>
      </w:r>
      <w:proofErr w:type="spellStart"/>
      <w:r w:rsidRPr="00E3012D">
        <w:t>goal_hash</w:t>
      </w:r>
      <w:proofErr w:type="spellEnd"/>
      <w:r w:rsidRPr="00E3012D">
        <w:t xml:space="preserve"> and </w:t>
      </w:r>
      <w:proofErr w:type="spellStart"/>
      <w:r w:rsidRPr="00E3012D">
        <w:t>plan_delta_summary</w:t>
      </w:r>
      <w:proofErr w:type="spellEnd"/>
      <w:r w:rsidRPr="00E3012D">
        <w:t xml:space="preserve"> semantics, or the literal ASCR fields where already supported;</w:t>
      </w:r>
    </w:p>
    <w:p w14:paraId="2FEFBFCA" w14:textId="77777777" w:rsidR="00875D22" w:rsidRPr="00E3012D" w:rsidRDefault="00000000">
      <w:pPr>
        <w:numPr>
          <w:ilvl w:val="0"/>
          <w:numId w:val="3"/>
        </w:numPr>
      </w:pPr>
      <w:r w:rsidRPr="00E3012D">
        <w:t>the deployment-specific comparison or alert threshold applied to those mapped indicators, together with the number of adversarial test cases executed per input modality or scenario; and</w:t>
      </w:r>
    </w:p>
    <w:p w14:paraId="1B9D702B" w14:textId="77777777" w:rsidR="00875D22" w:rsidRPr="00E3012D" w:rsidRDefault="00000000">
      <w:pPr>
        <w:numPr>
          <w:ilvl w:val="0"/>
          <w:numId w:val="3"/>
        </w:numPr>
      </w:pPr>
      <w:r w:rsidRPr="00E3012D">
        <w:t>a pass/fail determination against documented acceptance criteria, including the transformation or comparison used to relate vendor-native indicators to the deploying organization’s monitoring baseline.</w:t>
      </w:r>
    </w:p>
    <w:p w14:paraId="01E4D58D" w14:textId="77777777" w:rsidR="00875D22" w:rsidRPr="00E3012D" w:rsidRDefault="00000000">
      <w:pPr>
        <w:pBdr>
          <w:top w:val="nil"/>
          <w:left w:val="nil"/>
          <w:bottom w:val="nil"/>
          <w:right w:val="nil"/>
          <w:between w:val="nil"/>
        </w:pBdr>
        <w:spacing w:before="180" w:after="180"/>
      </w:pPr>
      <w:r w:rsidRPr="00E3012D">
        <w:rPr>
          <w:rFonts w:ascii="Cambria" w:eastAsia="Cambria" w:hAnsi="Cambria" w:cs="Cambria"/>
        </w:rPr>
        <w:t>Without this mapping, threshold/criteria, and test-volume information, the assessor cannot meaningfully compare vendor test results with the deployment monitoring baseline.</w:t>
      </w:r>
    </w:p>
    <w:p w14:paraId="42E130FA" w14:textId="77777777" w:rsidR="00875D22" w:rsidRPr="00E3012D" w:rsidRDefault="00000000">
      <w:pPr>
        <w:pBdr>
          <w:top w:val="nil"/>
          <w:left w:val="nil"/>
          <w:bottom w:val="nil"/>
          <w:right w:val="nil"/>
          <w:between w:val="nil"/>
        </w:pBdr>
        <w:spacing w:before="180" w:after="180"/>
      </w:pPr>
      <w:r w:rsidRPr="00E3012D">
        <w:rPr>
          <w:rFonts w:ascii="Cambria" w:eastAsia="Cambria" w:hAnsi="Cambria" w:cs="Cambria"/>
          <w:i/>
          <w:iCs/>
        </w:rPr>
        <w:t>Critical failure threshold:</w:t>
      </w:r>
      <w:r w:rsidRPr="00E3012D">
        <w:rPr>
          <w:rFonts w:ascii="Cambria" w:eastAsia="Cambria" w:hAnsi="Cambria" w:cs="Cambria"/>
        </w:rPr>
        <w:t xml:space="preserve"> No adversarial behavioral testing beyond standard benchmark evaluation; no documented testing coverage for trigger-conditional modification detection. The AI-BOM checklist columns in ASCR-17-OE01-Vendor-Assessment-Workbook.xlsx (DIM1_Pipeline_Integrity tab, SD-1.4 row) document the acceptable evidence forms and CF trigger for this sub-dimension. Use them during the assessment session to capture evidence-classification decisions.</w:t>
      </w:r>
    </w:p>
    <w:p w14:paraId="5420CDD9" w14:textId="77777777" w:rsidR="00875D22" w:rsidRPr="00E3012D" w:rsidRDefault="00000000">
      <w:pPr>
        <w:pBdr>
          <w:top w:val="nil"/>
          <w:left w:val="nil"/>
          <w:bottom w:val="nil"/>
          <w:right w:val="nil"/>
          <w:between w:val="nil"/>
        </w:pBdr>
        <w:spacing w:before="180" w:after="180"/>
      </w:pPr>
      <w:r w:rsidRPr="00E3012D">
        <w:t>SD-1.5 - Incident History and Disclosure Track Record The vendor must provide a signed statement covering known supply-chain compromise, unauthorized modification, or adversarial behavioral findings affecting supplied model or software artifacts during the preceding 36 months. The assessor must independently review relevant vendor advisories, NVD/CISA KEV where applicable, regulator disclosures where applicable, and credible public incident disclosures. The 36-month lookback is an ASCR operational default, not a statutory retention period. Continuing disclosure after contract execution is enforced through ASCR-11.</w:t>
      </w:r>
    </w:p>
    <w:p w14:paraId="0985E550" w14:textId="77777777" w:rsidR="00875D22" w:rsidRPr="00E3012D" w:rsidRDefault="00000000">
      <w:pPr>
        <w:pBdr>
          <w:top w:val="nil"/>
          <w:left w:val="nil"/>
          <w:bottom w:val="nil"/>
          <w:right w:val="nil"/>
          <w:between w:val="nil"/>
        </w:pBdr>
        <w:spacing w:before="180" w:after="180"/>
      </w:pPr>
      <w:r w:rsidRPr="00E3012D">
        <w:t>Evidence required (Tier 1): signed 36-month incident statement; CVE/advisory history for relevant components; adversarial-vulnerability disclosure policy; deployer-notification process; and evidence of responsible disclosure handling. Record the independent sources checked and the date of the search.</w:t>
      </w:r>
    </w:p>
    <w:p w14:paraId="70BADB9E" w14:textId="77777777" w:rsidR="00875D22" w:rsidRPr="00E3012D" w:rsidRDefault="00000000">
      <w:pPr>
        <w:pBdr>
          <w:top w:val="nil"/>
          <w:left w:val="nil"/>
          <w:bottom w:val="nil"/>
          <w:right w:val="nil"/>
          <w:between w:val="nil"/>
        </w:pBdr>
        <w:spacing w:before="180" w:after="180"/>
      </w:pPr>
      <w:r w:rsidRPr="00E3012D">
        <w:t>Critical failure threshold: material discrepancy between the signed disclosure and independently verifiable incident evidence; refusal to provide the signed disclosure; no process for notifying deployers of discovered material adversarial vulnerabilities.</w:t>
      </w:r>
    </w:p>
    <w:p w14:paraId="4B882705" w14:textId="77777777" w:rsidR="00875D22" w:rsidRPr="00E3012D" w:rsidRDefault="00000000">
      <w:pPr>
        <w:pStyle w:val="Heading3"/>
        <w:rPr>
          <w:color w:val="auto"/>
        </w:rPr>
      </w:pPr>
      <w:r w:rsidRPr="00E3012D">
        <w:rPr>
          <w:color w:val="auto"/>
        </w:rPr>
        <w:t>SD-1.6 - Model change and version notification</w:t>
      </w:r>
    </w:p>
    <w:p w14:paraId="414DD6F0" w14:textId="77777777" w:rsidR="00875D22" w:rsidRPr="00E3012D" w:rsidRDefault="00000000">
      <w:r w:rsidRPr="00E3012D">
        <w:t xml:space="preserve">The vendor must provide advance notice of material model/checkpoint/serving-configuration changes, a controlled version-selection or pinning mechanism where </w:t>
      </w:r>
      <w:r w:rsidRPr="00E3012D">
        <w:lastRenderedPageBreak/>
        <w:t>technically feasible, a rollback window, deprecation notice, and a record of changes that can affect behavior or evidence baselines. For Tier 1 physical-actuation deployments, inability to control the deployed model version or obtain notice of material behavior-affecting changes is a Critical Failure.</w:t>
      </w:r>
    </w:p>
    <w:p w14:paraId="623B9325" w14:textId="77777777" w:rsidR="00875D22" w:rsidRPr="00E3012D" w:rsidRDefault="00000000">
      <w:pPr>
        <w:pStyle w:val="Heading2"/>
        <w:rPr>
          <w:color w:val="auto"/>
        </w:rPr>
      </w:pPr>
      <w:r w:rsidRPr="00E3012D">
        <w:rPr>
          <w:color w:val="auto"/>
        </w:rPr>
        <w:t>Section 3 — Dimension 2: AI-BOM completeness and currency</w:t>
      </w:r>
    </w:p>
    <w:p w14:paraId="2288EA1B" w14:textId="77777777" w:rsidR="00875D22" w:rsidRPr="00E3012D" w:rsidRDefault="00000000">
      <w:pPr>
        <w:pStyle w:val="Heading3"/>
        <w:rPr>
          <w:color w:val="auto"/>
        </w:rPr>
      </w:pPr>
      <w:r w:rsidRPr="00E3012D">
        <w:rPr>
          <w:color w:val="auto"/>
        </w:rPr>
        <w:t>3.1 Assessment objective</w:t>
      </w:r>
    </w:p>
    <w:p w14:paraId="7989C45A" w14:textId="77777777" w:rsidR="00875D22" w:rsidRPr="00E3012D" w:rsidRDefault="00000000">
      <w:pPr>
        <w:pBdr>
          <w:top w:val="nil"/>
          <w:left w:val="nil"/>
          <w:bottom w:val="nil"/>
          <w:right w:val="nil"/>
          <w:between w:val="nil"/>
        </w:pBdr>
        <w:spacing w:before="180" w:after="180"/>
      </w:pPr>
      <w:r w:rsidRPr="00E3012D">
        <w:t xml:space="preserve">AI-BOM completeness assessment determines whether the vendor can produce and maintain an AI-BOM that satisfies the four-element content specification in ASCR-10 Section 1.1 for every model artifact they supply. The Port Paralysis (Threat Scenario II) AI-BOM omitted the compromised tensor optimization library because it was a transitive dependency, not a direct one. This failure </w:t>
      </w:r>
      <w:proofErr w:type="gramStart"/>
      <w:r w:rsidRPr="00E3012D">
        <w:t>maps to</w:t>
      </w:r>
      <w:proofErr w:type="gramEnd"/>
      <w:r w:rsidRPr="00E3012D">
        <w:t xml:space="preserve"> Dimension 2 transitive-dependency disclosure. The omission would have been caught by a Tier 1 assessment requiring full compilation toolchain dependency enumeration. An AI-BOM that stops at direct dependencies provides the form of supply chain transparency without </w:t>
      </w:r>
      <w:proofErr w:type="gramStart"/>
      <w:r w:rsidRPr="00E3012D">
        <w:t>the substance</w:t>
      </w:r>
      <w:proofErr w:type="gramEnd"/>
      <w:r w:rsidRPr="00E3012D">
        <w:t>.</w:t>
      </w:r>
    </w:p>
    <w:p w14:paraId="353EB9E4" w14:textId="77777777" w:rsidR="00875D22" w:rsidRPr="00E3012D" w:rsidRDefault="00000000">
      <w:r w:rsidRPr="00E3012D">
        <w:t xml:space="preserve">Accepted machine-readable AI-BOM formats for this ASCR-17 release are SPDX 3.0 using the AI and Dataset profiles, or </w:t>
      </w:r>
      <w:proofErr w:type="spellStart"/>
      <w:r w:rsidRPr="00E3012D">
        <w:t>CycloneDX</w:t>
      </w:r>
      <w:proofErr w:type="spellEnd"/>
      <w:r w:rsidRPr="00E3012D">
        <w:t xml:space="preserve"> 1.6 AI/ML-BOM. The vendor must also provide a model card and a conventional software SBOM for </w:t>
      </w:r>
      <w:proofErr w:type="gramStart"/>
      <w:r w:rsidRPr="00E3012D">
        <w:t>runtime</w:t>
      </w:r>
      <w:proofErr w:type="gramEnd"/>
      <w:r w:rsidRPr="00E3012D">
        <w:t xml:space="preserve"> and build dependencies. The ASCR-10 four-element content specification remains the minimum content checklist regardless of serialization format.</w:t>
      </w:r>
    </w:p>
    <w:p w14:paraId="426E29C8" w14:textId="77777777" w:rsidR="00875D22" w:rsidRPr="00E3012D" w:rsidRDefault="00000000">
      <w:pPr>
        <w:pStyle w:val="Heading3"/>
        <w:rPr>
          <w:color w:val="auto"/>
        </w:rPr>
      </w:pPr>
      <w:r w:rsidRPr="00E3012D">
        <w:rPr>
          <w:color w:val="auto"/>
        </w:rPr>
        <w:t>3.2 AI-BOM assessment by element</w:t>
      </w:r>
    </w:p>
    <w:p w14:paraId="1745C236" w14:textId="77777777" w:rsidR="00875D22" w:rsidRPr="00E3012D" w:rsidRDefault="00000000">
      <w:pPr>
        <w:pBdr>
          <w:top w:val="nil"/>
          <w:left w:val="nil"/>
          <w:bottom w:val="nil"/>
          <w:right w:val="nil"/>
          <w:between w:val="nil"/>
        </w:pBdr>
        <w:spacing w:before="180" w:after="180"/>
      </w:pPr>
      <w:r w:rsidRPr="00E3012D">
        <w:t xml:space="preserve">AI-BOM Element 1 - Model Artifact Identity The vendor must provide, for every supplied model artifact, a cryptographic hash, unambiguous version identifier, safe serialization declaration, and architecture/capability documentation containing declared modalities and context limits, supported and unsupported task classes, named evaluation results with dates, refusal/deny categories and coverage, and known failure modes. Generic marketing statements do not satisfy this requirement. The vendor must also provide </w:t>
      </w:r>
      <w:proofErr w:type="gramStart"/>
      <w:r w:rsidRPr="00E3012D">
        <w:t>lawful-acquisition</w:t>
      </w:r>
      <w:proofErr w:type="gramEnd"/>
      <w:r w:rsidRPr="00E3012D">
        <w:t>/licensing attestation for model and training inputs and, where applicable, the EU AI Act Article 53(1)(c) copyright/TDM policy and required training-content summary. Output-IP indemnity and litigation review are handled in the ASCR-17 Section 1.6 Commercial and Legal Readiness Gate.</w:t>
      </w:r>
    </w:p>
    <w:p w14:paraId="6A386250" w14:textId="77777777" w:rsidR="00875D22" w:rsidRPr="00E3012D" w:rsidRDefault="00000000">
      <w:pPr>
        <w:pBdr>
          <w:top w:val="nil"/>
          <w:left w:val="nil"/>
          <w:bottom w:val="nil"/>
          <w:right w:val="nil"/>
          <w:between w:val="nil"/>
        </w:pBdr>
        <w:spacing w:before="180" w:after="180"/>
      </w:pPr>
      <w:r w:rsidRPr="00E3012D">
        <w:t>Audit Protocol: Request the AI-BOM Element 1 record for the most recent three supplied versions. Verify hashes, version identifiers, safe serialization, model-card/capability-boundary evidence, provenance/licensing artifacts, and any applicable Article 53 evidence.</w:t>
      </w:r>
    </w:p>
    <w:p w14:paraId="102088F5" w14:textId="77777777" w:rsidR="00875D22" w:rsidRPr="00E3012D" w:rsidRDefault="00000000">
      <w:pPr>
        <w:pBdr>
          <w:top w:val="nil"/>
          <w:left w:val="nil"/>
          <w:bottom w:val="nil"/>
          <w:right w:val="nil"/>
          <w:between w:val="nil"/>
        </w:pBdr>
        <w:spacing w:before="180" w:after="180"/>
      </w:pPr>
      <w:r w:rsidRPr="00E3012D">
        <w:lastRenderedPageBreak/>
        <w:t xml:space="preserve">AI-BOM Element 2 - System Prompt and Configuration Identity The vendor must provide version-controlled documentation of all system prompt templates, default configuration parameters, and behavioral constraint specifications that ship with their model artifact, with hash verification for each configuration artifact. A vendor who does </w:t>
      </w:r>
      <w:proofErr w:type="gramStart"/>
      <w:r w:rsidRPr="00E3012D">
        <w:t>not</w:t>
      </w:r>
      <w:proofErr w:type="gramEnd"/>
      <w:r w:rsidRPr="00E3012D">
        <w:t xml:space="preserve"> version-control system prompt templates has not implemented the behavioral constraint governance that ASCR-10 Dimension 2 requires.</w:t>
      </w:r>
    </w:p>
    <w:p w14:paraId="4B32D613" w14:textId="77777777" w:rsidR="00875D22" w:rsidRPr="00E3012D" w:rsidRDefault="00000000">
      <w:pPr>
        <w:pBdr>
          <w:top w:val="nil"/>
          <w:left w:val="nil"/>
          <w:bottom w:val="nil"/>
          <w:right w:val="nil"/>
          <w:between w:val="nil"/>
        </w:pBdr>
        <w:spacing w:before="180" w:after="180"/>
      </w:pPr>
      <w:r w:rsidRPr="00E3012D">
        <w:rPr>
          <w:rFonts w:ascii="Cambria" w:eastAsia="Cambria" w:hAnsi="Cambria" w:cs="Cambria"/>
          <w:i/>
          <w:iCs/>
        </w:rPr>
        <w:t>Audit Protocol:</w:t>
      </w:r>
      <w:r w:rsidRPr="00E3012D">
        <w:rPr>
          <w:rFonts w:ascii="Cambria" w:eastAsia="Cambria" w:hAnsi="Cambria" w:cs="Cambria"/>
        </w:rPr>
        <w:t xml:space="preserve"> Request the version history and hash records for system prompt templates and configuration specifications for the model artifact versions under evaluation. Confirm that the vendor’s configuration change process requires authorization records that can be presented as ASCR-10 compliance evidence.</w:t>
      </w:r>
    </w:p>
    <w:p w14:paraId="784B8425" w14:textId="77777777" w:rsidR="00875D22" w:rsidRPr="00E3012D" w:rsidRDefault="00000000">
      <w:pPr>
        <w:pBdr>
          <w:top w:val="nil"/>
          <w:left w:val="nil"/>
          <w:bottom w:val="nil"/>
          <w:right w:val="nil"/>
          <w:between w:val="nil"/>
        </w:pBdr>
        <w:spacing w:before="180" w:after="180"/>
      </w:pPr>
      <w:r w:rsidRPr="00E3012D">
        <w:t>AI-BOM Element 3 - Retrieval Corpus and Data Integration Inventory</w:t>
      </w:r>
    </w:p>
    <w:p w14:paraId="04197934" w14:textId="77777777" w:rsidR="00875D22" w:rsidRPr="00E3012D" w:rsidRDefault="00000000">
      <w:pPr>
        <w:pBdr>
          <w:top w:val="nil"/>
          <w:left w:val="nil"/>
          <w:bottom w:val="nil"/>
          <w:right w:val="nil"/>
          <w:between w:val="nil"/>
        </w:pBdr>
        <w:spacing w:before="180" w:after="180"/>
      </w:pPr>
      <w:r w:rsidRPr="00E3012D">
        <w:rPr>
          <w:rFonts w:ascii="Cambria" w:eastAsia="Cambria" w:hAnsi="Cambria" w:cs="Cambria"/>
        </w:rPr>
        <w:t>For vendors who supply retrieval-augmented or data-integrated model artifacts, the vendor must provide complete documentation of all static data sources and dynamic ingestion pipelines incorporated into the retrieval architecture.</w:t>
      </w:r>
    </w:p>
    <w:p w14:paraId="604B79CF" w14:textId="77777777" w:rsidR="00875D22" w:rsidRPr="00E3012D" w:rsidRDefault="00000000">
      <w:pPr>
        <w:pBdr>
          <w:top w:val="nil"/>
          <w:left w:val="nil"/>
          <w:bottom w:val="nil"/>
          <w:right w:val="nil"/>
          <w:between w:val="nil"/>
        </w:pBdr>
        <w:spacing w:before="180" w:after="180"/>
      </w:pPr>
      <w:r w:rsidRPr="00E3012D">
        <w:rPr>
          <w:rFonts w:ascii="Cambria" w:eastAsia="Cambria" w:hAnsi="Cambria" w:cs="Cambria"/>
        </w:rPr>
        <w:t>For dynamic sources, the vendor must support verifiable payload integrity and provenance at runtime. This may be provided through vendor-signed payloads or through stable source identity/version metadata and integration hooks that allow the deploying organization's ASCR-07/ASCR-16 boundary controls to create and verify the required cryptographic integrity record. The vendor must also document access control policies governing the data integration pipeline.</w:t>
      </w:r>
    </w:p>
    <w:p w14:paraId="4A8CE3B3" w14:textId="77777777" w:rsidR="00875D22" w:rsidRPr="00E3012D" w:rsidRDefault="00000000">
      <w:pPr>
        <w:pBdr>
          <w:top w:val="nil"/>
          <w:left w:val="nil"/>
          <w:bottom w:val="nil"/>
          <w:right w:val="nil"/>
          <w:between w:val="nil"/>
        </w:pBdr>
        <w:spacing w:before="180" w:after="180"/>
      </w:pPr>
      <w:r w:rsidRPr="00E3012D">
        <w:rPr>
          <w:rFonts w:ascii="Cambria" w:eastAsia="Cambria" w:hAnsi="Cambria" w:cs="Cambria"/>
        </w:rPr>
        <w:t xml:space="preserve">A vendor who cannot document what their model retrieves as context in each planning cycle cannot satisfy the context integrity requirements that ASCR-07 </w:t>
      </w:r>
      <w:proofErr w:type="spellStart"/>
      <w:r w:rsidRPr="00E3012D">
        <w:rPr>
          <w:rFonts w:ascii="Cambria" w:eastAsia="Cambria" w:hAnsi="Cambria" w:cs="Cambria"/>
        </w:rPr>
        <w:t>context_hash</w:t>
      </w:r>
      <w:proofErr w:type="spellEnd"/>
      <w:r w:rsidRPr="00E3012D">
        <w:rPr>
          <w:rFonts w:ascii="Cambria" w:eastAsia="Cambria" w:hAnsi="Cambria" w:cs="Cambria"/>
        </w:rPr>
        <w:t xml:space="preserve"> monitoring depends on.</w:t>
      </w:r>
    </w:p>
    <w:p w14:paraId="1A081A47" w14:textId="77777777" w:rsidR="00875D22" w:rsidRPr="00E3012D" w:rsidRDefault="00000000">
      <w:pPr>
        <w:pBdr>
          <w:top w:val="nil"/>
          <w:left w:val="nil"/>
          <w:bottom w:val="nil"/>
          <w:right w:val="nil"/>
          <w:between w:val="nil"/>
        </w:pBdr>
        <w:spacing w:before="180" w:after="180"/>
      </w:pPr>
      <w:r w:rsidRPr="00E3012D">
        <w:rPr>
          <w:rFonts w:ascii="Cambria" w:eastAsia="Cambria" w:hAnsi="Cambria" w:cs="Cambria"/>
          <w:i/>
          <w:iCs/>
        </w:rPr>
        <w:t>Audit Protocol:</w:t>
      </w:r>
      <w:r w:rsidRPr="00E3012D">
        <w:rPr>
          <w:rFonts w:ascii="Cambria" w:eastAsia="Cambria" w:hAnsi="Cambria" w:cs="Cambria"/>
        </w:rPr>
        <w:t xml:space="preserve"> Request the retrieval corpus inventory and data integration pipeline </w:t>
      </w:r>
      <w:proofErr w:type="gramStart"/>
      <w:r w:rsidRPr="00E3012D">
        <w:rPr>
          <w:rFonts w:ascii="Cambria" w:eastAsia="Cambria" w:hAnsi="Cambria" w:cs="Cambria"/>
        </w:rPr>
        <w:t>documentation, and</w:t>
      </w:r>
      <w:proofErr w:type="gramEnd"/>
      <w:r w:rsidRPr="00E3012D">
        <w:rPr>
          <w:rFonts w:ascii="Cambria" w:eastAsia="Cambria" w:hAnsi="Cambria" w:cs="Cambria"/>
        </w:rPr>
        <w:t xml:space="preserve"> verify that data sources are identified at the provider level, not merely at the data category level. Confirm that each dynamic delivery can be bound to source identity and current content through a vendor signature or an implementing boundary-integrity mechanism compatible with ASCR-07 and ASCR-16. A vendor or integration that cannot support verifiable payload integrity and provenance fails this Audit Protocol; ASCR-17 does not require the vendor itself to generate the ASCR-16 boundary record when the deploying organization performs that function.</w:t>
      </w:r>
    </w:p>
    <w:p w14:paraId="43E4DDE0" w14:textId="77777777" w:rsidR="00875D22" w:rsidRPr="00E3012D" w:rsidRDefault="00000000">
      <w:pPr>
        <w:pBdr>
          <w:top w:val="nil"/>
          <w:left w:val="nil"/>
          <w:bottom w:val="nil"/>
          <w:right w:val="nil"/>
          <w:between w:val="nil"/>
        </w:pBdr>
        <w:spacing w:before="180" w:after="180"/>
      </w:pPr>
      <w:r w:rsidRPr="00E3012D">
        <w:t xml:space="preserve">AI-BOM Element 4 - Tool Library and Capability Inventory The vendor must provide a complete inventory of all MCP-exposed tools, APIs, and capability interfaces that their model artifact can invoke, with permission documentation and the external systems each capability can reach. A vendor who cannot enumerate their model’s tool invocation surface </w:t>
      </w:r>
      <w:r w:rsidRPr="00E3012D">
        <w:lastRenderedPageBreak/>
        <w:t xml:space="preserve">cannot demonstrate that the model’s execution authority is bounded by the </w:t>
      </w:r>
      <w:proofErr w:type="gramStart"/>
      <w:r w:rsidRPr="00E3012D">
        <w:t>least-privilege</w:t>
      </w:r>
      <w:proofErr w:type="gramEnd"/>
      <w:r w:rsidRPr="00E3012D">
        <w:t xml:space="preserve"> principle required by the deployment's authorized execution-boundary design.</w:t>
      </w:r>
    </w:p>
    <w:p w14:paraId="3E20AA2D" w14:textId="77777777" w:rsidR="00875D22" w:rsidRPr="00E3012D" w:rsidRDefault="00000000">
      <w:pPr>
        <w:pBdr>
          <w:top w:val="nil"/>
          <w:left w:val="nil"/>
          <w:bottom w:val="nil"/>
          <w:right w:val="nil"/>
          <w:between w:val="nil"/>
        </w:pBdr>
        <w:spacing w:before="180" w:after="180"/>
      </w:pPr>
      <w:r w:rsidRPr="00E3012D">
        <w:rPr>
          <w:rFonts w:ascii="Cambria" w:eastAsia="Cambria" w:hAnsi="Cambria" w:cs="Cambria"/>
          <w:i/>
          <w:iCs/>
        </w:rPr>
        <w:t>Audit Protocol:</w:t>
      </w:r>
      <w:r w:rsidRPr="00E3012D">
        <w:rPr>
          <w:rFonts w:ascii="Cambria" w:eastAsia="Cambria" w:hAnsi="Cambria" w:cs="Cambria"/>
        </w:rPr>
        <w:t xml:space="preserve"> Request the tool library inventory and capability permission documentation. Verify that each tool’s external system access is documented. Confirm that the vendor supports scope restriction — that tool invocation authority can be constrained to the subset of capabilities required for the deploying organization’s specific use case.</w:t>
      </w:r>
    </w:p>
    <w:p w14:paraId="062D44FC" w14:textId="77777777" w:rsidR="00875D22" w:rsidRPr="00E3012D" w:rsidRDefault="00000000">
      <w:pPr>
        <w:pStyle w:val="Heading3"/>
        <w:rPr>
          <w:color w:val="auto"/>
        </w:rPr>
      </w:pPr>
      <w:r w:rsidRPr="00E3012D">
        <w:rPr>
          <w:color w:val="auto"/>
        </w:rPr>
        <w:t>3.3 Customer data use and fine-tuning rights</w:t>
      </w:r>
    </w:p>
    <w:p w14:paraId="11BC39B6" w14:textId="77777777" w:rsidR="00875D22" w:rsidRPr="00E3012D" w:rsidRDefault="00000000">
      <w:r w:rsidRPr="00E3012D">
        <w:t>The vendor must disclose whether customer operational, OT, telemetry, prompt, context, or incident data may be used for training, fine-tuning, evaluation, reinforcement, retrieval-corpus enrichment, or product improvement; the retention period and deletion process; ownership of customer-derived adapters or embeddings; and the mechanism for customer opt-in, opt-out, or contractual prohibition. Where the deploying organization requires exclusion of customer OT/operational data from training or model improvement, inability to enforce that exclusion is a Tier 1 Critical Failure. Consensually authorized training is not itself a failure.</w:t>
      </w:r>
    </w:p>
    <w:p w14:paraId="7CFEBD80" w14:textId="77777777" w:rsidR="00875D22" w:rsidRPr="00E3012D" w:rsidRDefault="00000000">
      <w:pPr>
        <w:pStyle w:val="Heading3"/>
        <w:rPr>
          <w:color w:val="auto"/>
        </w:rPr>
      </w:pPr>
      <w:r w:rsidRPr="00E3012D">
        <w:rPr>
          <w:color w:val="auto"/>
        </w:rPr>
        <w:t>3.4 Transitive dependency disclosure</w:t>
      </w:r>
    </w:p>
    <w:p w14:paraId="53B8D527" w14:textId="77777777" w:rsidR="00875D22" w:rsidRPr="00E3012D" w:rsidRDefault="00000000">
      <w:pPr>
        <w:pBdr>
          <w:top w:val="nil"/>
          <w:left w:val="nil"/>
          <w:bottom w:val="nil"/>
          <w:right w:val="nil"/>
          <w:between w:val="nil"/>
        </w:pBdr>
        <w:spacing w:before="180" w:after="180"/>
      </w:pPr>
      <w:r w:rsidRPr="00E3012D">
        <w:rPr>
          <w:rFonts w:ascii="Cambria" w:eastAsia="Cambria" w:hAnsi="Cambria" w:cs="Cambria"/>
        </w:rPr>
        <w:t xml:space="preserve">For Tier 1 vendors, the AI-BOM must trace transitive dependencies down to the terminal node or, at minimum, fully enumerate all dependencies involved in cryptographic signing, network communications, and memory management functions within the compilation toolchain. This includes open-source libraries, data processing frameworks, and model compilation </w:t>
      </w:r>
      <w:proofErr w:type="gramStart"/>
      <w:r w:rsidRPr="00E3012D">
        <w:rPr>
          <w:rFonts w:ascii="Cambria" w:eastAsia="Cambria" w:hAnsi="Cambria" w:cs="Cambria"/>
        </w:rPr>
        <w:t>toolchain</w:t>
      </w:r>
      <w:proofErr w:type="gramEnd"/>
      <w:r w:rsidRPr="00E3012D">
        <w:rPr>
          <w:rFonts w:ascii="Cambria" w:eastAsia="Cambria" w:hAnsi="Cambria" w:cs="Cambria"/>
        </w:rPr>
        <w:t xml:space="preserve"> dependencies that contribute to the artifact’s construction. While field practice often treats tracing three levels of transitive dependencies as sufficient, this requirement must go deeper and capture all critical toolchain components. For Tier 1 vendors, the AI-BOM must fully enumerate all transitive dependencies involved in cryptographic signing, network communications, and memory management within the compilation toolchain, with no fixed depth limit for these functions. For all other </w:t>
      </w:r>
      <w:proofErr w:type="gramStart"/>
      <w:r w:rsidRPr="00E3012D">
        <w:rPr>
          <w:rFonts w:ascii="Cambria" w:eastAsia="Cambria" w:hAnsi="Cambria" w:cs="Cambria"/>
        </w:rPr>
        <w:t>toolchain</w:t>
      </w:r>
      <w:proofErr w:type="gramEnd"/>
      <w:r w:rsidRPr="00E3012D">
        <w:rPr>
          <w:rFonts w:ascii="Cambria" w:eastAsia="Cambria" w:hAnsi="Cambria" w:cs="Cambria"/>
        </w:rPr>
        <w:t xml:space="preserve"> components, a minimum depth of three levels is required.</w:t>
      </w:r>
    </w:p>
    <w:p w14:paraId="74D62A88" w14:textId="77777777" w:rsidR="00875D22" w:rsidRPr="00E3012D" w:rsidRDefault="00000000">
      <w:pPr>
        <w:pBdr>
          <w:top w:val="nil"/>
          <w:left w:val="nil"/>
          <w:bottom w:val="nil"/>
          <w:right w:val="nil"/>
          <w:between w:val="nil"/>
        </w:pBdr>
        <w:spacing w:before="180" w:after="180"/>
      </w:pPr>
      <w:r w:rsidRPr="00E3012D">
        <w:rPr>
          <w:rFonts w:ascii="Cambria" w:eastAsia="Cambria" w:hAnsi="Cambria" w:cs="Cambria"/>
        </w:rPr>
        <w:t>The Port Paralysis scenario is the controlling case. The compromised tensor optimization library was a transitive dependency of the vendor’s compilation toolchain, not a direct dependency of the model artifact itself. An AI-BOM that does not reach this level of the dependency chain would not have disclosed the attack vector.</w:t>
      </w:r>
    </w:p>
    <w:p w14:paraId="572A9CCA" w14:textId="77777777" w:rsidR="00875D22" w:rsidRPr="00E3012D" w:rsidRDefault="00000000">
      <w:pPr>
        <w:pBdr>
          <w:top w:val="nil"/>
          <w:left w:val="nil"/>
          <w:bottom w:val="nil"/>
          <w:right w:val="nil"/>
          <w:between w:val="nil"/>
        </w:pBdr>
        <w:spacing w:before="180" w:after="180"/>
      </w:pPr>
      <w:r w:rsidRPr="00E3012D">
        <w:t xml:space="preserve">Audit Protocol: Request the dependency inventory required for the vendor tier and assessed component scope. For Tier 1 vendors, and lower-tier vendors explicitly elevated to Tier 1 dependency depth, verify that: (a) the inventory reaches at least three levels of transitive depth for applicable toolchain components, and (b) dependencies involved in cryptographic signing, network communication, and memory management are fully </w:t>
      </w:r>
      <w:r w:rsidRPr="00E3012D">
        <w:lastRenderedPageBreak/>
        <w:t>enumerated regardless of depth. For ordinary Tier 2 and Tier 3 assessments, verify the reduced dependency depth defined in ASCR-17 Section 1.2 and score any shortfall against that tier-specific requirement.</w:t>
      </w:r>
    </w:p>
    <w:p w14:paraId="18CDD51D" w14:textId="77777777" w:rsidR="00875D22" w:rsidRPr="00E3012D" w:rsidRDefault="00000000">
      <w:pPr>
        <w:pBdr>
          <w:top w:val="nil"/>
          <w:left w:val="nil"/>
          <w:bottom w:val="nil"/>
          <w:right w:val="nil"/>
          <w:between w:val="nil"/>
        </w:pBdr>
        <w:spacing w:before="180" w:after="180"/>
      </w:pPr>
      <w:r w:rsidRPr="00E3012D">
        <w:t>Critical failure threshold: For Tier 1 vendors, or lower-tier vendors explicitly elevated to the Tier 1 transitive-dependency requirement for the assessed component, the AI-BOM covers only direct dependencies, the required transitive dependency inventory is unavailable, or the vendor cannot identify critical compilation-toolchain dependencies. For Tier 2 and Tier 3 vendors that are not elevated, assess against the tier-specific inventory depth in ASCR-17 Section 1.2; a shortfall is scored under the normal 1-4 scale unless an explicit Critical Failure condition or active integrity concern is independently met. If the Tier 1 or elevated Critical Failure threshold is met, record CF for Dimension 2 sub-dimension DIM2-TD, document the specific inventory gap, and initiate the Disqualified determination workflow in Section 7.2.</w:t>
      </w:r>
    </w:p>
    <w:p w14:paraId="2B758A4F" w14:textId="77777777" w:rsidR="00875D22" w:rsidRPr="00E3012D" w:rsidRDefault="00000000">
      <w:pPr>
        <w:pStyle w:val="Heading2"/>
        <w:rPr>
          <w:color w:val="auto"/>
        </w:rPr>
      </w:pPr>
      <w:r w:rsidRPr="00E3012D">
        <w:rPr>
          <w:color w:val="auto"/>
        </w:rPr>
        <w:t>Section 4 — Dimension 3: Adversarial robustness evidence</w:t>
      </w:r>
    </w:p>
    <w:p w14:paraId="5747CB32" w14:textId="77777777" w:rsidR="00875D22" w:rsidRPr="00E3012D" w:rsidRDefault="00000000">
      <w:pPr>
        <w:pStyle w:val="Heading3"/>
        <w:rPr>
          <w:color w:val="auto"/>
        </w:rPr>
      </w:pPr>
      <w:r w:rsidRPr="00E3012D">
        <w:rPr>
          <w:color w:val="auto"/>
        </w:rPr>
        <w:t>4.1 Assessment objective</w:t>
      </w:r>
    </w:p>
    <w:p w14:paraId="784B167A" w14:textId="77777777" w:rsidR="00875D22" w:rsidRPr="00E3012D" w:rsidRDefault="00000000">
      <w:pPr>
        <w:pBdr>
          <w:top w:val="nil"/>
          <w:left w:val="nil"/>
          <w:bottom w:val="nil"/>
          <w:right w:val="nil"/>
          <w:between w:val="nil"/>
        </w:pBdr>
        <w:spacing w:before="180" w:after="180"/>
      </w:pPr>
      <w:r w:rsidRPr="00E3012D">
        <w:rPr>
          <w:rFonts w:ascii="Cambria" w:eastAsia="Cambria" w:hAnsi="Cambria" w:cs="Cambria"/>
        </w:rPr>
        <w:t>Adversarial robustness assessment determines whether the vendor has tested their model artifact against the techniques most relevant to the deploying organization’s threat model. The target techniques are those in the ASCR-15 Supply Chain adversary profile, specifically the ones that target the Intelligence Layer through the vendor’s supply chain position.</w:t>
      </w:r>
    </w:p>
    <w:p w14:paraId="73AA33F0" w14:textId="77777777" w:rsidR="00875D22" w:rsidRPr="00E3012D" w:rsidRDefault="00000000">
      <w:pPr>
        <w:pStyle w:val="Heading3"/>
        <w:rPr>
          <w:color w:val="auto"/>
        </w:rPr>
      </w:pPr>
      <w:r w:rsidRPr="00E3012D">
        <w:rPr>
          <w:color w:val="auto"/>
        </w:rPr>
        <w:t>4.2 Robustness assessment requirements</w:t>
      </w:r>
    </w:p>
    <w:p w14:paraId="6397747F" w14:textId="77777777" w:rsidR="00875D22" w:rsidRPr="00E3012D" w:rsidRDefault="00000000">
      <w:pPr>
        <w:pBdr>
          <w:top w:val="nil"/>
          <w:left w:val="nil"/>
          <w:bottom w:val="nil"/>
          <w:right w:val="nil"/>
          <w:between w:val="nil"/>
        </w:pBdr>
        <w:spacing w:before="180" w:after="180"/>
      </w:pPr>
      <w:r w:rsidRPr="00E3012D">
        <w:t>MITRE ATLAS Coverage The vendor must provide evidence that the supplied model or agentic component has been evaluated against ATLAS techniques relevant to its deployment context. At minimum, test applicable evasion techniques; training-data poisoning such as AML.T0020 where the training pipeline is in scope; direct model manipulation such as AML.T0018.000 Poison AI Model where weights or other model internals could be altered; ML/AI supply-chain compromise techniques such as AML.T0010 and relevant sub-techniques; and, for agentic tool paths, current AI-agent tool/data-poisoning techniques where applicable. Direct post-training weight manipulation must not be mislabeled as AML.T0020 Training Data Poisoning. Verify current ATLAS identifiers and names before each assessment because the matrix evolves.</w:t>
      </w:r>
    </w:p>
    <w:p w14:paraId="445D2525" w14:textId="77777777" w:rsidR="00875D22" w:rsidRPr="00E3012D" w:rsidRDefault="00000000">
      <w:pPr>
        <w:pBdr>
          <w:top w:val="nil"/>
          <w:left w:val="nil"/>
          <w:bottom w:val="nil"/>
          <w:right w:val="nil"/>
          <w:between w:val="nil"/>
        </w:pBdr>
        <w:spacing w:before="180" w:after="180"/>
      </w:pPr>
      <w:r w:rsidRPr="00E3012D">
        <w:t>Evidence required (Tier 1): current MITRE ATLAS technique coverage matrix for the most recent release cycle; red-team reports covering deployment-relevant Intelligence Layer and agent-tool techniques; evidence of trigger-conditional behavioral testing per SD-1.4; and, for applicable GPAI models with systemic risk, Article 55 model-evaluation/adversarial-testing evidence where legally applicable.</w:t>
      </w:r>
    </w:p>
    <w:p w14:paraId="4466E3B1" w14:textId="77777777" w:rsidR="00875D22" w:rsidRPr="00E3012D" w:rsidRDefault="00000000">
      <w:pPr>
        <w:pBdr>
          <w:top w:val="nil"/>
          <w:left w:val="nil"/>
          <w:bottom w:val="nil"/>
          <w:right w:val="nil"/>
          <w:between w:val="nil"/>
        </w:pBdr>
        <w:spacing w:before="180" w:after="180"/>
      </w:pPr>
      <w:r w:rsidRPr="00E3012D">
        <w:lastRenderedPageBreak/>
        <w:t>Physical-World Perception Testing (VLA Models) For vendors supplying Vision-Language-Action models deployed in physical operational environments: evidence that the model has been evaluated against physical-world adversarial inputs - adversarial patches within the model’s camera field of view, LiDAR spoofing attacks (false point-cloud injection and relay attacks against the sensor) designed to corrupt the model’s environmental representation, thermal signature manipulation for infrared-capable systems, and systematic occlusion scenarios designed to produce misclassification. EU AI Act Article 15(5), where applicable to a high-risk AI system, requires resilience against attempts by unauthorized third parties to alter system use, outputs, or performance by exploiting system vulnerabilities. Physical-world adversarial inputs are therefore relevant evidence where they exploit such vulnerabilities in the assessed VLA system; applicability depends on the system, attack path, and legal context.</w:t>
      </w:r>
    </w:p>
    <w:p w14:paraId="3A39E2AE" w14:textId="77777777" w:rsidR="00875D22" w:rsidRPr="00E3012D" w:rsidRDefault="00000000">
      <w:pPr>
        <w:pBdr>
          <w:top w:val="nil"/>
          <w:left w:val="nil"/>
          <w:bottom w:val="nil"/>
          <w:right w:val="nil"/>
          <w:between w:val="nil"/>
        </w:pBdr>
        <w:spacing w:before="180" w:after="180"/>
      </w:pPr>
      <w:r w:rsidRPr="00E3012D">
        <w:t>Evidence required (Tier 1 VLA vendors): adversarial robustness evaluation results covering physical-world perception attacks; test-environment documentation matching the deployment envelope; independent third-party robustness testing. EU AI Act Article 15(5)/Article 43 conformity documentation is score-4 evidence where legally applicable and available, not a standalone Critical Failure trigger.</w:t>
      </w:r>
    </w:p>
    <w:p w14:paraId="59B9FDD5" w14:textId="77777777" w:rsidR="00875D22" w:rsidRPr="00E3012D" w:rsidRDefault="00000000">
      <w:pPr>
        <w:pBdr>
          <w:top w:val="nil"/>
          <w:left w:val="nil"/>
          <w:bottom w:val="nil"/>
          <w:right w:val="nil"/>
          <w:between w:val="nil"/>
        </w:pBdr>
        <w:spacing w:before="180" w:after="180"/>
      </w:pPr>
      <w:r w:rsidRPr="00E3012D">
        <w:t xml:space="preserve">Critical failure threshold: no deployment-relevant adversarial evaluation; for VLA models, no physical-world perception testing. Absence of Article 15(5)/43 conformity documentation alone is not a Critical Failure where those obligations are not yet </w:t>
      </w:r>
      <w:proofErr w:type="gramStart"/>
      <w:r w:rsidRPr="00E3012D">
        <w:t>applicable</w:t>
      </w:r>
      <w:proofErr w:type="gramEnd"/>
      <w:r w:rsidRPr="00E3012D">
        <w:t xml:space="preserve"> or the evidence is not yet legally required.</w:t>
      </w:r>
    </w:p>
    <w:p w14:paraId="4F4BBF4D" w14:textId="77777777" w:rsidR="00875D22" w:rsidRPr="00E3012D" w:rsidRDefault="00000000">
      <w:pPr>
        <w:pBdr>
          <w:top w:val="nil"/>
          <w:left w:val="nil"/>
          <w:bottom w:val="nil"/>
          <w:right w:val="nil"/>
          <w:between w:val="nil"/>
        </w:pBdr>
        <w:spacing w:before="180" w:after="180"/>
      </w:pPr>
      <w:r w:rsidRPr="00E3012D">
        <w:rPr>
          <w:rFonts w:ascii="Cambria" w:eastAsia="Cambria" w:hAnsi="Cambria" w:cs="Cambria"/>
          <w:b/>
          <w:bCs/>
        </w:rPr>
        <w:t>Objective Stability Testing</w:t>
      </w:r>
      <w:r w:rsidRPr="00E3012D">
        <w:rPr>
          <w:rFonts w:ascii="Cambria" w:eastAsia="Cambria" w:hAnsi="Cambria" w:cs="Cambria"/>
        </w:rPr>
        <w:t xml:space="preserve"> The vendor must provide evidence that their model’s objective function — the optimization criteria driving its planning and decision outputs — has been evaluated for stability under adversarial context manipulation. An agent whose objective function can be shifted through context poisoning without producing detectable behavioral anomaly is the defining vulnerability of the agentic supply chain threat model. The vendor’s objective stability testing must demonstrate resistance to this attack class specifically, not just general adversarial robustness.</w:t>
      </w:r>
    </w:p>
    <w:p w14:paraId="27F6CE88" w14:textId="77777777" w:rsidR="00875D22" w:rsidRPr="00E3012D" w:rsidRDefault="00000000">
      <w:pPr>
        <w:pBdr>
          <w:top w:val="nil"/>
          <w:left w:val="nil"/>
          <w:bottom w:val="nil"/>
          <w:right w:val="nil"/>
          <w:between w:val="nil"/>
        </w:pBdr>
        <w:spacing w:before="180" w:after="180"/>
      </w:pPr>
      <w:r w:rsidRPr="00E3012D">
        <w:rPr>
          <w:rFonts w:ascii="Cambria" w:eastAsia="Cambria" w:hAnsi="Cambria" w:cs="Cambria"/>
          <w:i/>
          <w:iCs/>
        </w:rPr>
        <w:t>Evidence required (Tier 1):</w:t>
      </w:r>
      <w:r w:rsidRPr="00E3012D">
        <w:rPr>
          <w:rFonts w:ascii="Cambria" w:eastAsia="Cambria" w:hAnsi="Cambria" w:cs="Cambria"/>
        </w:rPr>
        <w:t xml:space="preserve"> The vendor must provide objective stability test methodology documentation. The organization shall define and document the statistical method used to determine objective drift and apply it consistently across baseline and adversarial test populations. As an illustrative default calibrated to ASCR-05 warehouse and industrial-robotics deployments, evaluate two distinct indicators: (1) flag when more than 5% of adversarial cases exceed the documented operational alert threshold; and (2) where paired baseline/adversarial observations are suitable, apply a Wilcoxon signed-rank test at p &lt; 0.05 to test for a distribution shift. Do not use the Wilcoxon test to test the 5% exceedance </w:t>
      </w:r>
      <w:r w:rsidRPr="00E3012D">
        <w:rPr>
          <w:rFonts w:ascii="Cambria" w:eastAsia="Cambria" w:hAnsi="Cambria" w:cs="Cambria"/>
        </w:rPr>
        <w:lastRenderedPageBreak/>
        <w:t>rate. An organization that adopts a different method shall document the substituted threshold and test in the ASCR-11 procurement specification.</w:t>
      </w:r>
    </w:p>
    <w:p w14:paraId="425DFDEA" w14:textId="77777777" w:rsidR="00875D22" w:rsidRPr="00E3012D" w:rsidRDefault="00000000">
      <w:pPr>
        <w:pBdr>
          <w:top w:val="nil"/>
          <w:left w:val="nil"/>
          <w:bottom w:val="nil"/>
          <w:right w:val="nil"/>
          <w:between w:val="nil"/>
        </w:pBdr>
        <w:spacing w:before="180" w:after="180"/>
      </w:pPr>
      <w:r w:rsidRPr="00E3012D">
        <w:rPr>
          <w:rFonts w:ascii="Cambria" w:eastAsia="Cambria" w:hAnsi="Cambria" w:cs="Cambria"/>
        </w:rPr>
        <w:t xml:space="preserve">The vendor must provide behavioral output distributions under adversarial context conditions using the vendor-native objective-state and behavioral-change indicators defined for SD-1.4, together with the documented mapping to ASCR-07 </w:t>
      </w:r>
      <w:proofErr w:type="spellStart"/>
      <w:r w:rsidRPr="00E3012D">
        <w:rPr>
          <w:rFonts w:ascii="Cambria" w:eastAsia="Cambria" w:hAnsi="Cambria" w:cs="Cambria"/>
        </w:rPr>
        <w:t>goal_hash</w:t>
      </w:r>
      <w:proofErr w:type="spellEnd"/>
      <w:r w:rsidRPr="00E3012D">
        <w:rPr>
          <w:rFonts w:ascii="Cambria" w:eastAsia="Cambria" w:hAnsi="Cambria" w:cs="Cambria"/>
        </w:rPr>
        <w:t xml:space="preserve"> and </w:t>
      </w:r>
      <w:proofErr w:type="spellStart"/>
      <w:r w:rsidRPr="00E3012D">
        <w:rPr>
          <w:rFonts w:ascii="Cambria" w:eastAsia="Cambria" w:hAnsi="Cambria" w:cs="Cambria"/>
        </w:rPr>
        <w:t>plan_delta_summary</w:t>
      </w:r>
      <w:proofErr w:type="spellEnd"/>
      <w:r w:rsidRPr="00E3012D">
        <w:rPr>
          <w:rFonts w:ascii="Cambria" w:eastAsia="Cambria" w:hAnsi="Cambria" w:cs="Cambria"/>
        </w:rPr>
        <w:t xml:space="preserve"> semantics, or the literal ASCR fields where already implemented.</w:t>
      </w:r>
    </w:p>
    <w:p w14:paraId="2AE2D0ED" w14:textId="77777777" w:rsidR="00875D22" w:rsidRPr="00E3012D" w:rsidRDefault="00000000">
      <w:pPr>
        <w:pBdr>
          <w:top w:val="nil"/>
          <w:left w:val="nil"/>
          <w:bottom w:val="nil"/>
          <w:right w:val="nil"/>
          <w:between w:val="nil"/>
        </w:pBdr>
        <w:spacing w:before="180" w:after="180"/>
      </w:pPr>
      <w:r w:rsidRPr="00E3012D">
        <w:rPr>
          <w:rFonts w:ascii="Cambria" w:eastAsia="Cambria" w:hAnsi="Cambria" w:cs="Cambria"/>
        </w:rPr>
        <w:t>These data must allow the deploying organization to evaluate mapped divergence against its documented operational acceptance and alert criteria. They do not require a vendor to implement ASCR-07 field names internally.</w:t>
      </w:r>
    </w:p>
    <w:p w14:paraId="5A75E28C" w14:textId="77777777" w:rsidR="00875D22" w:rsidRPr="00E3012D" w:rsidRDefault="00000000">
      <w:pPr>
        <w:pStyle w:val="Heading3"/>
        <w:rPr>
          <w:color w:val="auto"/>
        </w:rPr>
      </w:pPr>
      <w:r w:rsidRPr="00E3012D">
        <w:rPr>
          <w:color w:val="auto"/>
        </w:rPr>
        <w:t>Autonomy level and vendor guardrails</w:t>
      </w:r>
    </w:p>
    <w:p w14:paraId="7780F584" w14:textId="77777777" w:rsidR="00875D22" w:rsidRPr="00E3012D" w:rsidRDefault="00000000">
      <w:r w:rsidRPr="00E3012D">
        <w:t>The vendor must document per-tool authorization and approval controls, refusal/safety policies with test evidence, fail-open versus fail-closed behavior, rate and blast-radius limits, and the ability to disable sub-agents or runtime tools. A fail-open guardrail on a path with physical actuation authority is a Critical Failure.</w:t>
      </w:r>
    </w:p>
    <w:p w14:paraId="2957AEEF" w14:textId="77777777" w:rsidR="00875D22" w:rsidRPr="00E3012D" w:rsidRDefault="00000000">
      <w:pPr>
        <w:pStyle w:val="Heading3"/>
        <w:rPr>
          <w:color w:val="auto"/>
        </w:rPr>
      </w:pPr>
      <w:r w:rsidRPr="00E3012D">
        <w:rPr>
          <w:color w:val="auto"/>
        </w:rPr>
        <w:t>Production behavioral drift monitoring and notification</w:t>
      </w:r>
    </w:p>
    <w:p w14:paraId="23DEC28B" w14:textId="77777777" w:rsidR="00875D22" w:rsidRPr="00E3012D" w:rsidRDefault="00000000">
      <w:r w:rsidRPr="00E3012D">
        <w:t>For provider-hosted Tier 1 models, the vendor must demonstrate production behavioral-drift monitoring, defined material-drift thresholds, and a deployer notification process. Absence of an effective monitoring/notification capability is a Critical Failure. For self-hosted models, substitute evidence may consist of telemetry hooks, behavioral baselines/evaluation packages, and documented integration capability with ASCR-07/ASCR-10 monitoring.</w:t>
      </w:r>
    </w:p>
    <w:p w14:paraId="33DA1F6B" w14:textId="77777777" w:rsidR="00875D22" w:rsidRPr="00E3012D" w:rsidRDefault="00000000">
      <w:pPr>
        <w:pStyle w:val="Heading3"/>
        <w:rPr>
          <w:color w:val="auto"/>
        </w:rPr>
      </w:pPr>
      <w:r w:rsidRPr="00E3012D">
        <w:rPr>
          <w:color w:val="auto"/>
        </w:rPr>
        <w:t>4.3 Hardware capability assessment: command authentication proxy vendors only (replaces Dimension 3 for this vendor category)</w:t>
      </w:r>
    </w:p>
    <w:p w14:paraId="51F42C4E" w14:textId="77777777" w:rsidR="00875D22" w:rsidRPr="00E3012D" w:rsidRDefault="00000000">
      <w:pPr>
        <w:pBdr>
          <w:top w:val="nil"/>
          <w:left w:val="nil"/>
          <w:bottom w:val="nil"/>
          <w:right w:val="nil"/>
          <w:between w:val="nil"/>
        </w:pBdr>
        <w:spacing w:before="180" w:after="180"/>
      </w:pPr>
      <w:r w:rsidRPr="00E3012D">
        <w:rPr>
          <w:rFonts w:ascii="Cambria" w:eastAsia="Cambria" w:hAnsi="Cambria" w:cs="Cambria"/>
        </w:rPr>
        <w:t>4.3.1 Assessment Objective</w:t>
      </w:r>
    </w:p>
    <w:p w14:paraId="1F547D69" w14:textId="77777777" w:rsidR="00875D22" w:rsidRPr="00E3012D" w:rsidRDefault="00000000">
      <w:pPr>
        <w:pBdr>
          <w:top w:val="nil"/>
          <w:left w:val="nil"/>
          <w:bottom w:val="nil"/>
          <w:right w:val="nil"/>
          <w:between w:val="nil"/>
        </w:pBdr>
        <w:spacing w:before="180" w:after="180"/>
      </w:pPr>
      <w:r w:rsidRPr="00E3012D">
        <w:rPr>
          <w:rFonts w:ascii="Cambria" w:eastAsia="Cambria" w:hAnsi="Cambria" w:cs="Cambria"/>
        </w:rPr>
        <w:t>Command authentication proxy hardware is a physical safety dependency: it is the hardware that blocks kinetically dangerous commands when cryptographic identity verification fails. A proxy with inadequate KQP capability is not a security posture gap — it is a gap in physical safety infrastructure. This dimension assesses vendors who supply that hardware. It does not apply to foundation model providers, orchestration platform vendors, or tool library suppliers. Failure at any Critical threshold in this dimension produces a Disqualified determination regardless of scores in other dimensions.</w:t>
      </w:r>
    </w:p>
    <w:p w14:paraId="075BED28" w14:textId="77777777" w:rsidR="00875D22" w:rsidRPr="00E3012D" w:rsidRDefault="00000000">
      <w:pPr>
        <w:pBdr>
          <w:top w:val="nil"/>
          <w:left w:val="nil"/>
          <w:bottom w:val="nil"/>
          <w:right w:val="nil"/>
          <w:between w:val="nil"/>
        </w:pBdr>
        <w:spacing w:before="180" w:after="180"/>
      </w:pPr>
      <w:r w:rsidRPr="00E3012D">
        <w:rPr>
          <w:rFonts w:ascii="Cambria" w:eastAsia="Cambria" w:hAnsi="Cambria" w:cs="Cambria"/>
          <w:b/>
          <w:bCs/>
        </w:rPr>
        <w:t>4.3.2 Assessment Requirements</w:t>
      </w:r>
    </w:p>
    <w:p w14:paraId="6CA5B9FF" w14:textId="77777777" w:rsidR="00875D22" w:rsidRPr="00E3012D" w:rsidRDefault="00000000">
      <w:pPr>
        <w:pBdr>
          <w:top w:val="nil"/>
          <w:left w:val="nil"/>
          <w:bottom w:val="nil"/>
          <w:right w:val="nil"/>
          <w:between w:val="nil"/>
        </w:pBdr>
        <w:spacing w:before="180" w:after="180"/>
      </w:pPr>
      <w:r w:rsidRPr="00E3012D">
        <w:t xml:space="preserve">4.3.2.1 KQP-1 - TKQ Performance Evidence (Critical threshold) </w:t>
      </w:r>
    </w:p>
    <w:p w14:paraId="2CDD5AC2" w14:textId="77777777" w:rsidR="00875D22" w:rsidRPr="00E3012D" w:rsidRDefault="00000000">
      <w:pPr>
        <w:pBdr>
          <w:top w:val="nil"/>
          <w:left w:val="nil"/>
          <w:bottom w:val="nil"/>
          <w:right w:val="nil"/>
          <w:between w:val="nil"/>
        </w:pBdr>
        <w:spacing w:before="180" w:after="180"/>
      </w:pPr>
      <w:r w:rsidRPr="00E3012D">
        <w:lastRenderedPageBreak/>
        <w:t xml:space="preserve">The vendor shall provide laboratory and commissioning TKQ measurement evidence for each declared governed asset class. Testing shall include the applicable conditions required by ASCR-11 Section 11.3.1.1, including nominal operating temperature for the declared deployment environment, maximum rated command queue depth at trigger time, and the P99 network-latency stress condition between proxy and asset. Measurements must demonstrate compliance with the deployment-approved P99.9 TKQ threshold established under the current ASCR-04 Section 3.6.5 for each declared asset class. A deployment classified as High or Critical physical consequence under the applicable ASCR-10 classification must additionally demonstrate compliance with the applicable deployment-approved P99.99 TKQ threshold. Threshold values must be traceable to ASCR-10 commissioning evidence and the statistical-validation record required by ASCR-11 Section 11.3.1.1. Lower-percentile P95 or P99 TKQ results may be retained for observability but do not satisfy KQP-1 qualification. Assessors shall record the current ASCR-04 source version, applicable threshold values, ASCR-10 commissioning-evidence reference, and ASCR-11 statistical-validation-record reference in the </w:t>
      </w:r>
      <w:proofErr w:type="spellStart"/>
      <w:r w:rsidRPr="00E3012D">
        <w:t>TKQ_Thresholds</w:t>
      </w:r>
      <w:proofErr w:type="spellEnd"/>
      <w:r w:rsidRPr="00E3012D">
        <w:t xml:space="preserve"> tab of ASCR-17-OE01-Vendor-Assessment-Workbook.xlsx.</w:t>
      </w:r>
    </w:p>
    <w:p w14:paraId="42EF8657" w14:textId="77777777" w:rsidR="00875D22" w:rsidRPr="00E3012D" w:rsidRDefault="00000000">
      <w:pPr>
        <w:pBdr>
          <w:top w:val="nil"/>
          <w:left w:val="nil"/>
          <w:bottom w:val="nil"/>
          <w:right w:val="nil"/>
          <w:between w:val="nil"/>
        </w:pBdr>
        <w:spacing w:before="180" w:after="180"/>
      </w:pPr>
      <w:r w:rsidRPr="00E3012D">
        <w:t>Evidence required: Laboratory and commissioning test reports with methodology and required operating conditions; P99.9 measurement per declared governed asset class and P99.99 measurement where High or Critical applies; ASCR-10 commissioning-evidence reference; ASCR-11 Section 11.3.1.1 statistical-validation-plan/record reference; test conducted by an accredited test laboratory or vendor laboratory with documented calibration records.</w:t>
      </w:r>
    </w:p>
    <w:p w14:paraId="7A01847B" w14:textId="77777777" w:rsidR="00875D22" w:rsidRPr="00E3012D" w:rsidRDefault="00000000">
      <w:pPr>
        <w:pBdr>
          <w:top w:val="nil"/>
          <w:left w:val="nil"/>
          <w:bottom w:val="nil"/>
          <w:right w:val="nil"/>
          <w:between w:val="nil"/>
        </w:pBdr>
        <w:spacing w:before="180" w:after="180"/>
      </w:pPr>
      <w:r w:rsidRPr="00E3012D">
        <w:t>Critical failure threshold: TKQ measurement data are absent for any declared governed asset class; the demonstrated P99.9 TKQ exceeds the applicable deployment-approved ASCR-04 Section 3.6.5 KQP threshold; a High or Critical physical-consequence deployment fails to demonstrate the required P99.99 TKQ threshold; required test conditions omit the P99 network-latency stress condition or maximum rated command queue depth; or the claimed percentile cannot be supported by the commissioning and statistical-validation evidence required by ASCR-10 and ASCR-11 Section 11.3.1.1. A vendor whose proxy is deployed to govern an asset class for which the applicable TKQ obligation cannot be demonstrated has not established fitness for that deployment context.</w:t>
      </w:r>
    </w:p>
    <w:p w14:paraId="27444A76" w14:textId="77777777" w:rsidR="00875D22" w:rsidRPr="00E3012D" w:rsidRDefault="00000000">
      <w:pPr>
        <w:pBdr>
          <w:top w:val="nil"/>
          <w:left w:val="nil"/>
          <w:bottom w:val="nil"/>
          <w:right w:val="nil"/>
          <w:between w:val="nil"/>
        </w:pBdr>
        <w:spacing w:before="180" w:after="180"/>
      </w:pPr>
      <w:r w:rsidRPr="00E3012D">
        <w:t xml:space="preserve">4.3.2.2 KQP-2 - Tamper-Detection Circuit Certification (Critical threshold) </w:t>
      </w:r>
    </w:p>
    <w:p w14:paraId="01E95A60" w14:textId="77777777" w:rsidR="00875D22" w:rsidRPr="00E3012D" w:rsidRDefault="00000000">
      <w:pPr>
        <w:pBdr>
          <w:top w:val="nil"/>
          <w:left w:val="nil"/>
          <w:bottom w:val="nil"/>
          <w:right w:val="nil"/>
          <w:between w:val="nil"/>
        </w:pBdr>
        <w:spacing w:before="180" w:after="180"/>
      </w:pPr>
      <w:r w:rsidRPr="00E3012D">
        <w:t xml:space="preserve">The vendor shall provide third-party test evidence confirming that the tamper-detection circuit opens motor-controller enable lines within the deployment-specific tolerable response time across the declared operating-temperature range. The ASCR-05 warehouse/industrial defaults are 50 </w:t>
      </w:r>
      <w:proofErr w:type="spellStart"/>
      <w:r w:rsidRPr="00E3012D">
        <w:t>ms</w:t>
      </w:r>
      <w:proofErr w:type="spellEnd"/>
      <w:r w:rsidRPr="00E3012D">
        <w:t xml:space="preserve"> for standard-velocity assets and 20 </w:t>
      </w:r>
      <w:proofErr w:type="spellStart"/>
      <w:r w:rsidRPr="00E3012D">
        <w:t>ms</w:t>
      </w:r>
      <w:proofErr w:type="spellEnd"/>
      <w:r w:rsidRPr="00E3012D">
        <w:t xml:space="preserve"> for high-velocity assets. ISO 13849-1 does not define a universal response time for </w:t>
      </w:r>
      <w:proofErr w:type="spellStart"/>
      <w:r w:rsidRPr="00E3012D">
        <w:t>PLd</w:t>
      </w:r>
      <w:proofErr w:type="spellEnd"/>
      <w:r w:rsidRPr="00E3012D">
        <w:t xml:space="preserve"> Category 3. </w:t>
      </w:r>
      <w:r w:rsidRPr="00E3012D">
        <w:lastRenderedPageBreak/>
        <w:t xml:space="preserve">Derive the deployment-specific relationship using ISO 12100 hazard identification, </w:t>
      </w:r>
      <w:proofErr w:type="spellStart"/>
      <w:r w:rsidRPr="00E3012D">
        <w:t>PLr</w:t>
      </w:r>
      <w:proofErr w:type="spellEnd"/>
      <w:r w:rsidRPr="00E3012D">
        <w:t xml:space="preserve"> selection per ISO 13849-1 Annex A, and ISO 13855 safeguard-positioning/response-time relationships. If the measured installed geometry cannot support the demonstrated P99 response time, change geometry, speed, or the control design; do not relax the safety threshold.</w:t>
      </w:r>
    </w:p>
    <w:p w14:paraId="703CCF9E" w14:textId="77777777" w:rsidR="00875D22" w:rsidRPr="00E3012D" w:rsidRDefault="00000000">
      <w:pPr>
        <w:pBdr>
          <w:top w:val="nil"/>
          <w:left w:val="nil"/>
          <w:bottom w:val="nil"/>
          <w:right w:val="nil"/>
          <w:between w:val="nil"/>
        </w:pBdr>
        <w:spacing w:before="180" w:after="180"/>
      </w:pPr>
      <w:r w:rsidRPr="00E3012D">
        <w:rPr>
          <w:rFonts w:ascii="Cambria" w:eastAsia="Cambria" w:hAnsi="Cambria" w:cs="Cambria"/>
          <w:b/>
          <w:bCs/>
        </w:rPr>
        <w:t>Evidence required:</w:t>
      </w:r>
      <w:r w:rsidRPr="00E3012D">
        <w:rPr>
          <w:rFonts w:ascii="Cambria" w:eastAsia="Cambria" w:hAnsi="Cambria" w:cs="Cambria"/>
        </w:rPr>
        <w:t xml:space="preserve"> Third-party test report from accredited laboratory; temperature range coverage documented in test conditions; circuit response time distribution (P50, P95, P99) provided, not only </w:t>
      </w:r>
      <w:proofErr w:type="gramStart"/>
      <w:r w:rsidRPr="00E3012D">
        <w:rPr>
          <w:rFonts w:ascii="Cambria" w:eastAsia="Cambria" w:hAnsi="Cambria" w:cs="Cambria"/>
        </w:rPr>
        <w:t>worst-case</w:t>
      </w:r>
      <w:proofErr w:type="gramEnd"/>
      <w:r w:rsidRPr="00E3012D">
        <w:rPr>
          <w:rFonts w:ascii="Cambria" w:eastAsia="Cambria" w:hAnsi="Cambria" w:cs="Cambria"/>
        </w:rPr>
        <w:t>.</w:t>
      </w:r>
    </w:p>
    <w:p w14:paraId="67F5C9D3" w14:textId="77777777" w:rsidR="00875D22" w:rsidRPr="00E3012D" w:rsidRDefault="00000000">
      <w:pPr>
        <w:pBdr>
          <w:top w:val="nil"/>
          <w:left w:val="nil"/>
          <w:bottom w:val="nil"/>
          <w:right w:val="nil"/>
          <w:between w:val="nil"/>
        </w:pBdr>
        <w:spacing w:before="180" w:after="180"/>
      </w:pPr>
      <w:r w:rsidRPr="00E3012D">
        <w:rPr>
          <w:rFonts w:ascii="Cambria" w:eastAsia="Cambria" w:hAnsi="Cambria" w:cs="Cambria"/>
          <w:b/>
          <w:bCs/>
        </w:rPr>
        <w:t xml:space="preserve">Critical failure threshold: No third-party test evidence; demonstrated response time exceeds the documented deployment-specific tolerable response time, using the 50 </w:t>
      </w:r>
      <w:proofErr w:type="spellStart"/>
      <w:r w:rsidRPr="00E3012D">
        <w:rPr>
          <w:rFonts w:ascii="Cambria" w:eastAsia="Cambria" w:hAnsi="Cambria" w:cs="Cambria"/>
          <w:b/>
          <w:bCs/>
        </w:rPr>
        <w:t>ms</w:t>
      </w:r>
      <w:proofErr w:type="spellEnd"/>
      <w:r w:rsidRPr="00E3012D">
        <w:rPr>
          <w:rFonts w:ascii="Cambria" w:eastAsia="Cambria" w:hAnsi="Cambria" w:cs="Cambria"/>
          <w:b/>
          <w:bCs/>
        </w:rPr>
        <w:t xml:space="preserve"> / 20 </w:t>
      </w:r>
      <w:proofErr w:type="spellStart"/>
      <w:r w:rsidRPr="00E3012D">
        <w:rPr>
          <w:rFonts w:ascii="Cambria" w:eastAsia="Cambria" w:hAnsi="Cambria" w:cs="Cambria"/>
          <w:b/>
          <w:bCs/>
        </w:rPr>
        <w:t>ms</w:t>
      </w:r>
      <w:proofErr w:type="spellEnd"/>
      <w:r w:rsidRPr="00E3012D">
        <w:rPr>
          <w:rFonts w:ascii="Cambria" w:eastAsia="Cambria" w:hAnsi="Cambria" w:cs="Cambria"/>
          <w:b/>
          <w:bCs/>
        </w:rPr>
        <w:t xml:space="preserve"> ASCR-05 values only where those localized defaults have been confirmed appropriate; tamper-detection circuit not present or implemented in software rather than hardware.</w:t>
      </w:r>
    </w:p>
    <w:p w14:paraId="5B4C83EF" w14:textId="77777777" w:rsidR="00875D22" w:rsidRPr="00E3012D" w:rsidRDefault="00000000">
      <w:pPr>
        <w:pBdr>
          <w:top w:val="nil"/>
          <w:left w:val="nil"/>
          <w:bottom w:val="nil"/>
          <w:right w:val="nil"/>
          <w:between w:val="nil"/>
        </w:pBdr>
        <w:spacing w:before="180" w:after="180"/>
      </w:pPr>
      <w:r w:rsidRPr="00E3012D">
        <w:t xml:space="preserve">4.3.2.3 KQP-3 - Hardware Security Module Certification (Critical threshold) </w:t>
      </w:r>
    </w:p>
    <w:p w14:paraId="216E5153" w14:textId="77777777" w:rsidR="00875D22" w:rsidRPr="00E3012D" w:rsidRDefault="00000000">
      <w:pPr>
        <w:pBdr>
          <w:top w:val="nil"/>
          <w:left w:val="nil"/>
          <w:bottom w:val="nil"/>
          <w:right w:val="nil"/>
          <w:between w:val="nil"/>
        </w:pBdr>
        <w:spacing w:before="180" w:after="180"/>
      </w:pPr>
      <w:r w:rsidRPr="00E3012D">
        <w:t>The Hardware Security Module (HSM) utilized for signing key storage and command signature verification must maintain FIPS 140-3 Level 3 certification or an equivalent standard approved by the operator’s regulatory framework. ASCR-04 Section 3.6 defines Ed25519 command-signature verification for the KQP command-authentication path. Under ASCR-17, Ed25519 or ECDSA P-256 are the default algorithms for vendor qualification. Where a deployment uses an alternative approved signature algorithm, that choice must be explicitly governed, documented, and validated under the applicable ASCR-10 change and deployment-configuration process rather than inferred from ASCR-04. RSA-2048 is out of scope for new ASCR KQP deployments by ASCR policy, not because FIPS prohibits it; an RSA-based proxy requires an explicit ASCR-11 deviation. Procurement planning should include a migration path for ML-DSA (FIPS 204) where lifecycle and platform support make that practicable.</w:t>
      </w:r>
    </w:p>
    <w:p w14:paraId="2032AD67" w14:textId="77777777" w:rsidR="00875D22" w:rsidRPr="00E3012D" w:rsidRDefault="00000000">
      <w:r w:rsidRPr="00E3012D">
        <w:rPr>
          <w:b/>
          <w:bCs/>
        </w:rPr>
        <w:t>FIPS 140-3 Level 3 justification</w:t>
      </w:r>
    </w:p>
    <w:p w14:paraId="53331080" w14:textId="77777777" w:rsidR="00875D22" w:rsidRPr="00E3012D" w:rsidRDefault="00000000">
      <w:pPr>
        <w:pBdr>
          <w:top w:val="nil"/>
          <w:left w:val="nil"/>
          <w:bottom w:val="nil"/>
          <w:right w:val="nil"/>
          <w:between w:val="nil"/>
        </w:pBdr>
        <w:spacing w:before="180" w:after="180"/>
      </w:pPr>
      <w:r w:rsidRPr="00E3012D">
        <w:rPr>
          <w:rFonts w:ascii="Cambria" w:eastAsia="Cambria" w:hAnsi="Cambria" w:cs="Cambria"/>
        </w:rPr>
        <w:t xml:space="preserve">FIPS 140-3 Level 3 is the </w:t>
      </w:r>
      <w:proofErr w:type="gramStart"/>
      <w:r w:rsidRPr="00E3012D">
        <w:rPr>
          <w:rFonts w:ascii="Cambria" w:eastAsia="Cambria" w:hAnsi="Cambria" w:cs="Cambria"/>
        </w:rPr>
        <w:t>ASCR policy minimum</w:t>
      </w:r>
      <w:proofErr w:type="gramEnd"/>
      <w:r w:rsidRPr="00E3012D">
        <w:rPr>
          <w:rFonts w:ascii="Cambria" w:eastAsia="Cambria" w:hAnsi="Cambria" w:cs="Cambria"/>
        </w:rPr>
        <w:t xml:space="preserve"> for this KQP use case because it requires stronger physical-security </w:t>
      </w:r>
      <w:proofErr w:type="gramStart"/>
      <w:r w:rsidRPr="00E3012D">
        <w:rPr>
          <w:rFonts w:ascii="Cambria" w:eastAsia="Cambria" w:hAnsi="Cambria" w:cs="Cambria"/>
        </w:rPr>
        <w:t>protections</w:t>
      </w:r>
      <w:proofErr w:type="gramEnd"/>
      <w:r w:rsidRPr="00E3012D">
        <w:rPr>
          <w:rFonts w:ascii="Cambria" w:eastAsia="Cambria" w:hAnsi="Cambria" w:cs="Cambria"/>
        </w:rPr>
        <w:t xml:space="preserve"> than Level 2 and, for applicable removable covers, doors, or maintenance-access interfaces, requires tamper-response and zeroization mechanisms. A Level 2 validation does not by itself demonstrate the Level 3 physical-security properties required here; the assessor must also confirm that the certified module boundary and embodiment cover the KQP signing-key use case.</w:t>
      </w:r>
    </w:p>
    <w:p w14:paraId="690CCE4C" w14:textId="77777777" w:rsidR="00875D22" w:rsidRPr="00E3012D" w:rsidRDefault="00000000">
      <w:r w:rsidRPr="00E3012D">
        <w:rPr>
          <w:b/>
          <w:bCs/>
        </w:rPr>
        <w:t>Compliance failures and hardware anchoring</w:t>
      </w:r>
    </w:p>
    <w:p w14:paraId="2B53249C" w14:textId="77777777" w:rsidR="00875D22" w:rsidRPr="00E3012D" w:rsidRDefault="00000000">
      <w:pPr>
        <w:pBdr>
          <w:top w:val="nil"/>
          <w:left w:val="nil"/>
          <w:bottom w:val="nil"/>
          <w:right w:val="nil"/>
          <w:between w:val="nil"/>
        </w:pBdr>
        <w:spacing w:before="180" w:after="180"/>
      </w:pPr>
      <w:r w:rsidRPr="00E3012D">
        <w:lastRenderedPageBreak/>
        <w:t>The use of a proxy that stores KQP signing keys in software-accessible memory constitutes a Critical failure under this ASCR-17 KQP-3 assessment. This assessment requirement complements the ASCR-04 Section 3.6 KQP command-authentication and HSM-integrity controls. This failure applies regardless of any encryption layers applied to that memory. The requirement for hardware anchoring is the defining characteristic that distinguishes the Steel Handshake from a standard software-layer authentication wrapper.</w:t>
      </w:r>
    </w:p>
    <w:p w14:paraId="2FB036D6" w14:textId="77777777" w:rsidR="00875D22" w:rsidRPr="00E3012D" w:rsidRDefault="00000000">
      <w:pPr>
        <w:pBdr>
          <w:top w:val="nil"/>
          <w:left w:val="nil"/>
          <w:bottom w:val="nil"/>
          <w:right w:val="nil"/>
          <w:between w:val="nil"/>
        </w:pBdr>
        <w:spacing w:before="180" w:after="180"/>
      </w:pPr>
      <w:r w:rsidRPr="00E3012D">
        <w:rPr>
          <w:rFonts w:ascii="Cambria" w:eastAsia="Cambria" w:hAnsi="Cambria" w:cs="Cambria"/>
          <w:b/>
          <w:bCs/>
        </w:rPr>
        <w:t>Evidence required:</w:t>
      </w:r>
      <w:r w:rsidRPr="00E3012D">
        <w:rPr>
          <w:rFonts w:ascii="Cambria" w:eastAsia="Cambria" w:hAnsi="Cambria" w:cs="Cambria"/>
        </w:rPr>
        <w:t xml:space="preserve"> Current FIPS 140-3 Level 3 certificate (or equivalent); certificate scope documentation confirming that the signing key operations relevant to KQP command authentication are within the certified boundary.</w:t>
      </w:r>
    </w:p>
    <w:p w14:paraId="16347222" w14:textId="77777777" w:rsidR="00875D22" w:rsidRPr="00E3012D" w:rsidRDefault="00000000">
      <w:pPr>
        <w:pBdr>
          <w:top w:val="nil"/>
          <w:left w:val="nil"/>
          <w:bottom w:val="nil"/>
          <w:right w:val="nil"/>
          <w:between w:val="nil"/>
        </w:pBdr>
        <w:spacing w:before="180" w:after="180"/>
      </w:pPr>
      <w:r w:rsidRPr="00E3012D">
        <w:rPr>
          <w:rFonts w:ascii="Cambria" w:eastAsia="Cambria" w:hAnsi="Cambria" w:cs="Cambria"/>
          <w:b/>
          <w:bCs/>
        </w:rPr>
        <w:t>Critical failure threshold:</w:t>
      </w:r>
      <w:r w:rsidRPr="00E3012D">
        <w:rPr>
          <w:rFonts w:ascii="Cambria" w:eastAsia="Cambria" w:hAnsi="Cambria" w:cs="Cambria"/>
        </w:rPr>
        <w:t xml:space="preserve"> No FIPS 140-3 Level 3 (or equivalent) certification; signing key accessible from software-layer memory; certificate scope does not cover the signing operations used in KQP command authentication.</w:t>
      </w:r>
    </w:p>
    <w:p w14:paraId="750B3347" w14:textId="77777777" w:rsidR="00875D22" w:rsidRPr="00E3012D" w:rsidRDefault="00000000">
      <w:pPr>
        <w:pBdr>
          <w:top w:val="nil"/>
          <w:left w:val="nil"/>
          <w:bottom w:val="nil"/>
          <w:right w:val="nil"/>
          <w:between w:val="nil"/>
        </w:pBdr>
        <w:spacing w:before="180" w:after="180"/>
      </w:pPr>
      <w:r w:rsidRPr="00E3012D">
        <w:t>4.3.2.4 KQP-4 - Firmware Update Notification Process (Significant threshold)</w:t>
      </w:r>
    </w:p>
    <w:p w14:paraId="49BB1C16" w14:textId="77777777" w:rsidR="00875D22" w:rsidRPr="00E3012D" w:rsidRDefault="00000000">
      <w:pPr>
        <w:pBdr>
          <w:top w:val="nil"/>
          <w:left w:val="nil"/>
          <w:bottom w:val="nil"/>
          <w:right w:val="nil"/>
          <w:between w:val="nil"/>
        </w:pBdr>
        <w:spacing w:before="180" w:after="180"/>
      </w:pPr>
      <w:r w:rsidRPr="00E3012D">
        <w:rPr>
          <w:rFonts w:ascii="Cambria" w:eastAsia="Cambria" w:hAnsi="Cambria" w:cs="Cambria"/>
        </w:rPr>
        <w:t xml:space="preserve">The vendor shall document and demonstrate a firmware update notification process providing </w:t>
      </w:r>
      <w:proofErr w:type="gramStart"/>
      <w:r w:rsidRPr="00E3012D">
        <w:rPr>
          <w:rFonts w:ascii="Cambria" w:eastAsia="Cambria" w:hAnsi="Cambria" w:cs="Cambria"/>
        </w:rPr>
        <w:t>operators</w:t>
      </w:r>
      <w:proofErr w:type="gramEnd"/>
      <w:r w:rsidRPr="00E3012D">
        <w:rPr>
          <w:rFonts w:ascii="Cambria" w:eastAsia="Cambria" w:hAnsi="Cambria" w:cs="Cambria"/>
        </w:rPr>
        <w:t xml:space="preserve"> minimum 14-calendar-day advance notice before any firmware change that alters TPM PCR measurements. The process </w:t>
      </w:r>
      <w:proofErr w:type="gramStart"/>
      <w:r w:rsidRPr="00E3012D">
        <w:rPr>
          <w:rFonts w:ascii="Cambria" w:eastAsia="Cambria" w:hAnsi="Cambria" w:cs="Cambria"/>
        </w:rPr>
        <w:t>shall</w:t>
      </w:r>
      <w:proofErr w:type="gramEnd"/>
      <w:r w:rsidRPr="00E3012D">
        <w:rPr>
          <w:rFonts w:ascii="Cambria" w:eastAsia="Cambria" w:hAnsi="Cambria" w:cs="Cambria"/>
        </w:rPr>
        <w:t xml:space="preserve"> </w:t>
      </w:r>
      <w:proofErr w:type="gramStart"/>
      <w:r w:rsidRPr="00E3012D">
        <w:rPr>
          <w:rFonts w:ascii="Cambria" w:eastAsia="Cambria" w:hAnsi="Cambria" w:cs="Cambria"/>
        </w:rPr>
        <w:t>include:</w:t>
      </w:r>
      <w:proofErr w:type="gramEnd"/>
      <w:r w:rsidRPr="00E3012D">
        <w:rPr>
          <w:rFonts w:ascii="Cambria" w:eastAsia="Cambria" w:hAnsi="Cambria" w:cs="Cambria"/>
        </w:rPr>
        <w:t xml:space="preserve"> identification of which firmware changes alter PCR measurements; notification delivery mechanism and escalation path; documented maximum time from firmware release decision to operator notification.</w:t>
      </w:r>
    </w:p>
    <w:p w14:paraId="2A31440C" w14:textId="77777777" w:rsidR="00875D22" w:rsidRPr="00E3012D" w:rsidRDefault="00000000">
      <w:pPr>
        <w:pBdr>
          <w:top w:val="nil"/>
          <w:left w:val="nil"/>
          <w:bottom w:val="nil"/>
          <w:right w:val="nil"/>
          <w:between w:val="nil"/>
        </w:pBdr>
        <w:spacing w:before="180" w:after="180"/>
      </w:pPr>
      <w:r w:rsidRPr="00E3012D">
        <w:rPr>
          <w:rFonts w:ascii="Cambria" w:eastAsia="Cambria" w:hAnsi="Cambria" w:cs="Cambria"/>
          <w:b/>
          <w:bCs/>
        </w:rPr>
        <w:t>Evidence required:</w:t>
      </w:r>
      <w:r w:rsidRPr="00E3012D">
        <w:rPr>
          <w:rFonts w:ascii="Cambria" w:eastAsia="Cambria" w:hAnsi="Cambria" w:cs="Cambria"/>
        </w:rPr>
        <w:t xml:space="preserve"> Written process documentation; evidence of prior notifications delivered to other customers (redacted); confirmation that the process produces notification before, not concurrent with, firmware release.</w:t>
      </w:r>
    </w:p>
    <w:p w14:paraId="3F0C41D9" w14:textId="77777777" w:rsidR="00875D22" w:rsidRPr="00E3012D" w:rsidRDefault="00000000">
      <w:pPr>
        <w:pBdr>
          <w:top w:val="nil"/>
          <w:left w:val="nil"/>
          <w:bottom w:val="nil"/>
          <w:right w:val="nil"/>
          <w:between w:val="nil"/>
        </w:pBdr>
        <w:spacing w:before="180" w:after="180"/>
      </w:pPr>
      <w:r w:rsidRPr="00E3012D">
        <w:rPr>
          <w:rFonts w:ascii="Cambria" w:eastAsia="Cambria" w:hAnsi="Cambria" w:cs="Cambria"/>
          <w:b/>
          <w:bCs/>
        </w:rPr>
        <w:t xml:space="preserve">Significant failure threshold: </w:t>
      </w:r>
      <w:r w:rsidRPr="00E3012D">
        <w:rPr>
          <w:rFonts w:ascii="Cambria" w:eastAsia="Cambria" w:hAnsi="Cambria" w:cs="Cambria"/>
        </w:rPr>
        <w:t>No documented process; process does not guarantee 14-day advance notice; notification delivered concurrent with or after firmware release.</w:t>
      </w:r>
    </w:p>
    <w:p w14:paraId="5446F23B" w14:textId="77777777" w:rsidR="00875D22" w:rsidRPr="00E3012D" w:rsidRDefault="00000000">
      <w:pPr>
        <w:pBdr>
          <w:top w:val="nil"/>
          <w:left w:val="nil"/>
          <w:bottom w:val="nil"/>
          <w:right w:val="nil"/>
          <w:between w:val="nil"/>
        </w:pBdr>
        <w:spacing w:before="180" w:after="180"/>
      </w:pPr>
      <w:r w:rsidRPr="00E3012D">
        <w:t>4.3.2.5 KQP-5 - Phase Isolation Architecture (Significant threshold)</w:t>
      </w:r>
    </w:p>
    <w:p w14:paraId="40C79774" w14:textId="77777777" w:rsidR="00875D22" w:rsidRPr="00E3012D" w:rsidRDefault="00000000">
      <w:pPr>
        <w:pBdr>
          <w:top w:val="nil"/>
          <w:left w:val="nil"/>
          <w:bottom w:val="nil"/>
          <w:right w:val="nil"/>
          <w:between w:val="nil"/>
        </w:pBdr>
        <w:spacing w:before="180" w:after="180"/>
      </w:pPr>
      <w:r w:rsidRPr="00E3012D">
        <w:rPr>
          <w:rFonts w:ascii="Cambria" w:eastAsia="Cambria" w:hAnsi="Cambria" w:cs="Cambria"/>
        </w:rPr>
        <w:t>The vendor shall document that KQP Phase 1 (command blocking) and Phase 4 (cryptographic purge) execute on physically isolated hardware paths or strictly partitioned RTOS environments.</w:t>
      </w:r>
    </w:p>
    <w:p w14:paraId="440A04B2" w14:textId="77777777" w:rsidR="00875D22" w:rsidRPr="00E3012D" w:rsidRDefault="00000000">
      <w:pPr>
        <w:pBdr>
          <w:top w:val="nil"/>
          <w:left w:val="nil"/>
          <w:bottom w:val="nil"/>
          <w:right w:val="nil"/>
          <w:between w:val="nil"/>
        </w:pBdr>
        <w:spacing w:before="180" w:after="180"/>
      </w:pPr>
      <w:r w:rsidRPr="00E3012D">
        <w:rPr>
          <w:rFonts w:ascii="Cambria" w:eastAsia="Cambria" w:hAnsi="Cambria" w:cs="Cambria"/>
        </w:rPr>
        <w:t>Command blocking must use a dedicated hardware interrupt, an independent microcontroller (MCU), or an equivalently isolated execution path demonstrably unable to be blocked by the processor or execution context performing the cryptographic purge. Where a strictly partitioned RTOS is used, the vendor must provide failure-analysis evidence that a Phase 4 fault or hang cannot suppress or materially delay Phase 1 command blocking.</w:t>
      </w:r>
    </w:p>
    <w:p w14:paraId="4F630C69" w14:textId="77777777" w:rsidR="00875D22" w:rsidRPr="00E3012D" w:rsidRDefault="00000000">
      <w:pPr>
        <w:pBdr>
          <w:top w:val="nil"/>
          <w:left w:val="nil"/>
          <w:bottom w:val="nil"/>
          <w:right w:val="nil"/>
          <w:between w:val="nil"/>
        </w:pBdr>
        <w:spacing w:before="180" w:after="180"/>
      </w:pPr>
      <w:r w:rsidRPr="00E3012D">
        <w:rPr>
          <w:rFonts w:ascii="Cambria" w:eastAsia="Cambria" w:hAnsi="Cambria" w:cs="Cambria"/>
        </w:rPr>
        <w:lastRenderedPageBreak/>
        <w:t>A proxy where Phase 1 and Phase 4 share an execution thread or process creates the risk that a cryptographic library fault during Phase 4 prevents command blocking from executing. This would leave assets in an active kinetic state while the triggering identity failure remains unresolved.</w:t>
      </w:r>
    </w:p>
    <w:p w14:paraId="25DFF9A1" w14:textId="77777777" w:rsidR="00875D22" w:rsidRPr="00E3012D" w:rsidRDefault="00000000">
      <w:pPr>
        <w:pBdr>
          <w:top w:val="nil"/>
          <w:left w:val="nil"/>
          <w:bottom w:val="nil"/>
          <w:right w:val="nil"/>
          <w:between w:val="nil"/>
        </w:pBdr>
        <w:spacing w:before="180" w:after="180"/>
      </w:pPr>
      <w:r w:rsidRPr="00E3012D">
        <w:rPr>
          <w:rFonts w:ascii="Cambria" w:eastAsia="Cambria" w:hAnsi="Cambria" w:cs="Cambria"/>
          <w:b/>
          <w:bCs/>
        </w:rPr>
        <w:t>Evidence required:</w:t>
      </w:r>
      <w:r w:rsidRPr="00E3012D">
        <w:rPr>
          <w:rFonts w:ascii="Cambria" w:eastAsia="Cambria" w:hAnsi="Cambria" w:cs="Cambria"/>
        </w:rPr>
        <w:t xml:space="preserve"> Architecture documentation showing Phase 1 and Phase 4 execution contexts; failure mode analysis (FMEA) or equivalent confirming that Phase 4 failure does not propagate to Phase 1.</w:t>
      </w:r>
    </w:p>
    <w:p w14:paraId="1C785508" w14:textId="77777777" w:rsidR="00875D22" w:rsidRPr="00E3012D" w:rsidRDefault="00000000">
      <w:pPr>
        <w:pBdr>
          <w:top w:val="nil"/>
          <w:left w:val="nil"/>
          <w:bottom w:val="nil"/>
          <w:right w:val="nil"/>
          <w:between w:val="nil"/>
        </w:pBdr>
        <w:spacing w:before="180" w:after="180"/>
      </w:pPr>
      <w:r w:rsidRPr="00E3012D">
        <w:rPr>
          <w:rFonts w:ascii="Cambria" w:eastAsia="Cambria" w:hAnsi="Cambria" w:cs="Cambria"/>
          <w:b/>
          <w:bCs/>
        </w:rPr>
        <w:t>Significant failure threshold</w:t>
      </w:r>
      <w:r w:rsidRPr="00E3012D">
        <w:rPr>
          <w:rFonts w:ascii="Cambria" w:eastAsia="Cambria" w:hAnsi="Cambria" w:cs="Cambria"/>
        </w:rPr>
        <w:t>: No architecture documentation; FMEA absent or does not address Phase 4 to Phase 1 failure propagation; shared execution context confirmed.</w:t>
      </w:r>
    </w:p>
    <w:p w14:paraId="4F62C895" w14:textId="77777777" w:rsidR="00875D22" w:rsidRPr="00E3012D" w:rsidRDefault="00000000">
      <w:pPr>
        <w:pBdr>
          <w:top w:val="nil"/>
          <w:left w:val="nil"/>
          <w:bottom w:val="nil"/>
          <w:right w:val="nil"/>
          <w:between w:val="nil"/>
        </w:pBdr>
        <w:spacing w:before="180" w:after="180"/>
      </w:pPr>
      <w:r w:rsidRPr="00E3012D">
        <w:t>KQP-4 and KQP-5 use Significant failure thresholds, not Critical Failure thresholds. When a Significant failure threshold is met, score the affected sub-dimension under the 1-4 scale; a score of 1 still produces a Disqualified determination under Section 7.2. Do not record CF solely because a KQP-4 or KQP-5 Significant threshold is met.</w:t>
      </w:r>
    </w:p>
    <w:p w14:paraId="1BB5CA35" w14:textId="77777777" w:rsidR="00875D22" w:rsidRPr="00E3012D" w:rsidRDefault="00000000">
      <w:pPr>
        <w:pStyle w:val="Heading3"/>
        <w:rPr>
          <w:color w:val="auto"/>
        </w:rPr>
      </w:pPr>
      <w:r w:rsidRPr="00E3012D">
        <w:rPr>
          <w:color w:val="auto"/>
        </w:rPr>
        <w:t>4.4 Edge inference hardware assurance (Dimension 3 alternate track)</w:t>
      </w:r>
    </w:p>
    <w:p w14:paraId="281B1112" w14:textId="77777777" w:rsidR="00875D22" w:rsidRPr="00E3012D" w:rsidRDefault="00000000">
      <w:r w:rsidRPr="00E3012D">
        <w:t>Edge inference hardware vendors that are not command-authentication proxies use the DIM3_EDGE_HW track. Assess: EDGE-1 TEE/secure-boot and remote-attestation evidence for the supplied platform; EDGE-2 signed firmware provenance, firmware-BOM/SBOM, update authorization, rollback, PCR/measurement change control, and advance material-change notice; and EDGE-3 hardware-backed device identity, trust-anchor/key isolation, and revocation. A vendor claiming TEE assurance that cannot provide verifiable attestation/secure-boot evidence, a platform accepting unsigned/unverifiable production firmware, or extractable device/trust-anchor keys is Disqualified through the applicable Critical Failure trigger.</w:t>
      </w:r>
    </w:p>
    <w:p w14:paraId="316AB3C2" w14:textId="77777777" w:rsidR="00875D22" w:rsidRPr="00E3012D" w:rsidRDefault="00000000">
      <w:pPr>
        <w:pStyle w:val="Heading2"/>
        <w:rPr>
          <w:color w:val="auto"/>
        </w:rPr>
      </w:pPr>
      <w:r w:rsidRPr="00E3012D">
        <w:rPr>
          <w:color w:val="auto"/>
        </w:rPr>
        <w:t>Section 5 — Dimension 4: Incident response and forensic cooperation capability</w:t>
      </w:r>
    </w:p>
    <w:p w14:paraId="657EF99C" w14:textId="77777777" w:rsidR="00875D22" w:rsidRPr="00E3012D" w:rsidRDefault="00000000">
      <w:pPr>
        <w:pStyle w:val="Heading3"/>
        <w:rPr>
          <w:color w:val="auto"/>
        </w:rPr>
      </w:pPr>
      <w:r w:rsidRPr="00E3012D">
        <w:rPr>
          <w:color w:val="auto"/>
        </w:rPr>
        <w:t>5.1 Assessment objective</w:t>
      </w:r>
    </w:p>
    <w:p w14:paraId="533AB13C" w14:textId="77777777" w:rsidR="00875D22" w:rsidRPr="00E3012D" w:rsidRDefault="00000000">
      <w:pPr>
        <w:pBdr>
          <w:top w:val="nil"/>
          <w:left w:val="nil"/>
          <w:bottom w:val="nil"/>
          <w:right w:val="nil"/>
          <w:between w:val="nil"/>
        </w:pBdr>
        <w:spacing w:before="180" w:after="180"/>
      </w:pPr>
      <w:r w:rsidRPr="00E3012D">
        <w:t>Incident response and forensic cooperation capability assessment answers a single question: when a convergence-domain incident involves a vendor-supplied component, can the vendor produce the evidence required for its category and tier within the timeframes specified in ASCR-11? Conducting the assessment before procurement is the preferred opportunity to establish this capability before admission and contract execution; later reassessment can re-evaluate the capability but does not cure the original admission-evidence gap. For Tier 1 vendors and any lower-tier vendor elevated to Tier 1 incident-response depth, use the matched Part 1 tabletop in ASCR-17-OE02-Operational-</w:t>
      </w:r>
      <w:r w:rsidRPr="00E3012D">
        <w:lastRenderedPageBreak/>
        <w:t>Companion.docx. For ordinary Tier 2 and Tier 3 assessments, evaluate the policy, process, contractual, and evidence-production capabilities required by the Section 1.2 assessment-depth table; a tabletop may be used as supplemental evidence. When a tabletop is required, select the scenario before scheduling and do not share the Attack Vector section with the vendor in advance.</w:t>
      </w:r>
    </w:p>
    <w:p w14:paraId="0DAE234A" w14:textId="77777777" w:rsidR="00875D22" w:rsidRPr="00E3012D" w:rsidRDefault="00000000">
      <w:pPr>
        <w:pStyle w:val="Heading3"/>
        <w:rPr>
          <w:color w:val="auto"/>
        </w:rPr>
      </w:pPr>
      <w:r w:rsidRPr="00E3012D">
        <w:rPr>
          <w:color w:val="auto"/>
        </w:rPr>
        <w:t>5.2 Capability assessment requirements</w:t>
      </w:r>
    </w:p>
    <w:p w14:paraId="6C8C9536" w14:textId="77777777" w:rsidR="00875D22" w:rsidRPr="00E3012D" w:rsidRDefault="00000000">
      <w:pPr>
        <w:pBdr>
          <w:top w:val="nil"/>
          <w:left w:val="nil"/>
          <w:bottom w:val="nil"/>
          <w:right w:val="nil"/>
          <w:between w:val="nil"/>
        </w:pBdr>
        <w:spacing w:before="180" w:after="180"/>
      </w:pPr>
      <w:r w:rsidRPr="00E3012D">
        <w:t>Forensic Evidence Production Capability The vendor must demonstrate the ability to produce, as applicable to the assessed component and tier, within the timeframes specified in ASCR-11:</w:t>
      </w:r>
    </w:p>
    <w:p w14:paraId="684535D2" w14:textId="77777777" w:rsidR="00875D22" w:rsidRPr="00E3012D" w:rsidRDefault="00000000">
      <w:pPr>
        <w:numPr>
          <w:ilvl w:val="0"/>
          <w:numId w:val="4"/>
        </w:numPr>
      </w:pPr>
      <w:r w:rsidRPr="00E3012D">
        <w:t>ASCR contractual target: vendor acknowledges and provides initial notification of a confirmed incident involving a vendor artifact within 2 hours, preserving the deployer’s regulatory reporting window.</w:t>
      </w:r>
    </w:p>
    <w:p w14:paraId="422EA736" w14:textId="77777777" w:rsidR="00875D22" w:rsidRPr="00E3012D" w:rsidRDefault="00000000">
      <w:pPr>
        <w:numPr>
          <w:ilvl w:val="0"/>
          <w:numId w:val="4"/>
        </w:numPr>
      </w:pPr>
      <w:r w:rsidRPr="00E3012D">
        <w:rPr>
          <w:b/>
          <w:bCs/>
        </w:rPr>
        <w:t>Six-hour delivery</w:t>
      </w:r>
      <w:r w:rsidRPr="00E3012D">
        <w:t xml:space="preserve"> of an initial Vendor Incident Report, including:</w:t>
      </w:r>
    </w:p>
    <w:p w14:paraId="12D18801" w14:textId="77777777" w:rsidR="00875D22" w:rsidRPr="00E3012D" w:rsidRDefault="00000000">
      <w:pPr>
        <w:numPr>
          <w:ilvl w:val="0"/>
          <w:numId w:val="4"/>
        </w:numPr>
      </w:pPr>
      <w:r w:rsidRPr="00E3012D">
        <w:t>Deployed model, software, firmware, or hardware component identity/version and integrity/hash records for the incident window.</w:t>
      </w:r>
    </w:p>
    <w:p w14:paraId="0B5B497C" w14:textId="77777777" w:rsidR="00875D22" w:rsidRPr="00E3012D" w:rsidRDefault="00000000">
      <w:pPr>
        <w:numPr>
          <w:ilvl w:val="0"/>
          <w:numId w:val="4"/>
        </w:numPr>
      </w:pPr>
      <w:r w:rsidRPr="00E3012D">
        <w:t xml:space="preserve">Applicable development, training, </w:t>
      </w:r>
      <w:proofErr w:type="gramStart"/>
      <w:r w:rsidRPr="00E3012D">
        <w:t>build</w:t>
      </w:r>
      <w:proofErr w:type="gramEnd"/>
      <w:r w:rsidRPr="00E3012D">
        <w:t xml:space="preserve">, firmware, or </w:t>
      </w:r>
      <w:proofErr w:type="gramStart"/>
      <w:r w:rsidRPr="00E3012D">
        <w:t>update</w:t>
      </w:r>
      <w:proofErr w:type="gramEnd"/>
      <w:r w:rsidRPr="00E3012D">
        <w:t xml:space="preserve"> audit records for the component versions under investigation.</w:t>
      </w:r>
    </w:p>
    <w:p w14:paraId="481ED996" w14:textId="77777777" w:rsidR="00875D22" w:rsidRPr="00E3012D" w:rsidRDefault="00000000">
      <w:pPr>
        <w:numPr>
          <w:ilvl w:val="0"/>
          <w:numId w:val="4"/>
        </w:numPr>
      </w:pPr>
      <w:r w:rsidRPr="00E3012D">
        <w:t>Dependency, supplier, and provenance integrity records relevant to the suspected compromise path.</w:t>
      </w:r>
    </w:p>
    <w:p w14:paraId="628E2A87" w14:textId="77777777" w:rsidR="00875D22" w:rsidRPr="00E3012D" w:rsidRDefault="00000000">
      <w:pPr>
        <w:numPr>
          <w:ilvl w:val="0"/>
          <w:numId w:val="4"/>
        </w:numPr>
      </w:pPr>
      <w:r w:rsidRPr="00E3012D">
        <w:t>Applicable behavioral, command, attestation, or other baseline records needed to compare the implicated component with its authorized or expected operational state.</w:t>
      </w:r>
    </w:p>
    <w:p w14:paraId="0302717C" w14:textId="77777777" w:rsidR="00875D22" w:rsidRPr="00E3012D" w:rsidRDefault="00000000">
      <w:pPr>
        <w:pBdr>
          <w:top w:val="nil"/>
          <w:left w:val="nil"/>
          <w:bottom w:val="nil"/>
          <w:right w:val="nil"/>
          <w:between w:val="nil"/>
        </w:pBdr>
        <w:spacing w:before="180" w:after="180"/>
      </w:pPr>
      <w:r w:rsidRPr="00E3012D">
        <w:rPr>
          <w:rFonts w:ascii="Cambria" w:eastAsia="Cambria" w:hAnsi="Cambria" w:cs="Cambria"/>
          <w:i/>
          <w:iCs/>
        </w:rPr>
        <w:t>Assessment method:</w:t>
      </w:r>
      <w:r w:rsidRPr="00E3012D">
        <w:rPr>
          <w:rFonts w:ascii="Cambria" w:eastAsia="Cambria" w:hAnsi="Cambria" w:cs="Cambria"/>
        </w:rPr>
        <w:t xml:space="preserve"> For Tier 1 and elevated lower-tier assessments, conduct a category-matched tabletop. Minimum tabletop scenario requirements:</w:t>
      </w:r>
    </w:p>
    <w:p w14:paraId="0FC85FDE" w14:textId="77777777" w:rsidR="00875D22" w:rsidRPr="00E3012D" w:rsidRDefault="00000000">
      <w:pPr>
        <w:numPr>
          <w:ilvl w:val="0"/>
          <w:numId w:val="5"/>
        </w:numPr>
      </w:pPr>
      <w:proofErr w:type="gramStart"/>
      <w:r w:rsidRPr="00E3012D">
        <w:t>the</w:t>
      </w:r>
      <w:proofErr w:type="gramEnd"/>
      <w:r w:rsidRPr="00E3012D">
        <w:t xml:space="preserve"> scenario must present a category-relevant operational anomaly or integrity signal, such as model/agent behavioral evidence, command-path evidence, attestation mismatch, or firmware/update integrity evidence, requiring the vendor to work backward from deployment-side observations to the relevant development, build, supplier, or update evidence;</w:t>
      </w:r>
    </w:p>
    <w:p w14:paraId="15127583" w14:textId="77777777" w:rsidR="00875D22" w:rsidRPr="00E3012D" w:rsidRDefault="00000000">
      <w:pPr>
        <w:numPr>
          <w:ilvl w:val="0"/>
          <w:numId w:val="5"/>
        </w:numPr>
      </w:pPr>
      <w:r w:rsidRPr="00E3012D">
        <w:t>at least one evidence request must require delivery within the six-hour window;</w:t>
      </w:r>
    </w:p>
    <w:p w14:paraId="0032CD01" w14:textId="77777777" w:rsidR="00875D22" w:rsidRPr="00E3012D" w:rsidRDefault="00000000">
      <w:pPr>
        <w:numPr>
          <w:ilvl w:val="0"/>
          <w:numId w:val="5"/>
        </w:numPr>
      </w:pPr>
      <w:proofErr w:type="gramStart"/>
      <w:r w:rsidRPr="00E3012D">
        <w:t>the</w:t>
      </w:r>
      <w:proofErr w:type="gramEnd"/>
      <w:r w:rsidRPr="00E3012D">
        <w:t xml:space="preserve"> scenario must include an upstream supplier, dependency, data-source, firmware, or update-chain provenance vector appropriate to the vendor category where such a vector is relevant;</w:t>
      </w:r>
    </w:p>
    <w:p w14:paraId="37EF4B7F" w14:textId="77777777" w:rsidR="00875D22" w:rsidRPr="00E3012D" w:rsidRDefault="00000000">
      <w:pPr>
        <w:numPr>
          <w:ilvl w:val="0"/>
          <w:numId w:val="5"/>
        </w:numPr>
      </w:pPr>
      <w:proofErr w:type="gramStart"/>
      <w:r w:rsidRPr="00E3012D">
        <w:lastRenderedPageBreak/>
        <w:t>the</w:t>
      </w:r>
      <w:proofErr w:type="gramEnd"/>
      <w:r w:rsidRPr="00E3012D">
        <w:t xml:space="preserve"> assessor must ask the vendor to produce a preliminary current MITRE ATLAS mapping, or an equivalent applicable incident-technique taxonomy mapping where ATLAS does not fit the hardware-only event, before the tabletop concludes.</w:t>
      </w:r>
    </w:p>
    <w:p w14:paraId="72302073" w14:textId="77777777" w:rsidR="00875D22" w:rsidRPr="00E3012D" w:rsidRDefault="00000000">
      <w:pPr>
        <w:pBdr>
          <w:top w:val="nil"/>
          <w:left w:val="nil"/>
          <w:bottom w:val="nil"/>
          <w:right w:val="nil"/>
          <w:between w:val="nil"/>
        </w:pBdr>
        <w:spacing w:before="180" w:after="180"/>
      </w:pPr>
      <w:r w:rsidRPr="00E3012D">
        <w:rPr>
          <w:rFonts w:ascii="Cambria" w:eastAsia="Cambria" w:hAnsi="Cambria" w:cs="Cambria"/>
        </w:rPr>
        <w:t>A required tabletop that does not satisfy these minimum scenario elements does not test the full evidence-production requirement for the assessed vendor category.</w:t>
      </w:r>
    </w:p>
    <w:p w14:paraId="3B59D7C9" w14:textId="77777777" w:rsidR="00875D22" w:rsidRPr="00E3012D" w:rsidRDefault="00000000">
      <w:pPr>
        <w:pBdr>
          <w:top w:val="nil"/>
          <w:left w:val="nil"/>
          <w:bottom w:val="nil"/>
          <w:right w:val="nil"/>
          <w:between w:val="nil"/>
        </w:pBdr>
        <w:spacing w:before="180" w:after="180"/>
      </w:pPr>
      <w:r w:rsidRPr="00E3012D">
        <w:t>The exercise presents the vendor incident-response team with a category-relevant anomaly or integrity event and measures evidence-production capability against the defined time windows. The live tabletop may conclude at T+3, but evidence explicitly due within six hours remains open until T+6. A missing or late item within the defined window normally scores 2 for the affected sub-dimension; refusal or absence of the underlying capability scores 1 unless an expressly defined Critical Failure threshold is met.</w:t>
      </w:r>
    </w:p>
    <w:p w14:paraId="00B8052D" w14:textId="77777777" w:rsidR="00875D22" w:rsidRPr="00E3012D" w:rsidRDefault="00000000">
      <w:pPr>
        <w:pBdr>
          <w:top w:val="nil"/>
          <w:left w:val="nil"/>
          <w:bottom w:val="nil"/>
          <w:right w:val="nil"/>
          <w:between w:val="nil"/>
        </w:pBdr>
        <w:spacing w:before="180" w:after="180"/>
      </w:pPr>
      <w:r w:rsidRPr="00E3012D">
        <w:t>MITRE ATLAS Incident Classification The vendor must demonstrate an internal capability, or a documented external ML-threat-intelligence route, that can map observed model/agent anomalies to current ATLAS technique designations. A single incomplete mapping during a tabletop, where capability is otherwise demonstrated, scores 2 rather than CF. Critical Failure applies when the vendor cannot map an observed anomaly to any applicable technique taxonomy and has no competent external route for the required ML-specific analysis.</w:t>
      </w:r>
    </w:p>
    <w:p w14:paraId="2EAB49F1" w14:textId="77777777" w:rsidR="00875D22" w:rsidRPr="00E3012D" w:rsidRDefault="00000000">
      <w:pPr>
        <w:pBdr>
          <w:top w:val="nil"/>
          <w:left w:val="nil"/>
          <w:bottom w:val="nil"/>
          <w:right w:val="nil"/>
          <w:between w:val="nil"/>
        </w:pBdr>
        <w:spacing w:before="180" w:after="180"/>
      </w:pPr>
      <w:r w:rsidRPr="00E3012D">
        <w:t>Notification Process Capability The vendor must document separate incident and vulnerability notification paths. For confirmed incidents affecting a deployed vendor artifact, ASCR uses a 2-hour contractual notification target and a 6-hour maximum operational window for the initial evidence package; notification after 2 hours but within 6 hours is a scored deficiency. For newly discovered vulnerabilities without a confirmed incident, use the contractually defined business-day window or any faster applicable legal/contractual requirement. These are ASCR operational defaults, not a claim that NIS2 imposes a universal vendor vulnerability-notice deadline.</w:t>
      </w:r>
    </w:p>
    <w:p w14:paraId="7C407E09" w14:textId="77777777" w:rsidR="00875D22" w:rsidRPr="00E3012D" w:rsidRDefault="00000000">
      <w:pPr>
        <w:pBdr>
          <w:top w:val="nil"/>
          <w:left w:val="nil"/>
          <w:bottom w:val="nil"/>
          <w:right w:val="nil"/>
          <w:between w:val="nil"/>
        </w:pBdr>
        <w:spacing w:before="180" w:after="180"/>
      </w:pPr>
      <w:r w:rsidRPr="00E3012D">
        <w:t>Critical failure threshold for Tier 1 and lower-tier vendors explicitly elevated to Tier 1 incident-response depth: the vendor cannot produce required identity/version/integrity records for deployed components or equivalent component records; no competent internal or external route exists for the required incident-technique classification; or the confirmed-incident notification/evidence process cannot operate within the maximum 6-hour operational window. For ordinary Tier 2 and Tier 3 assessments, deficiencies in the required policy, process, contractual, or evidence-production capability are scored under the 1-4 scale unless another expressly defined Critical Failure trigger applies.</w:t>
      </w:r>
    </w:p>
    <w:p w14:paraId="513022A8" w14:textId="77777777" w:rsidR="00875D22" w:rsidRPr="00E3012D" w:rsidRDefault="00000000">
      <w:pPr>
        <w:pStyle w:val="Heading3"/>
        <w:rPr>
          <w:color w:val="auto"/>
        </w:rPr>
      </w:pPr>
      <w:r w:rsidRPr="00E3012D">
        <w:rPr>
          <w:color w:val="auto"/>
        </w:rPr>
        <w:lastRenderedPageBreak/>
        <w:t>Agent action logging and customer access</w:t>
      </w:r>
    </w:p>
    <w:p w14:paraId="3EAE612C" w14:textId="77777777" w:rsidR="00875D22" w:rsidRPr="00E3012D" w:rsidRDefault="00000000">
      <w:r w:rsidRPr="00E3012D">
        <w:t xml:space="preserve">The vendor must document the event/action </w:t>
      </w:r>
      <w:proofErr w:type="gramStart"/>
      <w:r w:rsidRPr="00E3012D">
        <w:t>schema</w:t>
      </w:r>
      <w:proofErr w:type="gramEnd"/>
      <w:r w:rsidRPr="00E3012D">
        <w:t xml:space="preserve"> relevant to the supplied component, tamper-evidence controls, customer-controlled export or API/SIEM access, retention, and post-termination export. The assessor must verify that incident-relevant records can be exported to the deploying organization without relying solely on vendor screenshots or summaries. Cross-reference ASCR-07 for runtime evidence and ASCR-08 for incident preservation.</w:t>
      </w:r>
    </w:p>
    <w:p w14:paraId="42D29C2B" w14:textId="77777777" w:rsidR="00875D22" w:rsidRPr="00E3012D" w:rsidRDefault="00000000">
      <w:pPr>
        <w:pStyle w:val="Heading2"/>
        <w:rPr>
          <w:color w:val="auto"/>
        </w:rPr>
      </w:pPr>
      <w:r w:rsidRPr="00E3012D">
        <w:rPr>
          <w:color w:val="auto"/>
        </w:rPr>
        <w:t>Section 6 — Dimension 5: Fourth-party supply chain visibility</w:t>
      </w:r>
    </w:p>
    <w:p w14:paraId="24BDE687" w14:textId="77777777" w:rsidR="00875D22" w:rsidRPr="00E3012D" w:rsidRDefault="00000000">
      <w:pPr>
        <w:pStyle w:val="Heading3"/>
        <w:rPr>
          <w:color w:val="auto"/>
        </w:rPr>
      </w:pPr>
      <w:r w:rsidRPr="00E3012D">
        <w:rPr>
          <w:color w:val="auto"/>
        </w:rPr>
        <w:t>6.1 Assessment objective</w:t>
      </w:r>
    </w:p>
    <w:p w14:paraId="244198C5" w14:textId="77777777" w:rsidR="00875D22" w:rsidRPr="00E3012D" w:rsidRDefault="00000000">
      <w:pPr>
        <w:pBdr>
          <w:top w:val="nil"/>
          <w:left w:val="nil"/>
          <w:bottom w:val="nil"/>
          <w:right w:val="nil"/>
          <w:between w:val="nil"/>
        </w:pBdr>
        <w:spacing w:before="180" w:after="180"/>
      </w:pPr>
      <w:r w:rsidRPr="00E3012D">
        <w:rPr>
          <w:rFonts w:ascii="Cambria" w:eastAsia="Cambria" w:hAnsi="Cambria" w:cs="Cambria"/>
        </w:rPr>
        <w:t>Fourth-party supply chain visibility assessment determines how far the vendor can see into their own dependency chain. Three questions drive it: How deep is the vendor’s supplier inventory? What security controls do they apply to their own first-tier suppliers (Level 1 in the vendor’s supply chain depth — distinct from the ASCR-17 vendor risk tier)? Would a fourth-party compromise be detected before the compromised artifact reached the deploying organization?</w:t>
      </w:r>
    </w:p>
    <w:p w14:paraId="038E7B3D" w14:textId="77777777" w:rsidR="00875D22" w:rsidRPr="00E3012D" w:rsidRDefault="00000000">
      <w:pPr>
        <w:pStyle w:val="Heading3"/>
        <w:rPr>
          <w:color w:val="auto"/>
        </w:rPr>
      </w:pPr>
      <w:r w:rsidRPr="00E3012D">
        <w:rPr>
          <w:color w:val="auto"/>
        </w:rPr>
        <w:t>6.2 Fourth-party assessment requirements</w:t>
      </w:r>
    </w:p>
    <w:p w14:paraId="0C1A7315" w14:textId="77777777" w:rsidR="00875D22" w:rsidRPr="00E3012D" w:rsidRDefault="00000000">
      <w:pPr>
        <w:pBdr>
          <w:top w:val="nil"/>
          <w:left w:val="nil"/>
          <w:bottom w:val="nil"/>
          <w:right w:val="nil"/>
          <w:between w:val="nil"/>
        </w:pBdr>
        <w:spacing w:before="180" w:after="180"/>
      </w:pPr>
      <w:r w:rsidRPr="00E3012D">
        <w:rPr>
          <w:rFonts w:ascii="Cambria" w:eastAsia="Cambria" w:hAnsi="Cambria" w:cs="Cambria"/>
          <w:b/>
          <w:bCs/>
        </w:rPr>
        <w:t>Supplier Inventory Depth</w:t>
      </w:r>
      <w:r w:rsidRPr="00E3012D">
        <w:rPr>
          <w:rFonts w:ascii="Cambria" w:eastAsia="Cambria" w:hAnsi="Cambria" w:cs="Cambria"/>
        </w:rPr>
        <w:t xml:space="preserve"> The vendor must disclose the primary suppliers contributing to their model development, training, and artifact delivery pipeline. This includes cloud infrastructure providers, data annotation and labeling vendors, fine-tuning data providers, and commercial toolchain vendors.</w:t>
      </w:r>
    </w:p>
    <w:p w14:paraId="6DBDAEA3" w14:textId="77777777" w:rsidR="00875D22" w:rsidRPr="00E3012D" w:rsidRDefault="00000000">
      <w:pPr>
        <w:pBdr>
          <w:top w:val="nil"/>
          <w:left w:val="nil"/>
          <w:bottom w:val="nil"/>
          <w:right w:val="nil"/>
          <w:between w:val="nil"/>
        </w:pBdr>
        <w:spacing w:before="180" w:after="180"/>
      </w:pPr>
      <w:r w:rsidRPr="00E3012D">
        <w:rPr>
          <w:rFonts w:ascii="Cambria" w:eastAsia="Cambria" w:hAnsi="Cambria" w:cs="Cambria"/>
        </w:rPr>
        <w:t>The vendor must also disclose the open-source dependency inventory required by SD-1.2. This inventory documents the open-source components themselves rather than their maintainers, as maintainers cannot be assessed as suppliers. Contributions from maintainers are addressed through the hash-verification and dependency pinning controls in SD-1.2.</w:t>
      </w:r>
    </w:p>
    <w:p w14:paraId="20E1A465" w14:textId="77777777" w:rsidR="00875D22" w:rsidRPr="00E3012D" w:rsidRDefault="00000000">
      <w:pPr>
        <w:pBdr>
          <w:top w:val="nil"/>
          <w:left w:val="nil"/>
          <w:bottom w:val="nil"/>
          <w:right w:val="nil"/>
          <w:between w:val="nil"/>
        </w:pBdr>
        <w:spacing w:before="180" w:after="180"/>
      </w:pPr>
      <w:r w:rsidRPr="00E3012D">
        <w:rPr>
          <w:rFonts w:ascii="Cambria" w:eastAsia="Cambria" w:hAnsi="Cambria" w:cs="Cambria"/>
        </w:rPr>
        <w:t>For each primary supplier, the vendor must document the security assessment they performed and the contractual security obligations they imposed. Throughout Section 6, “first-tier supplier” denotes depth within the vendor’s own supply chain (the vendor’s direct suppliers), not the ASCR-17 vendor risk tier classification.</w:t>
      </w:r>
    </w:p>
    <w:p w14:paraId="0B6C6FDD" w14:textId="77777777" w:rsidR="00875D22" w:rsidRPr="00E3012D" w:rsidRDefault="00000000">
      <w:pPr>
        <w:pBdr>
          <w:top w:val="nil"/>
          <w:left w:val="nil"/>
          <w:bottom w:val="nil"/>
          <w:right w:val="nil"/>
          <w:between w:val="nil"/>
        </w:pBdr>
        <w:spacing w:before="180" w:after="180"/>
      </w:pPr>
      <w:r w:rsidRPr="00E3012D">
        <w:t xml:space="preserve">Audit Protocol: Request the vendor supplier inventory for the model-development/delivery pipeline. Verify the required supply-chain depth and confirm that each first-tier supplier with direct write or control access to model training, compilation, hosting, or artifact delivery has been assessed against criteria equivalent to the applicable ASCR-17 control set. </w:t>
      </w:r>
      <w:r w:rsidRPr="00E3012D">
        <w:lastRenderedPageBreak/>
        <w:t>"First-tier supplier" refers only to depth within the vendor’s own supply chain and is distinct from ASCR-17 vendor risk Tier 1/2/3 and ASCR-03 governance tiers.</w:t>
      </w:r>
    </w:p>
    <w:p w14:paraId="5A0C3B77" w14:textId="77777777" w:rsidR="00875D22" w:rsidRPr="00E3012D" w:rsidRDefault="00000000">
      <w:pPr>
        <w:pBdr>
          <w:top w:val="nil"/>
          <w:left w:val="nil"/>
          <w:bottom w:val="nil"/>
          <w:right w:val="nil"/>
          <w:between w:val="nil"/>
        </w:pBdr>
        <w:spacing w:before="180" w:after="180"/>
      </w:pPr>
      <w:r w:rsidRPr="00E3012D">
        <w:rPr>
          <w:rFonts w:ascii="Cambria" w:eastAsia="Cambria" w:hAnsi="Cambria" w:cs="Cambria"/>
          <w:b/>
          <w:bCs/>
        </w:rPr>
        <w:t>Compromise Detection Capability</w:t>
      </w:r>
      <w:r w:rsidRPr="00E3012D">
        <w:rPr>
          <w:rFonts w:ascii="Cambria" w:eastAsia="Cambria" w:hAnsi="Cambria" w:cs="Cambria"/>
        </w:rPr>
        <w:t xml:space="preserve"> The vendor must demonstrate controls designed to surface a supply-chain compromise at the fourth-party level, including the scenario in which a trusted open-source dependency used in the model compilation toolchain is compromised by an adversary following an </w:t>
      </w:r>
      <w:proofErr w:type="spellStart"/>
      <w:r w:rsidRPr="00E3012D">
        <w:rPr>
          <w:rFonts w:ascii="Cambria" w:eastAsia="Cambria" w:hAnsi="Cambria" w:cs="Cambria"/>
        </w:rPr>
        <w:t>xz</w:t>
      </w:r>
      <w:proofErr w:type="spellEnd"/>
      <w:r w:rsidRPr="00E3012D">
        <w:rPr>
          <w:rFonts w:ascii="Cambria" w:eastAsia="Cambria" w:hAnsi="Cambria" w:cs="Cambria"/>
        </w:rPr>
        <w:t>-utils- or SolarWinds-like attack pattern. Minimum required controls: continuous hash verification of pinned dependencies against known-good baselines; automated alerting on dependency hash changes not corresponding to authorized version updates; and behavioral testing designed to surface trigger-conditional modifications introduced through a compromised dependency under representative evaluated conditions.</w:t>
      </w:r>
    </w:p>
    <w:p w14:paraId="22521754" w14:textId="77777777" w:rsidR="00875D22" w:rsidRPr="00E3012D" w:rsidRDefault="00000000">
      <w:pPr>
        <w:pBdr>
          <w:top w:val="nil"/>
          <w:left w:val="nil"/>
          <w:bottom w:val="nil"/>
          <w:right w:val="nil"/>
          <w:between w:val="nil"/>
        </w:pBdr>
        <w:spacing w:before="180" w:after="180"/>
      </w:pPr>
      <w:r w:rsidRPr="00E3012D">
        <w:rPr>
          <w:rFonts w:ascii="Cambria" w:eastAsia="Cambria" w:hAnsi="Cambria" w:cs="Cambria"/>
          <w:i/>
          <w:iCs/>
        </w:rPr>
        <w:t>Evidence required:</w:t>
      </w:r>
      <w:r w:rsidRPr="00E3012D">
        <w:rPr>
          <w:rFonts w:ascii="Cambria" w:eastAsia="Cambria" w:hAnsi="Cambria" w:cs="Cambria"/>
        </w:rPr>
        <w:t xml:space="preserve"> Dependency monitoring toolchain documentation; alert records confirming that unauthorized dependency hash changes produce alerts under tested conditions; and representative behavioral-test evidence showing whether trigger-conditional modifications of the type described in Section 2.2 SD-1.4 were surfaced under the evaluated conditions.</w:t>
      </w:r>
    </w:p>
    <w:p w14:paraId="4255B5DA" w14:textId="77777777" w:rsidR="00875D22" w:rsidRPr="00E3012D" w:rsidRDefault="00000000">
      <w:pPr>
        <w:pBdr>
          <w:top w:val="nil"/>
          <w:left w:val="nil"/>
          <w:bottom w:val="nil"/>
          <w:right w:val="nil"/>
          <w:between w:val="nil"/>
        </w:pBdr>
        <w:spacing w:before="180" w:after="180"/>
      </w:pPr>
      <w:r w:rsidRPr="00E3012D">
        <w:rPr>
          <w:rFonts w:ascii="Cambria" w:eastAsia="Cambria" w:hAnsi="Cambria" w:cs="Cambria"/>
          <w:i/>
          <w:iCs/>
        </w:rPr>
        <w:t>Critical failure threshold:</w:t>
      </w:r>
      <w:r w:rsidRPr="00E3012D">
        <w:rPr>
          <w:rFonts w:ascii="Cambria" w:eastAsia="Cambria" w:hAnsi="Cambria" w:cs="Cambria"/>
        </w:rPr>
        <w:t xml:space="preserve"> No continuous hash verification of pipeline dependencies; no alerting on unauthorized dependency hash changes; no demonstrated monitoring or testing capability to surface trigger-conditional modifications introduced through a fourth-party dependency under representative evaluated conditions. If this critical failure threshold is met: (1) record CF for Dimension 5 sub-dimension DIM5-DET; (2) initiate Disqualified determination workflow per Section 7.2; (3) if the vendor component is currently deployed, notify the Tier 3 governance authority within 24 hours; (4) do not admit additional model artifact versions from this vendor until the CF is resolved through a triggered reassessment per Section 8.2.</w:t>
      </w:r>
    </w:p>
    <w:p w14:paraId="6D2E38D8" w14:textId="77777777" w:rsidR="00875D22" w:rsidRPr="00E3012D" w:rsidRDefault="00000000">
      <w:pPr>
        <w:pBdr>
          <w:top w:val="nil"/>
          <w:left w:val="nil"/>
          <w:bottom w:val="nil"/>
          <w:right w:val="nil"/>
          <w:between w:val="nil"/>
        </w:pBdr>
        <w:spacing w:before="180" w:after="180"/>
      </w:pPr>
      <w:r w:rsidRPr="00E3012D">
        <w:t>Supply Chain Incident History The vendor must provide a signed disclosure of known or suspected supply-chain compromise affecting the relevant development, hosting, or delivery chain during the preceding 36 months, together with detection and remediation evidence. The assessor must independently check relevant advisories and public incident sources. The 36-month period is an ASCR operational default. Continuing disclosure after contract execution is an ASCR-11 warranty/obligation.</w:t>
      </w:r>
    </w:p>
    <w:p w14:paraId="2147AFB4" w14:textId="77777777" w:rsidR="00875D22" w:rsidRPr="00E3012D" w:rsidRDefault="00000000">
      <w:pPr>
        <w:pBdr>
          <w:top w:val="nil"/>
          <w:left w:val="nil"/>
          <w:bottom w:val="nil"/>
          <w:right w:val="nil"/>
          <w:between w:val="nil"/>
        </w:pBdr>
        <w:spacing w:before="180" w:after="180"/>
      </w:pPr>
      <w:r w:rsidRPr="00E3012D">
        <w:t>Critical failure threshold: material discrepancy between the signed disclosure and independently verifiable fourth-party compromise evidence; refusal to provide the signed disclosure; evidence that an undisclosed compromise affected delivered artifacts.</w:t>
      </w:r>
    </w:p>
    <w:p w14:paraId="562C6255" w14:textId="77777777" w:rsidR="00875D22" w:rsidRPr="00E3012D" w:rsidRDefault="00000000">
      <w:pPr>
        <w:pBdr>
          <w:top w:val="nil"/>
          <w:left w:val="nil"/>
          <w:bottom w:val="nil"/>
          <w:right w:val="nil"/>
          <w:between w:val="nil"/>
        </w:pBdr>
        <w:spacing w:before="180" w:after="180"/>
      </w:pPr>
      <w:r w:rsidRPr="00E3012D">
        <w:rPr>
          <w:rFonts w:ascii="Cambria" w:eastAsia="Cambria" w:hAnsi="Cambria" w:cs="Cambria"/>
          <w:b/>
          <w:bCs/>
        </w:rPr>
        <w:t xml:space="preserve">Note: </w:t>
      </w:r>
      <w:r w:rsidRPr="00E3012D">
        <w:rPr>
          <w:rFonts w:ascii="Cambria" w:eastAsia="Cambria" w:hAnsi="Cambria" w:cs="Cambria"/>
        </w:rPr>
        <w:t xml:space="preserve">Voluntary disclosure of a fourth-party compromise with documented detection mechanism, remediation action, and deployer notification, is not a critical failure. It is </w:t>
      </w:r>
      <w:r w:rsidRPr="00E3012D">
        <w:rPr>
          <w:rFonts w:ascii="Cambria" w:eastAsia="Cambria" w:hAnsi="Cambria" w:cs="Cambria"/>
        </w:rPr>
        <w:lastRenderedPageBreak/>
        <w:t>evidence of functioning supply chain monitoring. Score the disclosure under DIM5-DET Compromise Detection Capability, not against this threshold.</w:t>
      </w:r>
    </w:p>
    <w:p w14:paraId="7FC53DD4" w14:textId="77777777" w:rsidR="00875D22" w:rsidRPr="00E3012D" w:rsidRDefault="00000000">
      <w:pPr>
        <w:pStyle w:val="Heading3"/>
        <w:rPr>
          <w:color w:val="auto"/>
        </w:rPr>
      </w:pPr>
      <w:r w:rsidRPr="00E3012D">
        <w:rPr>
          <w:color w:val="auto"/>
        </w:rPr>
        <w:t>Downstream model provider and sub-processor chain</w:t>
      </w:r>
    </w:p>
    <w:p w14:paraId="4CE1DDE2" w14:textId="77777777" w:rsidR="00875D22" w:rsidRPr="00E3012D" w:rsidRDefault="00000000">
      <w:r w:rsidRPr="00E3012D">
        <w:t xml:space="preserve">The vendor must </w:t>
      </w:r>
      <w:proofErr w:type="gramStart"/>
      <w:r w:rsidRPr="00E3012D">
        <w:t>disclose named</w:t>
      </w:r>
      <w:proofErr w:type="gramEnd"/>
      <w:r w:rsidRPr="00E3012D">
        <w:t xml:space="preserve"> downstream model providers, inference hosts, and material sub-processors used to deliver the assessed service; applicable hosting jurisdictions; flow-down security obligations; material change notice; and, where contractually required, a right to object or an equivalent governance mechanism. Undisclosed unilateral substitution of a material downstream provider by a Tier 1 vendor is a Critical Failure.</w:t>
      </w:r>
    </w:p>
    <w:p w14:paraId="100A0849" w14:textId="77777777" w:rsidR="00875D22" w:rsidRPr="00E3012D" w:rsidRDefault="00000000">
      <w:pPr>
        <w:pStyle w:val="Heading3"/>
        <w:rPr>
          <w:color w:val="auto"/>
        </w:rPr>
      </w:pPr>
      <w:r w:rsidRPr="00E3012D">
        <w:rPr>
          <w:color w:val="auto"/>
        </w:rPr>
        <w:t>Exit and termination</w:t>
      </w:r>
    </w:p>
    <w:p w14:paraId="6BECA28C" w14:textId="77777777" w:rsidR="00875D22" w:rsidRPr="00E3012D" w:rsidRDefault="00000000">
      <w:r w:rsidRPr="00E3012D">
        <w:t>Before qualification is finalized, the vendor must document exit controls for state, memory, embeddings, customer data, logs, credentials, keys, and trust anchors. Requirements include final evidence/log export, deletion or return of customer-controlled data and derived artifacts as contractually required, credential/key revocation, retention handling, and for Tier 1 dependencies a continuity/escrow arrangement or documented substitute where loss of vendor service could create material operational risk.</w:t>
      </w:r>
    </w:p>
    <w:p w14:paraId="7024C061" w14:textId="77777777" w:rsidR="00875D22" w:rsidRPr="00E3012D" w:rsidRDefault="00000000">
      <w:pPr>
        <w:pStyle w:val="Heading2"/>
        <w:rPr>
          <w:color w:val="auto"/>
        </w:rPr>
      </w:pPr>
      <w:r w:rsidRPr="00E3012D">
        <w:rPr>
          <w:color w:val="auto"/>
        </w:rPr>
        <w:t>Section 7 — Assessment scoring and qualification matrix</w:t>
      </w:r>
    </w:p>
    <w:p w14:paraId="4CF53C41" w14:textId="77777777" w:rsidR="00875D22" w:rsidRPr="00E3012D" w:rsidRDefault="00000000">
      <w:pPr>
        <w:pStyle w:val="Heading3"/>
        <w:rPr>
          <w:color w:val="auto"/>
        </w:rPr>
      </w:pPr>
      <w:r w:rsidRPr="00E3012D">
        <w:rPr>
          <w:color w:val="auto"/>
        </w:rPr>
        <w:t>7.1 Scoring method</w:t>
      </w:r>
    </w:p>
    <w:p w14:paraId="77155C8E" w14:textId="77777777" w:rsidR="00875D22" w:rsidRPr="00E3012D" w:rsidRDefault="00000000">
      <w:pPr>
        <w:pBdr>
          <w:top w:val="nil"/>
          <w:left w:val="nil"/>
          <w:bottom w:val="nil"/>
          <w:right w:val="nil"/>
          <w:between w:val="nil"/>
        </w:pBdr>
        <w:spacing w:before="180" w:after="180"/>
      </w:pPr>
      <w:r w:rsidRPr="00E3012D">
        <w:t xml:space="preserve">Each applicable sub-dimension receives a score of 1, 2, 3, or 4, or CF where that sub-dimension defines a Critical Failure trigger. N/A is permitted only when the control is genuinely outside the assessed component/deployment </w:t>
      </w:r>
      <w:proofErr w:type="gramStart"/>
      <w:r w:rsidRPr="00E3012D">
        <w:t>scope</w:t>
      </w:r>
      <w:proofErr w:type="gramEnd"/>
      <w:r w:rsidRPr="00E3012D">
        <w:t xml:space="preserve"> and the assessor records a written rationale. N/A entries are excluded from dimension averages, remediation counts, and the overall average. Score 1 means Does Not Satisfy and produces a Disqualified determination for an applicable sub-dimension. CF remains a separate named catastrophic trigger. Each applicable assessment dimension is equally </w:t>
      </w:r>
      <w:proofErr w:type="gramStart"/>
      <w:r w:rsidRPr="00E3012D">
        <w:t>weighted</w:t>
      </w:r>
      <w:proofErr w:type="gramEnd"/>
      <w:r w:rsidRPr="00E3012D">
        <w:t xml:space="preserve"> in the overall average; when a dimension is N/A, weighting renormalizes across the remaining applicable dimensions. Attestation alone cannot support a score above 2 for an ASCR-specific requirement. Do not pre-round scores before applying Section 7.2; the workbook may use internal precision for comparisons.</w:t>
      </w:r>
    </w:p>
    <w:tbl>
      <w:tblPr>
        <w:tblStyle w:val="ab"/>
        <w:tblW w:w="9180" w:type="dxa"/>
        <w:tblInd w:w="-108" w:type="dxa"/>
        <w:tblLayout w:type="fixed"/>
        <w:tblLook w:val="0020" w:firstRow="1" w:lastRow="0" w:firstColumn="0" w:lastColumn="0" w:noHBand="0" w:noVBand="0"/>
      </w:tblPr>
      <w:tblGrid>
        <w:gridCol w:w="2080"/>
        <w:gridCol w:w="7100"/>
      </w:tblGrid>
      <w:tr w:rsidR="00875D22" w:rsidRPr="00E3012D" w14:paraId="187FB9F5" w14:textId="77777777" w:rsidTr="00875D22">
        <w:trPr>
          <w:cnfStyle w:val="100000000000" w:firstRow="1" w:lastRow="0" w:firstColumn="0" w:lastColumn="0" w:oddVBand="0" w:evenVBand="0" w:oddHBand="0" w:evenHBand="0" w:firstRowFirstColumn="0" w:firstRowLastColumn="0" w:lastRowFirstColumn="0" w:lastRowLastColumn="0"/>
          <w:tblHeader/>
        </w:trPr>
        <w:tc>
          <w:tcPr>
            <w:tcW w:w="2080" w:type="dxa"/>
            <w:shd w:val="clear" w:color="auto" w:fill="1F3864"/>
          </w:tcPr>
          <w:p w14:paraId="098CB6B7" w14:textId="77777777" w:rsidR="00875D22" w:rsidRPr="00E3012D" w:rsidRDefault="00000000">
            <w:pPr>
              <w:pBdr>
                <w:top w:val="nil"/>
                <w:left w:val="nil"/>
                <w:bottom w:val="nil"/>
                <w:right w:val="nil"/>
                <w:between w:val="nil"/>
              </w:pBdr>
              <w:spacing w:before="36" w:after="36"/>
            </w:pPr>
            <w:r w:rsidRPr="00E3012D">
              <w:rPr>
                <w:rFonts w:ascii="Cambria" w:eastAsia="Cambria" w:hAnsi="Cambria" w:cs="Cambria"/>
                <w:b/>
                <w:bCs/>
              </w:rPr>
              <w:t>Score</w:t>
            </w:r>
          </w:p>
        </w:tc>
        <w:tc>
          <w:tcPr>
            <w:tcW w:w="7100" w:type="dxa"/>
            <w:shd w:val="clear" w:color="auto" w:fill="1F3864"/>
          </w:tcPr>
          <w:p w14:paraId="764A3928" w14:textId="77777777" w:rsidR="00875D22" w:rsidRPr="00E3012D" w:rsidRDefault="00000000">
            <w:pPr>
              <w:pBdr>
                <w:top w:val="nil"/>
                <w:left w:val="nil"/>
                <w:bottom w:val="nil"/>
                <w:right w:val="nil"/>
                <w:between w:val="nil"/>
              </w:pBdr>
              <w:spacing w:before="36" w:after="36"/>
            </w:pPr>
            <w:r w:rsidRPr="00E3012D">
              <w:rPr>
                <w:rFonts w:ascii="Cambria" w:eastAsia="Cambria" w:hAnsi="Cambria" w:cs="Cambria"/>
                <w:b/>
                <w:bCs/>
              </w:rPr>
              <w:t>Definition</w:t>
            </w:r>
          </w:p>
        </w:tc>
      </w:tr>
      <w:tr w:rsidR="00875D22" w:rsidRPr="00E3012D" w14:paraId="77557308" w14:textId="77777777" w:rsidTr="00875D22">
        <w:tc>
          <w:tcPr>
            <w:tcW w:w="2080" w:type="dxa"/>
            <w:shd w:val="clear" w:color="auto" w:fill="FFFFFF"/>
          </w:tcPr>
          <w:p w14:paraId="770D9A62" w14:textId="77777777" w:rsidR="00875D22" w:rsidRPr="00E3012D" w:rsidRDefault="00000000">
            <w:pPr>
              <w:pBdr>
                <w:top w:val="nil"/>
                <w:left w:val="nil"/>
                <w:bottom w:val="nil"/>
                <w:right w:val="nil"/>
                <w:between w:val="nil"/>
              </w:pBdr>
              <w:spacing w:before="36" w:after="36"/>
            </w:pPr>
            <w:r w:rsidRPr="00E3012D">
              <w:rPr>
                <w:rFonts w:ascii="Cambria" w:eastAsia="Cambria" w:hAnsi="Cambria" w:cs="Cambria"/>
              </w:rPr>
              <w:t>4 — Exceeds</w:t>
            </w:r>
          </w:p>
        </w:tc>
        <w:tc>
          <w:tcPr>
            <w:tcW w:w="7100" w:type="dxa"/>
            <w:shd w:val="clear" w:color="auto" w:fill="FFFFFF"/>
          </w:tcPr>
          <w:p w14:paraId="5FE88C26" w14:textId="77777777" w:rsidR="00875D22" w:rsidRPr="00E3012D" w:rsidRDefault="00000000">
            <w:pPr>
              <w:pBdr>
                <w:top w:val="nil"/>
                <w:left w:val="nil"/>
                <w:bottom w:val="nil"/>
                <w:right w:val="nil"/>
                <w:between w:val="nil"/>
              </w:pBdr>
              <w:spacing w:before="36" w:after="36"/>
            </w:pPr>
            <w:r w:rsidRPr="00E3012D">
              <w:rPr>
                <w:rFonts w:ascii="Cambria" w:eastAsia="Cambria" w:hAnsi="Cambria" w:cs="Cambria"/>
              </w:rPr>
              <w:t>Evidence provided exceeds mandatory requirements; vendor posture provides additional assurance beyond what ASCR-17 requires</w:t>
            </w:r>
          </w:p>
        </w:tc>
      </w:tr>
      <w:tr w:rsidR="00875D22" w:rsidRPr="00E3012D" w14:paraId="02258864" w14:textId="77777777" w:rsidTr="00875D22">
        <w:tc>
          <w:tcPr>
            <w:tcW w:w="2080" w:type="dxa"/>
            <w:shd w:val="clear" w:color="auto" w:fill="D9E2F3"/>
          </w:tcPr>
          <w:p w14:paraId="242AE2F5" w14:textId="77777777" w:rsidR="00875D22" w:rsidRPr="00E3012D" w:rsidRDefault="00000000">
            <w:pPr>
              <w:pBdr>
                <w:top w:val="nil"/>
                <w:left w:val="nil"/>
                <w:bottom w:val="nil"/>
                <w:right w:val="nil"/>
                <w:between w:val="nil"/>
              </w:pBdr>
              <w:spacing w:before="36" w:after="36"/>
            </w:pPr>
            <w:r w:rsidRPr="00E3012D">
              <w:rPr>
                <w:rFonts w:ascii="Cambria" w:eastAsia="Cambria" w:hAnsi="Cambria" w:cs="Cambria"/>
              </w:rPr>
              <w:lastRenderedPageBreak/>
              <w:t>3 — Satisfies</w:t>
            </w:r>
          </w:p>
        </w:tc>
        <w:tc>
          <w:tcPr>
            <w:tcW w:w="7100" w:type="dxa"/>
            <w:shd w:val="clear" w:color="auto" w:fill="D9E2F3"/>
          </w:tcPr>
          <w:p w14:paraId="1C519DF5" w14:textId="77777777" w:rsidR="00875D22" w:rsidRPr="00E3012D" w:rsidRDefault="00000000">
            <w:pPr>
              <w:pBdr>
                <w:top w:val="nil"/>
                <w:left w:val="nil"/>
                <w:bottom w:val="nil"/>
                <w:right w:val="nil"/>
                <w:between w:val="nil"/>
              </w:pBdr>
              <w:spacing w:before="36" w:after="36"/>
            </w:pPr>
            <w:r w:rsidRPr="00E3012D">
              <w:rPr>
                <w:rFonts w:ascii="Cambria" w:eastAsia="Cambria" w:hAnsi="Cambria" w:cs="Cambria"/>
              </w:rPr>
              <w:t>Evidence provided fully satisfies mandatory requirements for the vendor’s tier</w:t>
            </w:r>
          </w:p>
        </w:tc>
      </w:tr>
      <w:tr w:rsidR="00875D22" w:rsidRPr="00E3012D" w14:paraId="2DAD14A7" w14:textId="77777777" w:rsidTr="00875D22">
        <w:tc>
          <w:tcPr>
            <w:tcW w:w="2080" w:type="dxa"/>
            <w:shd w:val="clear" w:color="auto" w:fill="FFFFFF"/>
          </w:tcPr>
          <w:p w14:paraId="74EE0345" w14:textId="77777777" w:rsidR="00875D22" w:rsidRPr="00E3012D" w:rsidRDefault="00000000">
            <w:pPr>
              <w:pBdr>
                <w:top w:val="nil"/>
                <w:left w:val="nil"/>
                <w:bottom w:val="nil"/>
                <w:right w:val="nil"/>
                <w:between w:val="nil"/>
              </w:pBdr>
              <w:spacing w:before="36" w:after="36"/>
            </w:pPr>
            <w:r w:rsidRPr="00E3012D">
              <w:rPr>
                <w:rFonts w:ascii="Cambria" w:eastAsia="Cambria" w:hAnsi="Cambria" w:cs="Cambria"/>
              </w:rPr>
              <w:t>2 — Partially Satisfies</w:t>
            </w:r>
          </w:p>
        </w:tc>
        <w:tc>
          <w:tcPr>
            <w:tcW w:w="7100" w:type="dxa"/>
            <w:shd w:val="clear" w:color="auto" w:fill="FFFFFF"/>
          </w:tcPr>
          <w:p w14:paraId="6A006EF1" w14:textId="77777777" w:rsidR="00875D22" w:rsidRPr="00E3012D" w:rsidRDefault="00000000">
            <w:pPr>
              <w:pBdr>
                <w:top w:val="nil"/>
                <w:left w:val="nil"/>
                <w:bottom w:val="nil"/>
                <w:right w:val="nil"/>
                <w:between w:val="nil"/>
              </w:pBdr>
              <w:spacing w:before="36" w:after="36"/>
            </w:pPr>
            <w:r w:rsidRPr="00E3012D">
              <w:rPr>
                <w:rFonts w:ascii="Cambria" w:eastAsia="Cambria" w:hAnsi="Cambria" w:cs="Cambria"/>
              </w:rPr>
              <w:t>Evidence provided satisfies some but not all mandatory requirements; gap identified with remediation timeline</w:t>
            </w:r>
          </w:p>
        </w:tc>
      </w:tr>
      <w:tr w:rsidR="00875D22" w:rsidRPr="00E3012D" w14:paraId="6DA428CD" w14:textId="77777777" w:rsidTr="00875D22">
        <w:tc>
          <w:tcPr>
            <w:tcW w:w="2080" w:type="dxa"/>
            <w:shd w:val="clear" w:color="auto" w:fill="D9E2F3"/>
          </w:tcPr>
          <w:p w14:paraId="63FE233B" w14:textId="77777777" w:rsidR="00875D22" w:rsidRPr="00E3012D" w:rsidRDefault="00000000">
            <w:pPr>
              <w:pBdr>
                <w:top w:val="nil"/>
                <w:left w:val="nil"/>
                <w:bottom w:val="nil"/>
                <w:right w:val="nil"/>
                <w:between w:val="nil"/>
              </w:pBdr>
              <w:spacing w:before="36" w:after="36"/>
            </w:pPr>
            <w:r w:rsidRPr="00E3012D">
              <w:rPr>
                <w:rFonts w:ascii="Cambria" w:eastAsia="Cambria" w:hAnsi="Cambria" w:cs="Cambria"/>
              </w:rPr>
              <w:t>1 — Does Not Satisfy</w:t>
            </w:r>
          </w:p>
        </w:tc>
        <w:tc>
          <w:tcPr>
            <w:tcW w:w="7100" w:type="dxa"/>
            <w:shd w:val="clear" w:color="auto" w:fill="D9E2F3"/>
          </w:tcPr>
          <w:p w14:paraId="279A8319" w14:textId="77777777" w:rsidR="00875D22" w:rsidRPr="00E3012D" w:rsidRDefault="00000000">
            <w:pPr>
              <w:pBdr>
                <w:top w:val="nil"/>
                <w:left w:val="nil"/>
                <w:bottom w:val="nil"/>
                <w:right w:val="nil"/>
                <w:between w:val="nil"/>
              </w:pBdr>
              <w:spacing w:before="36" w:after="36"/>
            </w:pPr>
            <w:r w:rsidRPr="00E3012D">
              <w:rPr>
                <w:rFonts w:ascii="Cambria" w:eastAsia="Cambria" w:hAnsi="Cambria" w:cs="Cambria"/>
              </w:rPr>
              <w:t>Evidence not provided or evidence confirms that mandatory requirement is not met</w:t>
            </w:r>
          </w:p>
        </w:tc>
      </w:tr>
      <w:tr w:rsidR="00875D22" w:rsidRPr="00E3012D" w14:paraId="1607A7D2" w14:textId="77777777" w:rsidTr="00875D22">
        <w:tc>
          <w:tcPr>
            <w:tcW w:w="2080" w:type="dxa"/>
            <w:shd w:val="clear" w:color="auto" w:fill="FFFFFF"/>
          </w:tcPr>
          <w:p w14:paraId="4DBE2EB1" w14:textId="77777777" w:rsidR="00875D22" w:rsidRPr="00E3012D" w:rsidRDefault="00000000">
            <w:pPr>
              <w:pBdr>
                <w:top w:val="nil"/>
                <w:left w:val="nil"/>
                <w:bottom w:val="nil"/>
                <w:right w:val="nil"/>
                <w:between w:val="nil"/>
              </w:pBdr>
              <w:spacing w:before="36" w:after="36"/>
            </w:pPr>
            <w:r w:rsidRPr="00E3012D">
              <w:rPr>
                <w:rFonts w:ascii="Cambria" w:eastAsia="Cambria" w:hAnsi="Cambria" w:cs="Cambria"/>
              </w:rPr>
              <w:t>CF — Critical Failure</w:t>
            </w:r>
          </w:p>
        </w:tc>
        <w:tc>
          <w:tcPr>
            <w:tcW w:w="7100" w:type="dxa"/>
            <w:shd w:val="clear" w:color="auto" w:fill="FFFFFF"/>
          </w:tcPr>
          <w:p w14:paraId="14121DA3" w14:textId="77777777" w:rsidR="00875D22" w:rsidRPr="00E3012D" w:rsidRDefault="00000000">
            <w:pPr>
              <w:pBdr>
                <w:top w:val="nil"/>
                <w:left w:val="nil"/>
                <w:bottom w:val="nil"/>
                <w:right w:val="nil"/>
                <w:between w:val="nil"/>
              </w:pBdr>
              <w:spacing w:before="36" w:after="36"/>
            </w:pPr>
            <w:r w:rsidRPr="00E3012D">
              <w:rPr>
                <w:rFonts w:ascii="Cambria" w:eastAsia="Cambria" w:hAnsi="Cambria" w:cs="Cambria"/>
              </w:rPr>
              <w:t>Critical failure threshold met; automatic Disqualified determination regardless of scores in other dimensions, Critical failure thresholds are defined per sub-dimension in Sections 2 through 6. Any CF score in any sub-dimension overrides the aggregate determination in Section 7.2.</w:t>
            </w:r>
          </w:p>
        </w:tc>
      </w:tr>
    </w:tbl>
    <w:p w14:paraId="3EBDE035" w14:textId="77777777" w:rsidR="00875D22" w:rsidRPr="00E3012D" w:rsidRDefault="00000000">
      <w:pPr>
        <w:pStyle w:val="Heading3"/>
        <w:rPr>
          <w:color w:val="auto"/>
        </w:rPr>
      </w:pPr>
      <w:r w:rsidRPr="00E3012D">
        <w:rPr>
          <w:color w:val="auto"/>
        </w:rPr>
        <w:t>7.2 Qualification determination matrix</w:t>
      </w:r>
    </w:p>
    <w:tbl>
      <w:tblPr>
        <w:tblStyle w:val="ac"/>
        <w:tblW w:w="9120" w:type="dxa"/>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020" w:firstRow="1" w:lastRow="0" w:firstColumn="0" w:lastColumn="0" w:noHBand="0" w:noVBand="0"/>
      </w:tblPr>
      <w:tblGrid>
        <w:gridCol w:w="4380"/>
        <w:gridCol w:w="4740"/>
      </w:tblGrid>
      <w:tr w:rsidR="00875D22" w:rsidRPr="00E3012D" w14:paraId="32C706FA" w14:textId="77777777" w:rsidTr="00875D22">
        <w:trPr>
          <w:cnfStyle w:val="100000000000" w:firstRow="1" w:lastRow="0" w:firstColumn="0" w:lastColumn="0" w:oddVBand="0" w:evenVBand="0" w:oddHBand="0" w:evenHBand="0" w:firstRowFirstColumn="0" w:firstRowLastColumn="0" w:lastRowFirstColumn="0" w:lastRowLastColumn="0"/>
          <w:tblHeader/>
          <w:jc w:val="center"/>
        </w:trPr>
        <w:tc>
          <w:tcPr>
            <w:tcW w:w="4380" w:type="dxa"/>
            <w:shd w:val="clear" w:color="auto" w:fill="1F3864"/>
            <w:vAlign w:val="center"/>
          </w:tcPr>
          <w:p w14:paraId="154F1E95" w14:textId="77777777" w:rsidR="00875D22" w:rsidRPr="00E3012D" w:rsidRDefault="00000000">
            <w:pPr>
              <w:spacing w:after="0"/>
            </w:pPr>
            <w:r w:rsidRPr="00E3012D">
              <w:rPr>
                <w:b/>
                <w:bCs/>
                <w:sz w:val="16"/>
                <w:szCs w:val="16"/>
              </w:rPr>
              <w:t>Condition</w:t>
            </w:r>
          </w:p>
        </w:tc>
        <w:tc>
          <w:tcPr>
            <w:tcW w:w="4740" w:type="dxa"/>
            <w:shd w:val="clear" w:color="auto" w:fill="1F3864"/>
            <w:vAlign w:val="center"/>
          </w:tcPr>
          <w:p w14:paraId="1754FEFE" w14:textId="77777777" w:rsidR="00875D22" w:rsidRPr="00E3012D" w:rsidRDefault="00000000">
            <w:pPr>
              <w:spacing w:after="0"/>
            </w:pPr>
            <w:r w:rsidRPr="00E3012D">
              <w:rPr>
                <w:b/>
                <w:bCs/>
                <w:sz w:val="16"/>
                <w:szCs w:val="16"/>
              </w:rPr>
              <w:t>Determination</w:t>
            </w:r>
          </w:p>
        </w:tc>
      </w:tr>
      <w:tr w:rsidR="00875D22" w:rsidRPr="00E3012D" w14:paraId="62E6D4D9" w14:textId="77777777" w:rsidTr="00875D22">
        <w:trPr>
          <w:jc w:val="center"/>
        </w:trPr>
        <w:tc>
          <w:tcPr>
            <w:tcW w:w="4380" w:type="dxa"/>
            <w:shd w:val="clear" w:color="auto" w:fill="FFFFFF"/>
            <w:vAlign w:val="center"/>
          </w:tcPr>
          <w:p w14:paraId="18638136" w14:textId="77777777" w:rsidR="00875D22" w:rsidRPr="00E3012D" w:rsidRDefault="00000000">
            <w:pPr>
              <w:spacing w:after="0"/>
            </w:pPr>
            <w:r w:rsidRPr="00E3012D">
              <w:rPr>
                <w:sz w:val="16"/>
                <w:szCs w:val="16"/>
              </w:rPr>
              <w:t>No CF; no applicable sub-dimension scored 1; all applicable dimensions complete; overall applicable-dimension average ≥ 3.0; and no open remediation items</w:t>
            </w:r>
          </w:p>
        </w:tc>
        <w:tc>
          <w:tcPr>
            <w:tcW w:w="4740" w:type="dxa"/>
            <w:shd w:val="clear" w:color="auto" w:fill="FFFFFF"/>
            <w:vAlign w:val="center"/>
          </w:tcPr>
          <w:p w14:paraId="3C60A6AB" w14:textId="77777777" w:rsidR="00875D22" w:rsidRPr="00E3012D" w:rsidRDefault="00000000">
            <w:pPr>
              <w:spacing w:after="0"/>
            </w:pPr>
            <w:r w:rsidRPr="00E3012D">
              <w:rPr>
                <w:sz w:val="16"/>
                <w:szCs w:val="16"/>
              </w:rPr>
              <w:t>Qualified</w:t>
            </w:r>
          </w:p>
        </w:tc>
      </w:tr>
      <w:tr w:rsidR="00875D22" w:rsidRPr="00E3012D" w14:paraId="1FEF3648" w14:textId="77777777" w:rsidTr="00875D22">
        <w:trPr>
          <w:jc w:val="center"/>
        </w:trPr>
        <w:tc>
          <w:tcPr>
            <w:tcW w:w="4380" w:type="dxa"/>
            <w:shd w:val="clear" w:color="auto" w:fill="D9E2F3"/>
            <w:vAlign w:val="center"/>
          </w:tcPr>
          <w:p w14:paraId="4C8063CB" w14:textId="77777777" w:rsidR="00875D22" w:rsidRPr="00E3012D" w:rsidRDefault="00000000">
            <w:pPr>
              <w:spacing w:after="0"/>
            </w:pPr>
            <w:r w:rsidRPr="00E3012D">
              <w:rPr>
                <w:sz w:val="16"/>
                <w:szCs w:val="16"/>
              </w:rPr>
              <w:t>No CF; no applicable sub-dimension scored 1; overall average ≥ 2.0; 1-3 open remediation items; and no applicable dimension average &lt; 2.5</w:t>
            </w:r>
          </w:p>
        </w:tc>
        <w:tc>
          <w:tcPr>
            <w:tcW w:w="4740" w:type="dxa"/>
            <w:shd w:val="clear" w:color="auto" w:fill="D9E2F3"/>
            <w:vAlign w:val="center"/>
          </w:tcPr>
          <w:p w14:paraId="74815037" w14:textId="77777777" w:rsidR="00875D22" w:rsidRPr="00E3012D" w:rsidRDefault="00000000">
            <w:pPr>
              <w:spacing w:after="0"/>
            </w:pPr>
            <w:r w:rsidRPr="00E3012D">
              <w:rPr>
                <w:sz w:val="16"/>
                <w:szCs w:val="16"/>
              </w:rPr>
              <w:t>Conditionally Qualified - CQ-90; remediate within 90 days</w:t>
            </w:r>
          </w:p>
        </w:tc>
      </w:tr>
      <w:tr w:rsidR="00875D22" w:rsidRPr="00E3012D" w14:paraId="739389D5" w14:textId="77777777" w:rsidTr="00875D22">
        <w:trPr>
          <w:jc w:val="center"/>
        </w:trPr>
        <w:tc>
          <w:tcPr>
            <w:tcW w:w="4380" w:type="dxa"/>
            <w:shd w:val="clear" w:color="auto" w:fill="FFFFFF"/>
            <w:vAlign w:val="center"/>
          </w:tcPr>
          <w:p w14:paraId="37023C00" w14:textId="77777777" w:rsidR="00875D22" w:rsidRPr="00E3012D" w:rsidRDefault="00000000">
            <w:pPr>
              <w:spacing w:after="0"/>
            </w:pPr>
            <w:r w:rsidRPr="00E3012D">
              <w:rPr>
                <w:sz w:val="16"/>
                <w:szCs w:val="16"/>
              </w:rPr>
              <w:t>No CF; no applicable sub-dimension scored 1; overall average ≥ 2.0; and either 4 or more open remediation items OR any applicable dimension average &lt; 2.5</w:t>
            </w:r>
          </w:p>
        </w:tc>
        <w:tc>
          <w:tcPr>
            <w:tcW w:w="4740" w:type="dxa"/>
            <w:shd w:val="clear" w:color="auto" w:fill="FFFFFF"/>
            <w:vAlign w:val="center"/>
          </w:tcPr>
          <w:p w14:paraId="6BC4AFA7" w14:textId="77777777" w:rsidR="00875D22" w:rsidRPr="00E3012D" w:rsidRDefault="00000000">
            <w:pPr>
              <w:spacing w:after="0"/>
            </w:pPr>
            <w:r w:rsidRPr="00E3012D">
              <w:t>Conditionally Qualified - CQ-30; remediate within 30 days; ASCR-03 Section 4.3 ASCR-17 CQ-30 vendor qualification authorization required</w:t>
            </w:r>
          </w:p>
        </w:tc>
      </w:tr>
      <w:tr w:rsidR="00875D22" w:rsidRPr="00E3012D" w14:paraId="5B90B366" w14:textId="77777777" w:rsidTr="00875D22">
        <w:trPr>
          <w:jc w:val="center"/>
        </w:trPr>
        <w:tc>
          <w:tcPr>
            <w:tcW w:w="4380" w:type="dxa"/>
            <w:shd w:val="clear" w:color="auto" w:fill="D9E2F3"/>
            <w:vAlign w:val="center"/>
          </w:tcPr>
          <w:p w14:paraId="7E1BAD6E" w14:textId="77777777" w:rsidR="00875D22" w:rsidRPr="00E3012D" w:rsidRDefault="00000000">
            <w:pPr>
              <w:spacing w:after="0"/>
            </w:pPr>
            <w:r w:rsidRPr="00E3012D">
              <w:rPr>
                <w:sz w:val="16"/>
                <w:szCs w:val="16"/>
              </w:rPr>
              <w:t>Any Critical Failure; any applicable sub-dimension scored 1; or overall applicable-dimension average &lt; 2.0</w:t>
            </w:r>
          </w:p>
        </w:tc>
        <w:tc>
          <w:tcPr>
            <w:tcW w:w="4740" w:type="dxa"/>
            <w:shd w:val="clear" w:color="auto" w:fill="D9E2F3"/>
            <w:vAlign w:val="center"/>
          </w:tcPr>
          <w:p w14:paraId="06D95B50" w14:textId="77777777" w:rsidR="00875D22" w:rsidRPr="00E3012D" w:rsidRDefault="00000000">
            <w:pPr>
              <w:spacing w:after="0"/>
            </w:pPr>
            <w:r w:rsidRPr="00E3012D">
              <w:rPr>
                <w:sz w:val="16"/>
                <w:szCs w:val="16"/>
              </w:rPr>
              <w:t>Disqualified</w:t>
            </w:r>
          </w:p>
        </w:tc>
      </w:tr>
    </w:tbl>
    <w:p w14:paraId="593F37C1" w14:textId="77777777" w:rsidR="00875D22" w:rsidRPr="00E3012D" w:rsidRDefault="00000000">
      <w:pPr>
        <w:pBdr>
          <w:top w:val="nil"/>
          <w:left w:val="nil"/>
          <w:bottom w:val="nil"/>
          <w:right w:val="nil"/>
          <w:between w:val="nil"/>
        </w:pBdr>
        <w:spacing w:before="180" w:after="180"/>
      </w:pPr>
      <w:r w:rsidRPr="00E3012D">
        <w:rPr>
          <w:rFonts w:ascii="Cambria" w:eastAsia="Cambria" w:hAnsi="Cambria" w:cs="Cambria"/>
          <w:b/>
          <w:bCs/>
        </w:rPr>
        <w:t>Scoring note:</w:t>
      </w:r>
    </w:p>
    <w:p w14:paraId="694ACFF0" w14:textId="77777777" w:rsidR="00875D22" w:rsidRPr="00E3012D" w:rsidRDefault="00000000">
      <w:pPr>
        <w:pBdr>
          <w:top w:val="nil"/>
          <w:left w:val="nil"/>
          <w:bottom w:val="nil"/>
          <w:right w:val="nil"/>
          <w:between w:val="nil"/>
        </w:pBdr>
        <w:spacing w:before="180" w:after="180"/>
      </w:pPr>
      <w:r w:rsidRPr="00E3012D">
        <w:t>Dimension scores are the arithmetic average of numeric scores for applicable sub-dimensions. N/A is excluded. The overall score is the arithmetic average of applicable dimension scores, which gives each applicable assessment dimension equal weight regardless of the number of checklist rows in that dimension. Critical Failure and score-1 tests execute before average-based qualification tests. If multiple qualification conditions apply, the most restrictive outcome governs.</w:t>
      </w:r>
    </w:p>
    <w:p w14:paraId="76180872" w14:textId="77777777" w:rsidR="00875D22" w:rsidRPr="00E3012D" w:rsidRDefault="00000000">
      <w:pPr>
        <w:pBdr>
          <w:top w:val="nil"/>
          <w:left w:val="nil"/>
          <w:bottom w:val="nil"/>
          <w:right w:val="nil"/>
          <w:between w:val="nil"/>
        </w:pBdr>
        <w:spacing w:before="180" w:after="180"/>
      </w:pPr>
      <w:r w:rsidRPr="00E3012D">
        <w:t>The qualification matrix defines the formal assessment outcome. Table 17.2 converts the matrix into a deterministic decision process. Critical Failure and applicable score-1 evaluation occur first because they override numerical aggregate outcomes. The logic in Table 17.2 is normative and shall be used whenever a qualification determination is performed.</w:t>
      </w:r>
    </w:p>
    <w:p w14:paraId="1308EA96" w14:textId="77777777" w:rsidR="00875D22" w:rsidRPr="00E3012D" w:rsidRDefault="00000000">
      <w:pPr>
        <w:pBdr>
          <w:top w:val="nil"/>
          <w:left w:val="nil"/>
          <w:bottom w:val="nil"/>
          <w:right w:val="nil"/>
          <w:between w:val="nil"/>
        </w:pBdr>
        <w:spacing w:before="180" w:after="180"/>
      </w:pPr>
      <w:r w:rsidRPr="00E3012D">
        <w:lastRenderedPageBreak/>
        <w:t>Table 17.2. Qualification determination logic (normative)</w:t>
      </w:r>
    </w:p>
    <w:tbl>
      <w:tblPr>
        <w:tblStyle w:val="ad"/>
        <w:tblW w:w="9150" w:type="dxa"/>
        <w:tblInd w:w="-108" w:type="dxa"/>
        <w:tblLayout w:type="fixed"/>
        <w:tblLook w:val="0020" w:firstRow="1" w:lastRow="0" w:firstColumn="0" w:lastColumn="0" w:noHBand="0" w:noVBand="0"/>
      </w:tblPr>
      <w:tblGrid>
        <w:gridCol w:w="870"/>
        <w:gridCol w:w="4115"/>
        <w:gridCol w:w="1870"/>
        <w:gridCol w:w="2295"/>
      </w:tblGrid>
      <w:tr w:rsidR="00875D22" w:rsidRPr="00E3012D" w14:paraId="477D3D69" w14:textId="77777777" w:rsidTr="00875D22">
        <w:trPr>
          <w:cnfStyle w:val="100000000000" w:firstRow="1" w:lastRow="0" w:firstColumn="0" w:lastColumn="0" w:oddVBand="0" w:evenVBand="0" w:oddHBand="0" w:evenHBand="0" w:firstRowFirstColumn="0" w:firstRowLastColumn="0" w:lastRowFirstColumn="0" w:lastRowLastColumn="0"/>
          <w:tblHeader/>
        </w:trPr>
        <w:tc>
          <w:tcPr>
            <w:tcW w:w="870" w:type="dxa"/>
            <w:shd w:val="clear" w:color="auto" w:fill="1F3864"/>
          </w:tcPr>
          <w:p w14:paraId="581C48FE" w14:textId="77777777" w:rsidR="00875D22" w:rsidRPr="00E3012D" w:rsidRDefault="00000000">
            <w:r w:rsidRPr="00E3012D">
              <w:rPr>
                <w:b/>
                <w:bCs/>
              </w:rPr>
              <w:t>Step</w:t>
            </w:r>
          </w:p>
        </w:tc>
        <w:tc>
          <w:tcPr>
            <w:tcW w:w="4115" w:type="dxa"/>
            <w:shd w:val="clear" w:color="auto" w:fill="1F3864"/>
          </w:tcPr>
          <w:p w14:paraId="50292392" w14:textId="77777777" w:rsidR="00875D22" w:rsidRPr="00E3012D" w:rsidRDefault="00000000">
            <w:r w:rsidRPr="00E3012D">
              <w:rPr>
                <w:b/>
                <w:bCs/>
              </w:rPr>
              <w:t>Question</w:t>
            </w:r>
          </w:p>
        </w:tc>
        <w:tc>
          <w:tcPr>
            <w:tcW w:w="1870" w:type="dxa"/>
            <w:shd w:val="clear" w:color="auto" w:fill="1F3864"/>
          </w:tcPr>
          <w:p w14:paraId="55467613" w14:textId="77777777" w:rsidR="00875D22" w:rsidRPr="00E3012D" w:rsidRDefault="00000000">
            <w:r w:rsidRPr="00E3012D">
              <w:rPr>
                <w:b/>
                <w:bCs/>
              </w:rPr>
              <w:t>Yes</w:t>
            </w:r>
          </w:p>
        </w:tc>
        <w:tc>
          <w:tcPr>
            <w:tcW w:w="2295" w:type="dxa"/>
            <w:shd w:val="clear" w:color="auto" w:fill="1F3864"/>
          </w:tcPr>
          <w:p w14:paraId="0B2C8F2C" w14:textId="77777777" w:rsidR="00875D22" w:rsidRPr="00E3012D" w:rsidRDefault="00000000">
            <w:r w:rsidRPr="00E3012D">
              <w:rPr>
                <w:b/>
                <w:bCs/>
              </w:rPr>
              <w:t>No</w:t>
            </w:r>
          </w:p>
        </w:tc>
      </w:tr>
      <w:tr w:rsidR="00875D22" w:rsidRPr="00E3012D" w14:paraId="7AC9C78E" w14:textId="77777777" w:rsidTr="00875D22">
        <w:tc>
          <w:tcPr>
            <w:tcW w:w="870" w:type="dxa"/>
            <w:shd w:val="clear" w:color="auto" w:fill="FFFFFF"/>
          </w:tcPr>
          <w:p w14:paraId="2AA9C85A" w14:textId="77777777" w:rsidR="00875D22" w:rsidRPr="00E3012D" w:rsidRDefault="00000000">
            <w:r w:rsidRPr="00E3012D">
              <w:t>1</w:t>
            </w:r>
          </w:p>
        </w:tc>
        <w:tc>
          <w:tcPr>
            <w:tcW w:w="4115" w:type="dxa"/>
            <w:shd w:val="clear" w:color="auto" w:fill="FFFFFF"/>
          </w:tcPr>
          <w:p w14:paraId="4E77EB0D" w14:textId="77777777" w:rsidR="00875D22" w:rsidRPr="00E3012D" w:rsidRDefault="00000000">
            <w:r w:rsidRPr="00E3012D">
              <w:t>Any Critical Failure in an applicable sub-dimension?</w:t>
            </w:r>
          </w:p>
        </w:tc>
        <w:tc>
          <w:tcPr>
            <w:tcW w:w="1870" w:type="dxa"/>
            <w:shd w:val="clear" w:color="auto" w:fill="FFFFFF"/>
          </w:tcPr>
          <w:p w14:paraId="69814110" w14:textId="77777777" w:rsidR="00875D22" w:rsidRPr="00E3012D" w:rsidRDefault="00000000">
            <w:r w:rsidRPr="00E3012D">
              <w:t>Disqualified</w:t>
            </w:r>
          </w:p>
        </w:tc>
        <w:tc>
          <w:tcPr>
            <w:tcW w:w="2295" w:type="dxa"/>
            <w:shd w:val="clear" w:color="auto" w:fill="FFFFFF"/>
          </w:tcPr>
          <w:p w14:paraId="1EA9FFDF" w14:textId="77777777" w:rsidR="00875D22" w:rsidRPr="00E3012D" w:rsidRDefault="00000000">
            <w:r w:rsidRPr="00E3012D">
              <w:t>Proceed to Step 2</w:t>
            </w:r>
          </w:p>
        </w:tc>
      </w:tr>
      <w:tr w:rsidR="00875D22" w:rsidRPr="00E3012D" w14:paraId="5FD95D5A" w14:textId="77777777" w:rsidTr="00875D22">
        <w:tc>
          <w:tcPr>
            <w:tcW w:w="870" w:type="dxa"/>
            <w:shd w:val="clear" w:color="auto" w:fill="D9E2F3"/>
          </w:tcPr>
          <w:p w14:paraId="29F97F9C" w14:textId="77777777" w:rsidR="00875D22" w:rsidRPr="00E3012D" w:rsidRDefault="00000000">
            <w:r w:rsidRPr="00E3012D">
              <w:t>2</w:t>
            </w:r>
          </w:p>
        </w:tc>
        <w:tc>
          <w:tcPr>
            <w:tcW w:w="4115" w:type="dxa"/>
            <w:shd w:val="clear" w:color="auto" w:fill="D9E2F3"/>
          </w:tcPr>
          <w:p w14:paraId="63A1423C" w14:textId="77777777" w:rsidR="00875D22" w:rsidRPr="00E3012D" w:rsidRDefault="00000000">
            <w:r w:rsidRPr="00E3012D">
              <w:t>Any applicable sub-dimension scored 1?</w:t>
            </w:r>
          </w:p>
        </w:tc>
        <w:tc>
          <w:tcPr>
            <w:tcW w:w="1870" w:type="dxa"/>
            <w:shd w:val="clear" w:color="auto" w:fill="D9E2F3"/>
          </w:tcPr>
          <w:p w14:paraId="3C76EB56" w14:textId="77777777" w:rsidR="00875D22" w:rsidRPr="00E3012D" w:rsidRDefault="00000000">
            <w:r w:rsidRPr="00E3012D">
              <w:t>Disqualified</w:t>
            </w:r>
          </w:p>
        </w:tc>
        <w:tc>
          <w:tcPr>
            <w:tcW w:w="2295" w:type="dxa"/>
            <w:shd w:val="clear" w:color="auto" w:fill="D9E2F3"/>
          </w:tcPr>
          <w:p w14:paraId="392F1F87" w14:textId="77777777" w:rsidR="00875D22" w:rsidRPr="00E3012D" w:rsidRDefault="00000000">
            <w:r w:rsidRPr="00E3012D">
              <w:t>Proceed to Step 3</w:t>
            </w:r>
          </w:p>
        </w:tc>
      </w:tr>
      <w:tr w:rsidR="00875D22" w:rsidRPr="00E3012D" w14:paraId="78E43D58" w14:textId="77777777" w:rsidTr="00875D22">
        <w:tc>
          <w:tcPr>
            <w:tcW w:w="870" w:type="dxa"/>
            <w:shd w:val="clear" w:color="auto" w:fill="FFFFFF"/>
          </w:tcPr>
          <w:p w14:paraId="30DF2155" w14:textId="77777777" w:rsidR="00875D22" w:rsidRPr="00E3012D" w:rsidRDefault="00000000">
            <w:r w:rsidRPr="00E3012D">
              <w:t>3</w:t>
            </w:r>
          </w:p>
        </w:tc>
        <w:tc>
          <w:tcPr>
            <w:tcW w:w="4115" w:type="dxa"/>
            <w:shd w:val="clear" w:color="auto" w:fill="FFFFFF"/>
          </w:tcPr>
          <w:p w14:paraId="7B0E9956" w14:textId="77777777" w:rsidR="00875D22" w:rsidRPr="00E3012D" w:rsidRDefault="00000000">
            <w:r w:rsidRPr="00E3012D">
              <w:t xml:space="preserve">Any applicable </w:t>
            </w:r>
            <w:proofErr w:type="gramStart"/>
            <w:r w:rsidRPr="00E3012D">
              <w:t>dimension</w:t>
            </w:r>
            <w:proofErr w:type="gramEnd"/>
            <w:r w:rsidRPr="00E3012D">
              <w:t xml:space="preserve"> incomplete?</w:t>
            </w:r>
          </w:p>
        </w:tc>
        <w:tc>
          <w:tcPr>
            <w:tcW w:w="1870" w:type="dxa"/>
            <w:shd w:val="clear" w:color="auto" w:fill="FFFFFF"/>
          </w:tcPr>
          <w:p w14:paraId="7A1D61D0" w14:textId="77777777" w:rsidR="00875D22" w:rsidRPr="00E3012D" w:rsidRDefault="00000000">
            <w:r w:rsidRPr="00E3012D">
              <w:t>Assessment Incomplete</w:t>
            </w:r>
          </w:p>
        </w:tc>
        <w:tc>
          <w:tcPr>
            <w:tcW w:w="2295" w:type="dxa"/>
            <w:shd w:val="clear" w:color="auto" w:fill="FFFFFF"/>
          </w:tcPr>
          <w:p w14:paraId="543E6637" w14:textId="77777777" w:rsidR="00875D22" w:rsidRPr="00E3012D" w:rsidRDefault="00000000">
            <w:r w:rsidRPr="00E3012D">
              <w:t>Proceed to Step 4</w:t>
            </w:r>
          </w:p>
        </w:tc>
      </w:tr>
      <w:tr w:rsidR="00875D22" w:rsidRPr="00E3012D" w14:paraId="2883411E" w14:textId="77777777" w:rsidTr="00875D22">
        <w:tc>
          <w:tcPr>
            <w:tcW w:w="870" w:type="dxa"/>
            <w:shd w:val="clear" w:color="auto" w:fill="D9E2F3"/>
          </w:tcPr>
          <w:p w14:paraId="6712525A" w14:textId="77777777" w:rsidR="00875D22" w:rsidRPr="00E3012D" w:rsidRDefault="00000000">
            <w:r w:rsidRPr="00E3012D">
              <w:t>4</w:t>
            </w:r>
          </w:p>
        </w:tc>
        <w:tc>
          <w:tcPr>
            <w:tcW w:w="4115" w:type="dxa"/>
            <w:shd w:val="clear" w:color="auto" w:fill="D9E2F3"/>
          </w:tcPr>
          <w:p w14:paraId="44EE2A6D" w14:textId="77777777" w:rsidR="00875D22" w:rsidRPr="00E3012D" w:rsidRDefault="00000000">
            <w:r w:rsidRPr="00E3012D">
              <w:t>Overall applicable-dimension average &lt; 2.0?</w:t>
            </w:r>
          </w:p>
        </w:tc>
        <w:tc>
          <w:tcPr>
            <w:tcW w:w="1870" w:type="dxa"/>
            <w:shd w:val="clear" w:color="auto" w:fill="D9E2F3"/>
          </w:tcPr>
          <w:p w14:paraId="7FDE685E" w14:textId="77777777" w:rsidR="00875D22" w:rsidRPr="00E3012D" w:rsidRDefault="00000000">
            <w:r w:rsidRPr="00E3012D">
              <w:t>Disqualified</w:t>
            </w:r>
          </w:p>
        </w:tc>
        <w:tc>
          <w:tcPr>
            <w:tcW w:w="2295" w:type="dxa"/>
            <w:shd w:val="clear" w:color="auto" w:fill="D9E2F3"/>
          </w:tcPr>
          <w:p w14:paraId="1256D703" w14:textId="77777777" w:rsidR="00875D22" w:rsidRPr="00E3012D" w:rsidRDefault="00000000">
            <w:r w:rsidRPr="00E3012D">
              <w:t>Proceed to Step 5</w:t>
            </w:r>
          </w:p>
        </w:tc>
      </w:tr>
      <w:tr w:rsidR="00875D22" w:rsidRPr="00E3012D" w14:paraId="722E92E0" w14:textId="77777777" w:rsidTr="00875D22">
        <w:tc>
          <w:tcPr>
            <w:tcW w:w="870" w:type="dxa"/>
            <w:shd w:val="clear" w:color="auto" w:fill="FFFFFF"/>
          </w:tcPr>
          <w:p w14:paraId="4E65EA1F" w14:textId="77777777" w:rsidR="00875D22" w:rsidRPr="00E3012D" w:rsidRDefault="00000000">
            <w:r w:rsidRPr="00E3012D">
              <w:t>5</w:t>
            </w:r>
          </w:p>
        </w:tc>
        <w:tc>
          <w:tcPr>
            <w:tcW w:w="4115" w:type="dxa"/>
            <w:shd w:val="clear" w:color="auto" w:fill="FFFFFF"/>
          </w:tcPr>
          <w:p w14:paraId="36D39961" w14:textId="77777777" w:rsidR="00875D22" w:rsidRPr="00E3012D" w:rsidRDefault="00000000">
            <w:r w:rsidRPr="00E3012D">
              <w:t>Four or more open remediation items OR any applicable dimension average &lt; 2.5?</w:t>
            </w:r>
          </w:p>
        </w:tc>
        <w:tc>
          <w:tcPr>
            <w:tcW w:w="1870" w:type="dxa"/>
            <w:shd w:val="clear" w:color="auto" w:fill="FFFFFF"/>
          </w:tcPr>
          <w:p w14:paraId="6EAFEA37" w14:textId="77777777" w:rsidR="00875D22" w:rsidRPr="00E3012D" w:rsidRDefault="00000000">
            <w:r w:rsidRPr="00E3012D">
              <w:t>CQ-30</w:t>
            </w:r>
          </w:p>
        </w:tc>
        <w:tc>
          <w:tcPr>
            <w:tcW w:w="2295" w:type="dxa"/>
            <w:shd w:val="clear" w:color="auto" w:fill="FFFFFF"/>
          </w:tcPr>
          <w:p w14:paraId="6DB920DC" w14:textId="77777777" w:rsidR="00875D22" w:rsidRPr="00E3012D" w:rsidRDefault="00000000">
            <w:r w:rsidRPr="00E3012D">
              <w:t>Proceed to Step 6</w:t>
            </w:r>
          </w:p>
        </w:tc>
      </w:tr>
      <w:tr w:rsidR="00875D22" w:rsidRPr="00E3012D" w14:paraId="7C3390A3" w14:textId="77777777" w:rsidTr="00875D22">
        <w:tc>
          <w:tcPr>
            <w:tcW w:w="870" w:type="dxa"/>
            <w:shd w:val="clear" w:color="auto" w:fill="D9E2F3"/>
          </w:tcPr>
          <w:p w14:paraId="7FC59E6C" w14:textId="77777777" w:rsidR="00875D22" w:rsidRPr="00E3012D" w:rsidRDefault="00000000">
            <w:r w:rsidRPr="00E3012D">
              <w:t>6</w:t>
            </w:r>
          </w:p>
        </w:tc>
        <w:tc>
          <w:tcPr>
            <w:tcW w:w="4115" w:type="dxa"/>
            <w:shd w:val="clear" w:color="auto" w:fill="D9E2F3"/>
          </w:tcPr>
          <w:p w14:paraId="5B5B8999" w14:textId="77777777" w:rsidR="00875D22" w:rsidRPr="00E3012D" w:rsidRDefault="00000000">
            <w:r w:rsidRPr="00E3012D">
              <w:t>One to three open remediation items?</w:t>
            </w:r>
          </w:p>
        </w:tc>
        <w:tc>
          <w:tcPr>
            <w:tcW w:w="1870" w:type="dxa"/>
            <w:shd w:val="clear" w:color="auto" w:fill="D9E2F3"/>
          </w:tcPr>
          <w:p w14:paraId="61BA8FDE" w14:textId="77777777" w:rsidR="00875D22" w:rsidRPr="00E3012D" w:rsidRDefault="00000000">
            <w:r w:rsidRPr="00E3012D">
              <w:t>CQ-90</w:t>
            </w:r>
          </w:p>
        </w:tc>
        <w:tc>
          <w:tcPr>
            <w:tcW w:w="2295" w:type="dxa"/>
            <w:shd w:val="clear" w:color="auto" w:fill="D9E2F3"/>
          </w:tcPr>
          <w:p w14:paraId="4D2E16F5" w14:textId="77777777" w:rsidR="00875D22" w:rsidRPr="00E3012D" w:rsidRDefault="00000000">
            <w:r w:rsidRPr="00E3012D">
              <w:t>Proceed to Step 7</w:t>
            </w:r>
          </w:p>
        </w:tc>
      </w:tr>
      <w:tr w:rsidR="00875D22" w:rsidRPr="00E3012D" w14:paraId="74FCB921" w14:textId="77777777" w:rsidTr="00875D22">
        <w:tc>
          <w:tcPr>
            <w:tcW w:w="870" w:type="dxa"/>
            <w:shd w:val="clear" w:color="auto" w:fill="FFFFFF"/>
          </w:tcPr>
          <w:p w14:paraId="6140C309" w14:textId="77777777" w:rsidR="00875D22" w:rsidRPr="00E3012D" w:rsidRDefault="00000000">
            <w:r w:rsidRPr="00E3012D">
              <w:t>7</w:t>
            </w:r>
          </w:p>
        </w:tc>
        <w:tc>
          <w:tcPr>
            <w:tcW w:w="4115" w:type="dxa"/>
            <w:shd w:val="clear" w:color="auto" w:fill="FFFFFF"/>
          </w:tcPr>
          <w:p w14:paraId="0C8719FF" w14:textId="77777777" w:rsidR="00875D22" w:rsidRPr="00E3012D" w:rsidRDefault="00000000">
            <w:r w:rsidRPr="00E3012D">
              <w:t>Overall applicable-dimension average ≥ 3.0?</w:t>
            </w:r>
          </w:p>
        </w:tc>
        <w:tc>
          <w:tcPr>
            <w:tcW w:w="1870" w:type="dxa"/>
            <w:shd w:val="clear" w:color="auto" w:fill="FFFFFF"/>
          </w:tcPr>
          <w:p w14:paraId="35FD0A6D" w14:textId="77777777" w:rsidR="00875D22" w:rsidRPr="00E3012D" w:rsidRDefault="00000000">
            <w:r w:rsidRPr="00E3012D">
              <w:t>Qualified</w:t>
            </w:r>
          </w:p>
        </w:tc>
        <w:tc>
          <w:tcPr>
            <w:tcW w:w="2295" w:type="dxa"/>
            <w:shd w:val="clear" w:color="auto" w:fill="FFFFFF"/>
          </w:tcPr>
          <w:p w14:paraId="4785D9AE" w14:textId="77777777" w:rsidR="00875D22" w:rsidRPr="00E3012D" w:rsidRDefault="00000000">
            <w:r w:rsidRPr="00E3012D">
              <w:t>CQ-90</w:t>
            </w:r>
          </w:p>
        </w:tc>
      </w:tr>
    </w:tbl>
    <w:p w14:paraId="1E572DC9" w14:textId="77777777" w:rsidR="00875D22" w:rsidRPr="00E3012D" w:rsidRDefault="00000000">
      <w:pPr>
        <w:pBdr>
          <w:top w:val="nil"/>
          <w:left w:val="nil"/>
          <w:bottom w:val="nil"/>
          <w:right w:val="nil"/>
          <w:between w:val="nil"/>
        </w:pBdr>
        <w:spacing w:before="180" w:after="180"/>
      </w:pPr>
      <w:r w:rsidRPr="00E3012D">
        <w:rPr>
          <w:rFonts w:ascii="Cambria" w:eastAsia="Cambria" w:hAnsi="Cambria" w:cs="Cambria"/>
          <w:b/>
          <w:bCs/>
        </w:rPr>
        <w:t>Notes:</w:t>
      </w:r>
    </w:p>
    <w:p w14:paraId="1184492C" w14:textId="77777777" w:rsidR="00875D22" w:rsidRPr="00E3012D" w:rsidRDefault="00000000">
      <w:pPr>
        <w:numPr>
          <w:ilvl w:val="0"/>
          <w:numId w:val="7"/>
        </w:numPr>
      </w:pPr>
      <w:r w:rsidRPr="00E3012D">
        <w:t>Tie-Break Rule: apply the decision table in order. Critical Failure and score-1 conditions override all aggregate scoring. CQ-30 governs whenever its open-item or low-dimension trigger is met.</w:t>
      </w:r>
    </w:p>
    <w:p w14:paraId="1AF7C599" w14:textId="77777777" w:rsidR="00875D22" w:rsidRPr="00E3012D" w:rsidRDefault="00000000">
      <w:pPr>
        <w:numPr>
          <w:ilvl w:val="0"/>
          <w:numId w:val="7"/>
        </w:numPr>
      </w:pPr>
      <w:r w:rsidRPr="00E3012D">
        <w:t xml:space="preserve">Example: overall </w:t>
      </w:r>
      <w:proofErr w:type="gramStart"/>
      <w:r w:rsidRPr="00E3012D">
        <w:t>average</w:t>
      </w:r>
      <w:proofErr w:type="gramEnd"/>
      <w:r w:rsidRPr="00E3012D">
        <w:t xml:space="preserve"> 3.1, four open score-2 remediation items, and no Critical Failure or score 1 </w:t>
      </w:r>
      <w:proofErr w:type="gramStart"/>
      <w:r w:rsidRPr="00E3012D">
        <w:t>results</w:t>
      </w:r>
      <w:proofErr w:type="gramEnd"/>
      <w:r w:rsidRPr="00E3012D">
        <w:t xml:space="preserve"> in CQ-30 because the open-item threshold is met.</w:t>
      </w:r>
    </w:p>
    <w:p w14:paraId="2E64434B" w14:textId="77777777" w:rsidR="00875D22" w:rsidRPr="00E3012D" w:rsidRDefault="00000000">
      <w:pPr>
        <w:numPr>
          <w:ilvl w:val="0"/>
          <w:numId w:val="7"/>
        </w:numPr>
      </w:pPr>
      <w:r w:rsidRPr="00E3012D">
        <w:t>Workbook formula note: QUALIFICATION uses the same ordered tests as Table 17.2, excludes N/A from averages and counts, and renormalizes equal dimension weighting across applicable dimensions.</w:t>
      </w:r>
    </w:p>
    <w:p w14:paraId="57765D60" w14:textId="77777777" w:rsidR="00875D22" w:rsidRPr="00E3012D" w:rsidRDefault="00000000">
      <w:pPr>
        <w:pStyle w:val="Heading3"/>
        <w:rPr>
          <w:color w:val="auto"/>
        </w:rPr>
      </w:pPr>
      <w:r w:rsidRPr="00E3012D">
        <w:rPr>
          <w:color w:val="auto"/>
        </w:rPr>
        <w:t>7.3 ASCR-01 evidence linkage</w:t>
      </w:r>
    </w:p>
    <w:p w14:paraId="72E91080" w14:textId="77777777" w:rsidR="00875D22" w:rsidRPr="00E3012D" w:rsidRDefault="00000000">
      <w:pPr>
        <w:pBdr>
          <w:top w:val="nil"/>
          <w:left w:val="nil"/>
          <w:bottom w:val="nil"/>
          <w:right w:val="nil"/>
          <w:between w:val="nil"/>
        </w:pBdr>
        <w:spacing w:before="180" w:after="180"/>
      </w:pPr>
      <w:r w:rsidRPr="00E3012D">
        <w:t xml:space="preserve">ASCR-17 findings provide vendor-risk evidence inputs to the ASCR-01 assessment; they do not directly overwrite ASCR-01 Raw Scores, subtract from Cluster Scores, or impose a Cluster Score cap. At minimum, ASCR-17 evidence informs Q18 (supplier and partner feed integrity and provenance) and Q30 (formal vendor security assessment), and may support Q8, Q15, or Q31 where the vendor evidence is directly relevant to the question being scored. The ASCR-01 assessor selects the applicable anchor from the current control </w:t>
      </w:r>
      <w:r w:rsidRPr="00E3012D">
        <w:lastRenderedPageBreak/>
        <w:t>evidence and records the ASCR-17 evidence linkage in ASCR-01 column Q. Qualification determinations continue to govern vendor admission, remediation, and risk acceptance through ASCR-03 and ASCR-11 independently of the ASCR-01 arithmetic score.</w:t>
      </w:r>
    </w:p>
    <w:tbl>
      <w:tblPr>
        <w:tblStyle w:val="ae"/>
        <w:tblW w:w="9360" w:type="dxa"/>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020" w:firstRow="1" w:lastRow="0" w:firstColumn="0" w:lastColumn="0" w:noHBand="0" w:noVBand="0"/>
      </w:tblPr>
      <w:tblGrid>
        <w:gridCol w:w="2305"/>
        <w:gridCol w:w="7055"/>
      </w:tblGrid>
      <w:tr w:rsidR="00875D22" w:rsidRPr="00E3012D" w14:paraId="45F92D30" w14:textId="77777777" w:rsidTr="00875D22">
        <w:trPr>
          <w:cnfStyle w:val="100000000000" w:firstRow="1" w:lastRow="0" w:firstColumn="0" w:lastColumn="0" w:oddVBand="0" w:evenVBand="0" w:oddHBand="0" w:evenHBand="0" w:firstRowFirstColumn="0" w:firstRowLastColumn="0" w:lastRowFirstColumn="0" w:lastRowLastColumn="0"/>
          <w:tblHeader/>
          <w:jc w:val="center"/>
        </w:trPr>
        <w:tc>
          <w:tcPr>
            <w:tcW w:w="2305" w:type="dxa"/>
            <w:shd w:val="clear" w:color="auto" w:fill="1F3864"/>
            <w:vAlign w:val="center"/>
          </w:tcPr>
          <w:p w14:paraId="722AFC87" w14:textId="77777777" w:rsidR="00875D22" w:rsidRPr="00E3012D" w:rsidRDefault="00000000">
            <w:pPr>
              <w:spacing w:after="0"/>
            </w:pPr>
            <w:r w:rsidRPr="00E3012D">
              <w:rPr>
                <w:b/>
                <w:bCs/>
                <w:sz w:val="16"/>
                <w:szCs w:val="16"/>
              </w:rPr>
              <w:t>ASCR-17 Determination</w:t>
            </w:r>
          </w:p>
        </w:tc>
        <w:tc>
          <w:tcPr>
            <w:tcW w:w="7055" w:type="dxa"/>
            <w:shd w:val="clear" w:color="auto" w:fill="1F3864"/>
            <w:vAlign w:val="center"/>
          </w:tcPr>
          <w:p w14:paraId="7626B4F6" w14:textId="77777777" w:rsidR="00875D22" w:rsidRPr="00E3012D" w:rsidRDefault="00000000">
            <w:pPr>
              <w:spacing w:after="0"/>
            </w:pPr>
            <w:r w:rsidRPr="00E3012D">
              <w:rPr>
                <w:b/>
                <w:bCs/>
                <w:sz w:val="16"/>
                <w:szCs w:val="16"/>
              </w:rPr>
              <w:t>ASCR-01 treatment</w:t>
            </w:r>
          </w:p>
        </w:tc>
      </w:tr>
      <w:tr w:rsidR="00875D22" w:rsidRPr="00E3012D" w14:paraId="3FCCC631" w14:textId="77777777" w:rsidTr="00875D22">
        <w:trPr>
          <w:jc w:val="center"/>
        </w:trPr>
        <w:tc>
          <w:tcPr>
            <w:tcW w:w="2305" w:type="dxa"/>
            <w:shd w:val="clear" w:color="auto" w:fill="FFFFFF"/>
            <w:vAlign w:val="center"/>
          </w:tcPr>
          <w:p w14:paraId="034772F7" w14:textId="77777777" w:rsidR="00875D22" w:rsidRPr="00E3012D" w:rsidRDefault="00000000">
            <w:pPr>
              <w:spacing w:after="0"/>
            </w:pPr>
            <w:r w:rsidRPr="00E3012D">
              <w:rPr>
                <w:sz w:val="16"/>
                <w:szCs w:val="16"/>
              </w:rPr>
              <w:t>Qualified</w:t>
            </w:r>
          </w:p>
        </w:tc>
        <w:tc>
          <w:tcPr>
            <w:tcW w:w="7055" w:type="dxa"/>
            <w:shd w:val="clear" w:color="auto" w:fill="FFFFFF"/>
            <w:vAlign w:val="center"/>
          </w:tcPr>
          <w:p w14:paraId="6712301D" w14:textId="77777777" w:rsidR="00875D22" w:rsidRPr="00E3012D" w:rsidRDefault="00000000">
            <w:pPr>
              <w:spacing w:after="0"/>
            </w:pPr>
            <w:r w:rsidRPr="00E3012D">
              <w:rPr>
                <w:sz w:val="16"/>
                <w:szCs w:val="16"/>
              </w:rPr>
              <w:t>Record the qualification evidence and use it when selecting applicable ASCR-01 question anchors. No automatic score adjustment.</w:t>
            </w:r>
          </w:p>
        </w:tc>
      </w:tr>
      <w:tr w:rsidR="00875D22" w:rsidRPr="00E3012D" w14:paraId="301624D5" w14:textId="77777777" w:rsidTr="00875D22">
        <w:trPr>
          <w:jc w:val="center"/>
        </w:trPr>
        <w:tc>
          <w:tcPr>
            <w:tcW w:w="2305" w:type="dxa"/>
            <w:shd w:val="clear" w:color="auto" w:fill="D9E2F3"/>
            <w:vAlign w:val="center"/>
          </w:tcPr>
          <w:p w14:paraId="2DDC27BC" w14:textId="77777777" w:rsidR="00875D22" w:rsidRPr="00E3012D" w:rsidRDefault="00000000">
            <w:pPr>
              <w:spacing w:after="0"/>
            </w:pPr>
            <w:r w:rsidRPr="00E3012D">
              <w:rPr>
                <w:sz w:val="16"/>
                <w:szCs w:val="16"/>
              </w:rPr>
              <w:t>Conditionally Qualified</w:t>
            </w:r>
          </w:p>
        </w:tc>
        <w:tc>
          <w:tcPr>
            <w:tcW w:w="7055" w:type="dxa"/>
            <w:shd w:val="clear" w:color="auto" w:fill="D9E2F3"/>
            <w:vAlign w:val="center"/>
          </w:tcPr>
          <w:p w14:paraId="71ED1A48" w14:textId="77777777" w:rsidR="00875D22" w:rsidRPr="00E3012D" w:rsidRDefault="00000000">
            <w:pPr>
              <w:spacing w:after="0"/>
            </w:pPr>
            <w:r w:rsidRPr="00E3012D">
              <w:rPr>
                <w:sz w:val="16"/>
                <w:szCs w:val="16"/>
              </w:rPr>
              <w:t>Record each open remediation item as evidence of a control gap. Reassess only ASCR-01 questions materially affected by that evidence. No direct Cluster Score deduction.</w:t>
            </w:r>
          </w:p>
        </w:tc>
      </w:tr>
      <w:tr w:rsidR="00875D22" w:rsidRPr="00E3012D" w14:paraId="1844539F" w14:textId="77777777" w:rsidTr="00875D22">
        <w:trPr>
          <w:jc w:val="center"/>
        </w:trPr>
        <w:tc>
          <w:tcPr>
            <w:tcW w:w="2305" w:type="dxa"/>
            <w:shd w:val="clear" w:color="auto" w:fill="FFFFFF"/>
            <w:vAlign w:val="center"/>
          </w:tcPr>
          <w:p w14:paraId="5C8FCFC7" w14:textId="77777777" w:rsidR="00875D22" w:rsidRPr="00E3012D" w:rsidRDefault="00000000">
            <w:pPr>
              <w:spacing w:after="0"/>
            </w:pPr>
            <w:r w:rsidRPr="00E3012D">
              <w:rPr>
                <w:sz w:val="16"/>
                <w:szCs w:val="16"/>
              </w:rPr>
              <w:t>Disqualified</w:t>
            </w:r>
          </w:p>
        </w:tc>
        <w:tc>
          <w:tcPr>
            <w:tcW w:w="7055" w:type="dxa"/>
            <w:shd w:val="clear" w:color="auto" w:fill="FFFFFF"/>
            <w:vAlign w:val="center"/>
          </w:tcPr>
          <w:p w14:paraId="1422DB50" w14:textId="77777777" w:rsidR="00875D22" w:rsidRPr="00E3012D" w:rsidRDefault="00000000">
            <w:pPr>
              <w:spacing w:after="0"/>
            </w:pPr>
            <w:r w:rsidRPr="00E3012D">
              <w:rPr>
                <w:sz w:val="16"/>
                <w:szCs w:val="16"/>
              </w:rPr>
              <w:t>Record the Disqualified determination as a high-priority vendor-risk finding and reassess materially affected ASCR-01 question anchors using current evidence. Do not impose a numeric Cluster Score cap. Vendor retention or admission requires the applicable ASCR-03/ASCR-11 governance decision.</w:t>
            </w:r>
          </w:p>
        </w:tc>
      </w:tr>
    </w:tbl>
    <w:p w14:paraId="1048C026" w14:textId="77777777" w:rsidR="00875D22" w:rsidRPr="00E3012D" w:rsidRDefault="00000000">
      <w:pPr>
        <w:pStyle w:val="Heading2"/>
        <w:rPr>
          <w:color w:val="auto"/>
        </w:rPr>
      </w:pPr>
      <w:r w:rsidRPr="00E3012D">
        <w:rPr>
          <w:color w:val="auto"/>
        </w:rPr>
        <w:t>Section 8 — Reassessment triggers and ongoing governance</w:t>
      </w:r>
    </w:p>
    <w:p w14:paraId="52002CEC" w14:textId="77777777" w:rsidR="00875D22" w:rsidRPr="00E3012D" w:rsidRDefault="00000000">
      <w:pPr>
        <w:pStyle w:val="Heading3"/>
        <w:rPr>
          <w:color w:val="auto"/>
        </w:rPr>
      </w:pPr>
      <w:r w:rsidRPr="00E3012D">
        <w:rPr>
          <w:color w:val="auto"/>
        </w:rPr>
        <w:t>8.1 Scheduled reassessment protocol</w:t>
      </w:r>
    </w:p>
    <w:p w14:paraId="6BC83FA2" w14:textId="77777777" w:rsidR="00875D22" w:rsidRPr="00E3012D" w:rsidRDefault="00000000">
      <w:pPr>
        <w:pBdr>
          <w:top w:val="nil"/>
          <w:left w:val="nil"/>
          <w:bottom w:val="nil"/>
          <w:right w:val="nil"/>
          <w:between w:val="nil"/>
        </w:pBdr>
        <w:spacing w:before="180" w:after="180"/>
      </w:pPr>
      <w:r w:rsidRPr="00E3012D">
        <w:t>Baseline reassessment cadence is Tier 1 annually, Tier 2 every 24 months, and Tier 3 at contract renewal or a defined trigger. A material change, qualifying incident, significant supplier/model/hosting change, or other Section 8.2 trigger requires earlier reassessment regardless of tier. Reassessment focuses on changed evidence but must still produce a fresh signed qualification determination.</w:t>
      </w:r>
    </w:p>
    <w:p w14:paraId="7C3E2B40" w14:textId="77777777" w:rsidR="00875D22" w:rsidRPr="00E3012D" w:rsidRDefault="00000000">
      <w:pPr>
        <w:numPr>
          <w:ilvl w:val="0"/>
          <w:numId w:val="8"/>
        </w:numPr>
      </w:pPr>
      <w:r w:rsidRPr="00E3012D">
        <w:t>Dimension 1 SD-1.4 (behavioral testing coverage) must be fully re-evaluated for any model version released since the previous assessment</w:t>
      </w:r>
    </w:p>
    <w:p w14:paraId="780E2AC3" w14:textId="77777777" w:rsidR="00875D22" w:rsidRPr="00E3012D" w:rsidRDefault="00000000">
      <w:pPr>
        <w:numPr>
          <w:ilvl w:val="0"/>
          <w:numId w:val="8"/>
        </w:numPr>
      </w:pPr>
      <w:r w:rsidRPr="00E3012D">
        <w:t>Dimension 2 AI-BOM completeness must be verified against all AI-BOM updates delivered since the previous assessment</w:t>
      </w:r>
    </w:p>
    <w:p w14:paraId="528B6610" w14:textId="77777777" w:rsidR="00875D22" w:rsidRPr="00E3012D" w:rsidRDefault="00000000">
      <w:pPr>
        <w:numPr>
          <w:ilvl w:val="0"/>
          <w:numId w:val="8"/>
        </w:numPr>
      </w:pPr>
      <w:r w:rsidRPr="00E3012D">
        <w:t>Dimension 5 supplier inventory must be re-verified for changes in primary suppliers with write access to model training or compilation infrastructure</w:t>
      </w:r>
    </w:p>
    <w:p w14:paraId="48D74AF4" w14:textId="77777777" w:rsidR="00875D22" w:rsidRPr="00E3012D" w:rsidRDefault="00000000">
      <w:pPr>
        <w:numPr>
          <w:ilvl w:val="0"/>
          <w:numId w:val="8"/>
        </w:numPr>
      </w:pPr>
      <w:r w:rsidRPr="00E3012D">
        <w:t>Any change in vendor ownership, control, or corporate structure since the previous assessment triggers a full reassessment regardless of the applicable scheduled reassessment cadence.</w:t>
      </w:r>
    </w:p>
    <w:p w14:paraId="06635600" w14:textId="77777777" w:rsidR="00875D22" w:rsidRPr="00E3012D" w:rsidRDefault="00000000">
      <w:pPr>
        <w:pBdr>
          <w:top w:val="nil"/>
          <w:left w:val="nil"/>
          <w:bottom w:val="nil"/>
          <w:right w:val="nil"/>
          <w:between w:val="nil"/>
        </w:pBdr>
        <w:spacing w:before="180" w:after="180"/>
      </w:pPr>
      <w:r w:rsidRPr="00E3012D">
        <w:t xml:space="preserve">Reassessment ownership: the ASCR-11 contract owner is responsible for scheduling and completing the applicable tier-based reassessment. When a reassessment is due in connection with contract renewal, complete it no later than 30 calendar days before the renewal date. The reassessment must be conducted by personnel with equivalent qualifications to the original assessment team. A completed scheduled reassessment requires: (a) updated dimension scores for all re-evaluated sub-dimensions; (b) a new qualification determination per Section 7.2; (c) an updated signed ASCR-17 vendor qualification record per Section 8.3; and (d) sign-off by the CISO or delegated authority. A scheduled reassessment that does not produce a new written qualification determination signed by the CISO or delegated authority is incomplete and does not restart the applicable </w:t>
      </w:r>
      <w:r w:rsidRPr="00E3012D">
        <w:lastRenderedPageBreak/>
        <w:t>reassessment clock. The clock restarts from the date of CISO sign-off, not the date fieldwork was completed.</w:t>
      </w:r>
    </w:p>
    <w:p w14:paraId="2BE6EBEF" w14:textId="77777777" w:rsidR="00875D22" w:rsidRPr="00E3012D" w:rsidRDefault="00000000">
      <w:pPr>
        <w:pStyle w:val="Heading3"/>
        <w:rPr>
          <w:color w:val="auto"/>
        </w:rPr>
      </w:pPr>
      <w:r w:rsidRPr="00E3012D">
        <w:rPr>
          <w:color w:val="auto"/>
        </w:rPr>
        <w:t>8.2 Triggered reassessment protocol</w:t>
      </w:r>
    </w:p>
    <w:p w14:paraId="54F5F090" w14:textId="77777777" w:rsidR="00875D22" w:rsidRPr="00E3012D" w:rsidRDefault="00000000">
      <w:pPr>
        <w:pBdr>
          <w:top w:val="nil"/>
          <w:left w:val="nil"/>
          <w:bottom w:val="nil"/>
          <w:right w:val="nil"/>
          <w:between w:val="nil"/>
        </w:pBdr>
        <w:spacing w:before="180" w:after="180"/>
      </w:pPr>
      <w:r w:rsidRPr="00E3012D">
        <w:rPr>
          <w:rFonts w:ascii="Cambria" w:eastAsia="Cambria" w:hAnsi="Cambria" w:cs="Cambria"/>
        </w:rPr>
        <w:t>The following events trigger immediate reassessment of the affected vendor outside the applicable scheduled reassessment cadence:</w:t>
      </w:r>
    </w:p>
    <w:p w14:paraId="7A1A9BC0" w14:textId="77777777" w:rsidR="00875D22" w:rsidRPr="00E3012D" w:rsidRDefault="00000000">
      <w:pPr>
        <w:pBdr>
          <w:top w:val="nil"/>
          <w:left w:val="nil"/>
          <w:bottom w:val="nil"/>
          <w:right w:val="nil"/>
          <w:between w:val="nil"/>
        </w:pBdr>
        <w:spacing w:before="180" w:after="180"/>
      </w:pPr>
      <w:r w:rsidRPr="00E3012D">
        <w:t>ASCR-16 ARTIFACT_MODIFIED_IN_TRANSIT or PROVENANCE_MISSING alert. Immediately reassess Dimension 1 (pipeline integrity) and Dimension 2 (AI-BOM/provenance) for the vendor whose artifact triggered the alert. Include Dimension 5 (fourth-party visibility) when the missing or inconsistent provenance implicates an upstream supplier, dependency, hosting, firmware, or delivery-chain path. Complete the applicable reassessment before any subsequent artifact from the same vendor is admitted through the cloud-to-edge boundary.</w:t>
      </w:r>
    </w:p>
    <w:p w14:paraId="69D613FA" w14:textId="77777777" w:rsidR="00875D22" w:rsidRPr="00E3012D" w:rsidRDefault="00000000">
      <w:pPr>
        <w:pBdr>
          <w:top w:val="nil"/>
          <w:left w:val="nil"/>
          <w:bottom w:val="nil"/>
          <w:right w:val="nil"/>
          <w:between w:val="nil"/>
        </w:pBdr>
        <w:spacing w:before="180" w:after="180"/>
      </w:pPr>
      <w:r w:rsidRPr="00E3012D">
        <w:rPr>
          <w:rFonts w:ascii="Cambria" w:eastAsia="Cambria" w:hAnsi="Cambria" w:cs="Cambria"/>
          <w:b/>
          <w:bCs/>
        </w:rPr>
        <w:t>ASCR-10 hard-block triggered by vendor model artifact behavioral deviation.</w:t>
      </w:r>
      <w:r w:rsidRPr="00E3012D">
        <w:rPr>
          <w:rFonts w:ascii="Cambria" w:eastAsia="Cambria" w:hAnsi="Cambria" w:cs="Cambria"/>
        </w:rPr>
        <w:t xml:space="preserve"> Immediate reassessment of Dimension 3 (adversarial robustness) for the vendor whose artifact triggered the </w:t>
      </w:r>
      <w:proofErr w:type="gramStart"/>
      <w:r w:rsidRPr="00E3012D">
        <w:rPr>
          <w:rFonts w:ascii="Cambria" w:eastAsia="Cambria" w:hAnsi="Cambria" w:cs="Cambria"/>
        </w:rPr>
        <w:t>hard-block</w:t>
      </w:r>
      <w:proofErr w:type="gramEnd"/>
      <w:r w:rsidRPr="00E3012D">
        <w:rPr>
          <w:rFonts w:ascii="Cambria" w:eastAsia="Cambria" w:hAnsi="Cambria" w:cs="Cambria"/>
        </w:rPr>
        <w:t>. The assessment must confirm whether the behavioral deviation is consistent with a supply chain compromise before the vendor’s artifact is re-admitted to the deployment.</w:t>
      </w:r>
    </w:p>
    <w:p w14:paraId="54C94825" w14:textId="77777777" w:rsidR="00875D22" w:rsidRPr="00E3012D" w:rsidRDefault="00000000">
      <w:pPr>
        <w:pBdr>
          <w:top w:val="nil"/>
          <w:left w:val="nil"/>
          <w:bottom w:val="nil"/>
          <w:right w:val="nil"/>
          <w:between w:val="nil"/>
        </w:pBdr>
        <w:spacing w:before="180" w:after="180"/>
      </w:pPr>
      <w:r w:rsidRPr="00E3012D">
        <w:t>Confirmed convergence-domain incident tracing to a vendor-supplied component. Perform a full reassessment of all applicable dimensions for the implicated vendor in parallel with the ASCR-08 post-incident cycle. Reassessment findings provide evidence for the ASCR-08 post-incident ASCR-01 reassessment. Any materially affected ASCR-01 questions are rescored through the normal ASCR-01 methodology; ASCR-17 does not directly modify ASCR-01 scores.</w:t>
      </w:r>
    </w:p>
    <w:p w14:paraId="48E1839D" w14:textId="77777777" w:rsidR="00875D22" w:rsidRPr="00E3012D" w:rsidRDefault="00000000">
      <w:pPr>
        <w:pStyle w:val="Heading3"/>
        <w:rPr>
          <w:color w:val="auto"/>
        </w:rPr>
      </w:pPr>
      <w:r w:rsidRPr="00E3012D">
        <w:rPr>
          <w:color w:val="auto"/>
        </w:rPr>
        <w:t>8.3 Qualification record and ASCR-11 contractual linkage</w:t>
      </w:r>
    </w:p>
    <w:p w14:paraId="0E830584" w14:textId="77777777" w:rsidR="00875D22" w:rsidRPr="00E3012D" w:rsidRDefault="00000000">
      <w:pPr>
        <w:pBdr>
          <w:top w:val="nil"/>
          <w:left w:val="nil"/>
          <w:bottom w:val="nil"/>
          <w:right w:val="nil"/>
          <w:between w:val="nil"/>
        </w:pBdr>
        <w:spacing w:before="180" w:after="180"/>
      </w:pPr>
      <w:r w:rsidRPr="00E3012D">
        <w:t>ASCR-17 qualification findings are recorded in the signed ASCR-17 vendor qualification record at initial assessment and after every reassessment. The record must include the qualification determination, assessment date, assessor identity, applicable dimension scores, open remediation items with milestone dates, next reassessment date, CISO or delegated-authority sign-off, record version/update reason, entry date, updating-party identity, and the applicable ASCR-11 contract or governed evidence reference where the executed agreement requires or relies on ASCR-17 qualification evidence. Preserve each dated update; prior records must not be overwritten.</w:t>
      </w:r>
    </w:p>
    <w:p w14:paraId="53774682" w14:textId="77777777" w:rsidR="00875D22" w:rsidRPr="00E3012D" w:rsidRDefault="00000000">
      <w:r w:rsidRPr="00E3012D">
        <w:t>Where the executed ASCR-11 instrument requires contractual integration, record or attach the current ASCR-17 qualification/evidence reference under the applicable vendor/security obligation or contractual evidence record. Do not use ASCR-11 Schedule D for vendor qualification; Schedule D is reserved for identity-continuity SLOs.</w:t>
      </w:r>
    </w:p>
    <w:p w14:paraId="21D8D3DA" w14:textId="77777777" w:rsidR="00875D22" w:rsidRPr="00E3012D" w:rsidRDefault="00000000">
      <w:r w:rsidRPr="00E3012D">
        <w:lastRenderedPageBreak/>
        <w:t>For Directive (EU) 2024/2853, evidentiary references in this instrument are conditional on national transposition and product timing: the prior Directive 85/374/EEC continues to apply to products placed on the market or put into service before 9 December 2026. An ASCR-11 agreement that contractually requires ASCR-17 qualification but lacks a current signed ASCR-17 qualification record or a resolvable qualification-evidence reference is incomplete and shall not be executed.</w:t>
      </w:r>
    </w:p>
    <w:p w14:paraId="164417E2" w14:textId="77777777" w:rsidR="00875D22" w:rsidRPr="00E3012D" w:rsidRDefault="00000000">
      <w:pPr>
        <w:pStyle w:val="Heading3"/>
        <w:rPr>
          <w:color w:val="auto"/>
        </w:rPr>
      </w:pPr>
      <w:r w:rsidRPr="00E3012D">
        <w:rPr>
          <w:color w:val="auto"/>
        </w:rPr>
        <w:t>8.4 Continuous monitoring</w:t>
      </w:r>
    </w:p>
    <w:p w14:paraId="4D54E9BB" w14:textId="77777777" w:rsidR="00875D22" w:rsidRPr="00E3012D" w:rsidRDefault="00000000">
      <w:r w:rsidRPr="00E3012D">
        <w:t>Between formal reassessments, the ASCR-11 contract owner and ASCR-12 reporting owner monitor material vendor advisories, ownership/control changes, model or firmware releases, downstream-provider substitutions, qualification/attestation expiry, remediation milestones, drift notifications, and relevant ASCR-07/ASCR-10 runtime signals. A material signal routes to Section 8.2 triggered reassessment; continuous monitoring does not autonomously alter the signed ASCR-17 determination.</w:t>
      </w:r>
    </w:p>
    <w:p w14:paraId="4D97805A" w14:textId="77777777" w:rsidR="00875D22" w:rsidRPr="00E3012D" w:rsidRDefault="00000000">
      <w:pPr>
        <w:pStyle w:val="Heading2"/>
        <w:rPr>
          <w:color w:val="auto"/>
        </w:rPr>
      </w:pPr>
      <w:r w:rsidRPr="00E3012D">
        <w:rPr>
          <w:color w:val="auto"/>
        </w:rPr>
        <w:t>Summary</w:t>
      </w:r>
    </w:p>
    <w:p w14:paraId="4823D93B" w14:textId="77777777" w:rsidR="00875D22" w:rsidRPr="00E3012D" w:rsidRDefault="00000000">
      <w:pPr>
        <w:pBdr>
          <w:top w:val="nil"/>
          <w:left w:val="nil"/>
          <w:bottom w:val="nil"/>
          <w:right w:val="nil"/>
          <w:between w:val="nil"/>
        </w:pBdr>
        <w:spacing w:before="180" w:after="180"/>
      </w:pPr>
      <w:r w:rsidRPr="00E3012D">
        <w:rPr>
          <w:rFonts w:ascii="Cambria" w:eastAsia="Cambria" w:hAnsi="Cambria" w:cs="Cambria"/>
        </w:rPr>
        <w:t>The vendor qualification gap in agentic supply chain security is structural: controls that rely on vendor-supplied components, including ASCR-04 Section 3.6 KQP command-authentication and physical-containment controls, ASCR-07 reasoning-trace evidence, ASCR-10 model-artifact integrity records, and ASCR-16 cloud-to-edge lineage evidence, depend on credible vendor provenance and security evidence. Those downstream controls do not establish what happened inside the vendor's development pipeline before delivery. ASCR-17 supplies the pre-admission assessment evidence for that organizational boundary and maintains it through reassessment as the vendor relationship evolves.</w:t>
      </w:r>
    </w:p>
    <w:p w14:paraId="225192CA" w14:textId="77777777" w:rsidR="00875D22" w:rsidRPr="00E3012D" w:rsidRDefault="00000000">
      <w:pPr>
        <w:pBdr>
          <w:top w:val="nil"/>
          <w:left w:val="nil"/>
          <w:bottom w:val="nil"/>
          <w:right w:val="nil"/>
          <w:between w:val="nil"/>
        </w:pBdr>
        <w:spacing w:before="180" w:after="180"/>
      </w:pPr>
      <w:r w:rsidRPr="00E3012D">
        <w:rPr>
          <w:rFonts w:ascii="Cambria" w:eastAsia="Cambria" w:hAnsi="Cambria" w:cs="Cambria"/>
        </w:rPr>
        <w:t>ASCR-17 is the assessment pattern for earning that confidence. Five assessment dimensions - pipeline integrity, AI-BOM completeness, adversarial robustness, incident response capability, and fourth-party visibility - constitute a defined qualification method. Meeting it does not guarantee that a vendor’s pipeline will never be compromised. No assessment can provide that guarantee. The assessment provides three things: documented evidence that the right questions were asked before admission, a record that the vendor’s answers met the defined qualification criteria, and an ongoing reassessment process designed to surface material changes in vendor posture early enough to inform governance decisions before or after they become operationally consequential.</w:t>
      </w:r>
    </w:p>
    <w:p w14:paraId="2E790781" w14:textId="77777777" w:rsidR="00875D22" w:rsidRPr="00E3012D" w:rsidRDefault="00000000">
      <w:pPr>
        <w:pBdr>
          <w:top w:val="nil"/>
          <w:left w:val="nil"/>
          <w:bottom w:val="nil"/>
          <w:right w:val="nil"/>
          <w:between w:val="nil"/>
        </w:pBdr>
        <w:spacing w:before="180" w:after="180"/>
      </w:pPr>
      <w:r w:rsidRPr="00E3012D">
        <w:t xml:space="preserve">The Port Paralysis scenario is the controlling precedent. Terminal Alpha’s operator did not assess the hardware vendor’s development pipeline security before granting the Predictive Maintenance Agent physical actuation authority. The vendor’s AI-BOM did not disclose the compromised transitive dependency. No assessment was required. No qualification was demanded. The result was 86 hours of facility paralysis and 180,000 TEUs of disrupted </w:t>
      </w:r>
      <w:r w:rsidRPr="00E3012D">
        <w:lastRenderedPageBreak/>
        <w:t>cargo movement. (As a reminder, TEU refers to a twenty-foot equivalent unit, the standard measure of container ship cargo capacity.) The disruption occurred not because Terminal Alpha’s controls failed, but because the vendor’s controls failed, and Terminal Alpha had no pre-contractual visibility into whether those controls were adequate.</w:t>
      </w:r>
    </w:p>
    <w:p w14:paraId="7421BB93" w14:textId="77777777" w:rsidR="00875D22" w:rsidRPr="00E3012D" w:rsidRDefault="00000000">
      <w:pPr>
        <w:pBdr>
          <w:top w:val="nil"/>
          <w:left w:val="nil"/>
          <w:bottom w:val="nil"/>
          <w:right w:val="nil"/>
          <w:between w:val="nil"/>
        </w:pBdr>
        <w:spacing w:before="180" w:after="180"/>
      </w:pPr>
      <w:r w:rsidRPr="00E3012D">
        <w:rPr>
          <w:rFonts w:ascii="Cambria" w:eastAsia="Cambria" w:hAnsi="Cambria" w:cs="Cambria"/>
        </w:rPr>
        <w:t>ASCR-17 provides the reusable assessment pattern intended to change that procurement outcome when implemented through the organization's governance, evidence, and operational tooling. Start with the vendor whose component has the deepest access to your Intelligence Layer reasoning engine — your foundation model provider. Apply the full Tier 1 assessment to that vendor before the next contract renewal. Deploy ASCR-17 before the first contract is signed, not after the first incident is investigated.</w:t>
      </w:r>
    </w:p>
    <w:sectPr w:rsidR="00875D22" w:rsidRPr="00E3012D">
      <w:pgSz w:w="12240" w:h="15840"/>
      <w:pgMar w:top="1440" w:right="1440" w:bottom="1440" w:left="144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D74EA589-D9B8-437F-A077-F392AF50C2DA}"/>
    <w:embedBold r:id="rId2" w:fontKey="{7EBE2174-0E32-4FDB-AC6F-C5DE24A0D668}"/>
    <w:embedItalic r:id="rId3" w:fontKey="{6C60BF47-22BB-4DBB-A420-2355855FE8A4}"/>
  </w:font>
  <w:font w:name="Calibri">
    <w:panose1 w:val="020F0502020204030204"/>
    <w:charset w:val="00"/>
    <w:family w:val="swiss"/>
    <w:pitch w:val="variable"/>
    <w:sig w:usb0="E4002EFF" w:usb1="C200247B" w:usb2="00000009" w:usb3="00000000" w:csb0="000001FF" w:csb1="00000000"/>
    <w:embedRegular r:id="rId4" w:fontKey="{27DDDB1A-B3D2-40CE-8AF6-5A402307B659}"/>
    <w:embedBold r:id="rId5" w:fontKey="{701F54B9-2359-4205-BA1D-72B5D1883B5C}"/>
    <w:embedItalic r:id="rId6" w:fontKey="{A6087A3E-A95D-4E29-9A7E-763D851913F4}"/>
  </w:font>
  <w:font w:name="Crimson Pro">
    <w:altName w:val="Calibri"/>
    <w:charset w:val="00"/>
    <w:family w:val="auto"/>
    <w:pitch w:val="variable"/>
    <w:sig w:usb0="A00000FF" w:usb1="5000E04B" w:usb2="00000000" w:usb3="00000000" w:csb0="00000193"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7" w:fontKey="{660CC8FD-480F-411F-A8E3-AF7EB48DAF8C}"/>
    <w:embedBold r:id="rId8" w:fontKey="{D0A27386-DE8E-4E60-A9DE-341BCEDDD1D5}"/>
  </w:font>
  <w:font w:name="Source Sans 3">
    <w:altName w:val="Calibri"/>
    <w:panose1 w:val="00000000000000000000"/>
    <w:charset w:val="00"/>
    <w:family w:val="swiss"/>
    <w:notTrueType/>
    <w:pitch w:val="variable"/>
    <w:sig w:usb0="E00002FF" w:usb1="00002003" w:usb2="00000000" w:usb3="00000000" w:csb0="0000019F" w:csb1="00000000"/>
  </w:font>
  <w:font w:name="Tahoma">
    <w:panose1 w:val="020B0604030504040204"/>
    <w:charset w:val="00"/>
    <w:family w:val="swiss"/>
    <w:pitch w:val="variable"/>
    <w:sig w:usb0="E1002EFF" w:usb1="C000605B" w:usb2="00000029" w:usb3="00000000" w:csb0="000101FF" w:csb1="00000000"/>
    <w:embedRegular r:id="rId9" w:fontKey="{C39BB449-6398-4E3F-BE12-221146BD99B0}"/>
  </w:font>
  <w:font w:name="Jost* Medium">
    <w:altName w:val="Calibri"/>
    <w:panose1 w:val="00000000000000000000"/>
    <w:charset w:val="00"/>
    <w:family w:val="modern"/>
    <w:notTrueType/>
    <w:pitch w:val="variable"/>
    <w:sig w:usb0="A00002EF" w:usb1="0000205B" w:usb2="00000010" w:usb3="00000000" w:csb0="00000097" w:csb1="00000000"/>
  </w:font>
  <w:font w:name="Jost*">
    <w:altName w:val="Calibri"/>
    <w:panose1 w:val="00000000000000000000"/>
    <w:charset w:val="00"/>
    <w:family w:val="modern"/>
    <w:notTrueType/>
    <w:pitch w:val="variable"/>
    <w:sig w:usb0="A00002EF" w:usb1="0000205B" w:usb2="00000010" w:usb3="00000000" w:csb0="00000097" w:csb1="00000000"/>
  </w:font>
  <w:font w:name="Jost* Semi">
    <w:altName w:val="Calibri"/>
    <w:panose1 w:val="00000000000000000000"/>
    <w:charset w:val="00"/>
    <w:family w:val="modern"/>
    <w:notTrueType/>
    <w:pitch w:val="variable"/>
    <w:sig w:usb0="A00002EF" w:usb1="0000205B" w:usb2="00000010" w:usb3="00000000" w:csb0="00000097" w:csb1="00000000"/>
  </w:font>
  <w:font w:name="Book Antiqua">
    <w:panose1 w:val="02040602050305030304"/>
    <w:charset w:val="00"/>
    <w:family w:val="roman"/>
    <w:pitch w:val="variable"/>
    <w:sig w:usb0="00000287" w:usb1="00000000" w:usb2="00000000" w:usb3="00000000" w:csb0="0000009F" w:csb1="00000000"/>
    <w:embedRegular r:id="rId10" w:fontKey="{D2893362-49CB-47CC-AFB0-332DD12FD14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2095"/>
    <w:multiLevelType w:val="multilevel"/>
    <w:tmpl w:val="F28C8FAC"/>
    <w:lvl w:ilvl="0">
      <w:start w:val="1"/>
      <w:numFmt w:val="decimal"/>
      <w:pStyle w:val="L1-Numbered"/>
      <w:lvlText w:val="%1."/>
      <w:lvlJc w:val="left"/>
      <w:pPr>
        <w:ind w:left="720" w:hanging="363"/>
      </w:pPr>
      <w:rPr>
        <w:rFonts w:hint="default"/>
      </w:rPr>
    </w:lvl>
    <w:lvl w:ilvl="1">
      <w:start w:val="1"/>
      <w:numFmt w:val="lowerLetter"/>
      <w:lvlText w:val="%2."/>
      <w:lvlJc w:val="left"/>
      <w:pPr>
        <w:ind w:left="2307" w:firstLine="0"/>
      </w:pPr>
      <w:rPr>
        <w:rFonts w:hint="default"/>
      </w:rPr>
    </w:lvl>
    <w:lvl w:ilvl="2">
      <w:start w:val="1"/>
      <w:numFmt w:val="lowerRoman"/>
      <w:lvlText w:val="%3."/>
      <w:lvlJc w:val="right"/>
      <w:pPr>
        <w:ind w:left="3537" w:firstLine="0"/>
      </w:pPr>
      <w:rPr>
        <w:rFonts w:hint="default"/>
      </w:rPr>
    </w:lvl>
    <w:lvl w:ilvl="3">
      <w:start w:val="1"/>
      <w:numFmt w:val="decimal"/>
      <w:lvlText w:val="%4."/>
      <w:lvlJc w:val="left"/>
      <w:pPr>
        <w:ind w:left="4767" w:firstLine="0"/>
      </w:pPr>
      <w:rPr>
        <w:rFonts w:hint="default"/>
      </w:rPr>
    </w:lvl>
    <w:lvl w:ilvl="4">
      <w:start w:val="1"/>
      <w:numFmt w:val="lowerLetter"/>
      <w:lvlText w:val="%5."/>
      <w:lvlJc w:val="left"/>
      <w:pPr>
        <w:ind w:left="5997" w:firstLine="0"/>
      </w:pPr>
      <w:rPr>
        <w:rFonts w:hint="default"/>
      </w:rPr>
    </w:lvl>
    <w:lvl w:ilvl="5">
      <w:start w:val="1"/>
      <w:numFmt w:val="lowerRoman"/>
      <w:lvlText w:val="%6."/>
      <w:lvlJc w:val="right"/>
      <w:pPr>
        <w:ind w:left="7227" w:firstLine="0"/>
      </w:pPr>
      <w:rPr>
        <w:rFonts w:hint="default"/>
      </w:rPr>
    </w:lvl>
    <w:lvl w:ilvl="6">
      <w:start w:val="1"/>
      <w:numFmt w:val="decimal"/>
      <w:lvlText w:val="%7."/>
      <w:lvlJc w:val="left"/>
      <w:pPr>
        <w:ind w:left="8457" w:firstLine="0"/>
      </w:pPr>
      <w:rPr>
        <w:rFonts w:hint="default"/>
      </w:rPr>
    </w:lvl>
    <w:lvl w:ilvl="7">
      <w:start w:val="1"/>
      <w:numFmt w:val="lowerLetter"/>
      <w:lvlText w:val="%8."/>
      <w:lvlJc w:val="left"/>
      <w:pPr>
        <w:ind w:left="9687" w:firstLine="0"/>
      </w:pPr>
      <w:rPr>
        <w:rFonts w:hint="default"/>
      </w:rPr>
    </w:lvl>
    <w:lvl w:ilvl="8">
      <w:start w:val="1"/>
      <w:numFmt w:val="lowerRoman"/>
      <w:lvlText w:val="%9."/>
      <w:lvlJc w:val="right"/>
      <w:pPr>
        <w:ind w:left="10917" w:firstLine="0"/>
      </w:pPr>
      <w:rPr>
        <w:rFonts w:hint="default"/>
      </w:rPr>
    </w:lvl>
  </w:abstractNum>
  <w:abstractNum w:abstractNumId="1" w15:restartNumberingAfterBreak="0">
    <w:nsid w:val="088221BB"/>
    <w:multiLevelType w:val="multilevel"/>
    <w:tmpl w:val="86C476D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9CC1ADB"/>
    <w:multiLevelType w:val="hybridMultilevel"/>
    <w:tmpl w:val="067C1362"/>
    <w:lvl w:ilvl="0" w:tplc="F17E0FBC">
      <w:start w:val="1"/>
      <w:numFmt w:val="bullet"/>
      <w:pStyle w:val="I0-InfoBox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9D25BD9"/>
    <w:multiLevelType w:val="multilevel"/>
    <w:tmpl w:val="C2DE69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A9A6DD1"/>
    <w:multiLevelType w:val="multilevel"/>
    <w:tmpl w:val="8566257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5" w15:restartNumberingAfterBreak="0">
    <w:nsid w:val="0C1B0CF1"/>
    <w:multiLevelType w:val="multilevel"/>
    <w:tmpl w:val="4826361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6" w15:restartNumberingAfterBreak="0">
    <w:nsid w:val="11C97D5B"/>
    <w:multiLevelType w:val="hybridMultilevel"/>
    <w:tmpl w:val="F198D8DC"/>
    <w:lvl w:ilvl="0" w:tplc="EFD0A6CE">
      <w:start w:val="1"/>
      <w:numFmt w:val="decimal"/>
      <w:pStyle w:val="L3-Numbered"/>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 w15:restartNumberingAfterBreak="0">
    <w:nsid w:val="170721DD"/>
    <w:multiLevelType w:val="hybridMultilevel"/>
    <w:tmpl w:val="FD22A208"/>
    <w:lvl w:ilvl="0" w:tplc="7CA4255A">
      <w:start w:val="1"/>
      <w:numFmt w:val="lowerLetter"/>
      <w:pStyle w:val="L1-Alphabet"/>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7BC408B"/>
    <w:multiLevelType w:val="multilevel"/>
    <w:tmpl w:val="867A687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 w15:restartNumberingAfterBreak="0">
    <w:nsid w:val="191277F8"/>
    <w:multiLevelType w:val="multilevel"/>
    <w:tmpl w:val="7A5C810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0" w15:restartNumberingAfterBreak="0">
    <w:nsid w:val="194057B7"/>
    <w:multiLevelType w:val="multilevel"/>
    <w:tmpl w:val="7A1E735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1" w15:restartNumberingAfterBreak="0">
    <w:nsid w:val="19906E2F"/>
    <w:multiLevelType w:val="multilevel"/>
    <w:tmpl w:val="82EC01C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2" w15:restartNumberingAfterBreak="0">
    <w:nsid w:val="1CEA652A"/>
    <w:multiLevelType w:val="hybridMultilevel"/>
    <w:tmpl w:val="6576B7EE"/>
    <w:lvl w:ilvl="0" w:tplc="C29690EC">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D394548"/>
    <w:multiLevelType w:val="hybridMultilevel"/>
    <w:tmpl w:val="65EEEBE6"/>
    <w:lvl w:ilvl="0" w:tplc="5BBEE664">
      <w:start w:val="1"/>
      <w:numFmt w:val="decimal"/>
      <w:pStyle w:val="T0-TipBoxNumberedList"/>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1F9F42A2"/>
    <w:multiLevelType w:val="multilevel"/>
    <w:tmpl w:val="0E7AA9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2A4D0185"/>
    <w:multiLevelType w:val="multilevel"/>
    <w:tmpl w:val="FF2CE82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6" w15:restartNumberingAfterBreak="0">
    <w:nsid w:val="2A6A6CBF"/>
    <w:multiLevelType w:val="hybridMultilevel"/>
    <w:tmpl w:val="7F86AF92"/>
    <w:lvl w:ilvl="0" w:tplc="A2EE0D84">
      <w:start w:val="1"/>
      <w:numFmt w:val="lowerLetter"/>
      <w:pStyle w:val="L3-Alphabet"/>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7" w15:restartNumberingAfterBreak="0">
    <w:nsid w:val="2AE83F2D"/>
    <w:multiLevelType w:val="hybridMultilevel"/>
    <w:tmpl w:val="A176991C"/>
    <w:lvl w:ilvl="0" w:tplc="292A8B88">
      <w:start w:val="1"/>
      <w:numFmt w:val="decimal"/>
      <w:pStyle w:val="L2-Numbered"/>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664675"/>
    <w:multiLevelType w:val="multilevel"/>
    <w:tmpl w:val="53E87C9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9" w15:restartNumberingAfterBreak="0">
    <w:nsid w:val="2F405BBE"/>
    <w:multiLevelType w:val="hybridMultilevel"/>
    <w:tmpl w:val="2DB252B8"/>
    <w:lvl w:ilvl="0" w:tplc="BA249730">
      <w:start w:val="1"/>
      <w:numFmt w:val="bullet"/>
      <w:pStyle w:val="L1-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34F1B17"/>
    <w:multiLevelType w:val="multilevel"/>
    <w:tmpl w:val="AAB0CF6A"/>
    <w:lvl w:ilvl="0">
      <w:start w:val="1"/>
      <w:numFmt w:val="lowerLetter"/>
      <w:pStyle w:val="L2-Alphabet"/>
      <w:lvlText w:val="%1."/>
      <w:lvlJc w:val="left"/>
      <w:pPr>
        <w:ind w:left="1437" w:hanging="360"/>
      </w:pPr>
      <w:rPr>
        <w:rFonts w:hint="default"/>
      </w:rPr>
    </w:lvl>
    <w:lvl w:ilvl="1">
      <w:start w:val="1"/>
      <w:numFmt w:val="lowerLetter"/>
      <w:lvlText w:val="%2."/>
      <w:lvlJc w:val="left"/>
      <w:pPr>
        <w:ind w:left="2520" w:hanging="360"/>
      </w:pPr>
      <w:rPr>
        <w:rFonts w:hint="default"/>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21" w15:restartNumberingAfterBreak="0">
    <w:nsid w:val="34640FB6"/>
    <w:multiLevelType w:val="hybridMultilevel"/>
    <w:tmpl w:val="240E9A8E"/>
    <w:lvl w:ilvl="0" w:tplc="CD50F612">
      <w:start w:val="1"/>
      <w:numFmt w:val="low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2" w15:restartNumberingAfterBreak="0">
    <w:nsid w:val="37700151"/>
    <w:multiLevelType w:val="hybridMultilevel"/>
    <w:tmpl w:val="4EF0D4D0"/>
    <w:lvl w:ilvl="0" w:tplc="0A8CE778">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B75FF6"/>
    <w:multiLevelType w:val="multilevel"/>
    <w:tmpl w:val="4284319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4" w15:restartNumberingAfterBreak="0">
    <w:nsid w:val="49C96B45"/>
    <w:multiLevelType w:val="hybridMultilevel"/>
    <w:tmpl w:val="2D7EBAD6"/>
    <w:lvl w:ilvl="0" w:tplc="5B14A108">
      <w:start w:val="1"/>
      <w:numFmt w:val="upperLetter"/>
      <w:pStyle w:val="L1-AlphabetCapit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5" w15:restartNumberingAfterBreak="0">
    <w:nsid w:val="4C691302"/>
    <w:multiLevelType w:val="hybridMultilevel"/>
    <w:tmpl w:val="B4FA76F4"/>
    <w:lvl w:ilvl="0" w:tplc="BEC4D742">
      <w:start w:val="1"/>
      <w:numFmt w:val="upperLetter"/>
      <w:pStyle w:val="L3-AlphabetCapital"/>
      <w:lvlText w:val="%1."/>
      <w:lvlJc w:val="left"/>
      <w:pPr>
        <w:ind w:left="2070" w:hanging="360"/>
      </w:p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26" w15:restartNumberingAfterBreak="0">
    <w:nsid w:val="525011E6"/>
    <w:multiLevelType w:val="multilevel"/>
    <w:tmpl w:val="9A461AC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7" w15:restartNumberingAfterBreak="0">
    <w:nsid w:val="5617709E"/>
    <w:multiLevelType w:val="hybridMultilevel"/>
    <w:tmpl w:val="391C7074"/>
    <w:lvl w:ilvl="0" w:tplc="92D46F94">
      <w:start w:val="1"/>
      <w:numFmt w:val="decimal"/>
      <w:pStyle w:val="T0-TableNumberedList"/>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8" w15:restartNumberingAfterBreak="0">
    <w:nsid w:val="5C295B8B"/>
    <w:multiLevelType w:val="hybridMultilevel"/>
    <w:tmpl w:val="4B8CD00E"/>
    <w:lvl w:ilvl="0" w:tplc="2D9C3176">
      <w:start w:val="1"/>
      <w:numFmt w:val="upperLetter"/>
      <w:pStyle w:val="L2-AlphabetCapital"/>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29" w15:restartNumberingAfterBreak="0">
    <w:nsid w:val="754C4748"/>
    <w:multiLevelType w:val="hybridMultilevel"/>
    <w:tmpl w:val="83B40090"/>
    <w:lvl w:ilvl="0" w:tplc="ECE80426">
      <w:start w:val="1"/>
      <w:numFmt w:val="decimal"/>
      <w:pStyle w:val="I0-InfoBoxNumberedList"/>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7F326F8F"/>
    <w:multiLevelType w:val="multilevel"/>
    <w:tmpl w:val="2150576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2067297984">
    <w:abstractNumId w:val="14"/>
  </w:num>
  <w:num w:numId="2" w16cid:durableId="536547684">
    <w:abstractNumId w:val="8"/>
  </w:num>
  <w:num w:numId="3" w16cid:durableId="1540967317">
    <w:abstractNumId w:val="11"/>
  </w:num>
  <w:num w:numId="4" w16cid:durableId="515461405">
    <w:abstractNumId w:val="10"/>
  </w:num>
  <w:num w:numId="5" w16cid:durableId="1022634877">
    <w:abstractNumId w:val="1"/>
  </w:num>
  <w:num w:numId="6" w16cid:durableId="1428161067">
    <w:abstractNumId w:val="3"/>
  </w:num>
  <w:num w:numId="7" w16cid:durableId="1990132251">
    <w:abstractNumId w:val="5"/>
  </w:num>
  <w:num w:numId="8" w16cid:durableId="282540781">
    <w:abstractNumId w:val="26"/>
  </w:num>
  <w:num w:numId="9" w16cid:durableId="481699370">
    <w:abstractNumId w:val="30"/>
  </w:num>
  <w:num w:numId="10" w16cid:durableId="1420562905">
    <w:abstractNumId w:val="18"/>
  </w:num>
  <w:num w:numId="11" w16cid:durableId="593514047">
    <w:abstractNumId w:val="23"/>
  </w:num>
  <w:num w:numId="12" w16cid:durableId="852300609">
    <w:abstractNumId w:val="9"/>
  </w:num>
  <w:num w:numId="13" w16cid:durableId="17776846">
    <w:abstractNumId w:val="4"/>
  </w:num>
  <w:num w:numId="14" w16cid:durableId="2972780">
    <w:abstractNumId w:val="15"/>
  </w:num>
  <w:num w:numId="15" w16cid:durableId="512497296">
    <w:abstractNumId w:val="29"/>
  </w:num>
  <w:num w:numId="16" w16cid:durableId="1730574350">
    <w:abstractNumId w:val="7"/>
  </w:num>
  <w:num w:numId="17" w16cid:durableId="264657427">
    <w:abstractNumId w:val="0"/>
  </w:num>
  <w:num w:numId="18" w16cid:durableId="1399671067">
    <w:abstractNumId w:val="12"/>
  </w:num>
  <w:num w:numId="19" w16cid:durableId="1604025277">
    <w:abstractNumId w:val="20"/>
  </w:num>
  <w:num w:numId="20" w16cid:durableId="1253124087">
    <w:abstractNumId w:val="17"/>
  </w:num>
  <w:num w:numId="21" w16cid:durableId="1655912333">
    <w:abstractNumId w:val="22"/>
  </w:num>
  <w:num w:numId="22" w16cid:durableId="722173098">
    <w:abstractNumId w:val="16"/>
  </w:num>
  <w:num w:numId="23" w16cid:durableId="1279526178">
    <w:abstractNumId w:val="6"/>
  </w:num>
  <w:num w:numId="24" w16cid:durableId="696858381">
    <w:abstractNumId w:val="21"/>
  </w:num>
  <w:num w:numId="25" w16cid:durableId="984697512">
    <w:abstractNumId w:val="2"/>
  </w:num>
  <w:num w:numId="26" w16cid:durableId="1314287334">
    <w:abstractNumId w:val="13"/>
  </w:num>
  <w:num w:numId="27" w16cid:durableId="529880452">
    <w:abstractNumId w:val="19"/>
  </w:num>
  <w:num w:numId="28" w16cid:durableId="957100090">
    <w:abstractNumId w:val="27"/>
  </w:num>
  <w:num w:numId="29" w16cid:durableId="500195562">
    <w:abstractNumId w:val="24"/>
  </w:num>
  <w:num w:numId="30" w16cid:durableId="427190788">
    <w:abstractNumId w:val="28"/>
  </w:num>
  <w:num w:numId="31" w16cid:durableId="143867206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attachedTemplate r:id="rId1"/>
  <w:linkStyl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5D22"/>
    <w:rsid w:val="00875D22"/>
    <w:rsid w:val="00E3012D"/>
    <w:rsid w:val="00E957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C060D"/>
  <w15:docId w15:val="{E4B9C550-81E9-427B-A6BC-5F1453484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12D"/>
    <w:pPr>
      <w:spacing w:after="160" w:line="278" w:lineRule="auto"/>
    </w:pPr>
    <w:rPr>
      <w:rFonts w:asciiTheme="minorHAnsi" w:eastAsiaTheme="minorHAnsi" w:hAnsiTheme="minorHAnsi" w:cstheme="minorBidi"/>
      <w:kern w:val="2"/>
      <w:lang w:val="en-US"/>
      <w14:ligatures w14:val="standardContextual"/>
    </w:rPr>
  </w:style>
  <w:style w:type="paragraph" w:styleId="Heading1">
    <w:name w:val="heading 1"/>
    <w:basedOn w:val="Normal"/>
    <w:next w:val="Normal"/>
    <w:link w:val="Heading1Char"/>
    <w:uiPriority w:val="9"/>
    <w:qFormat/>
    <w:rsid w:val="00E3012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qFormat/>
    <w:rsid w:val="00E3012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qFormat/>
    <w:rsid w:val="00E3012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qFormat/>
    <w:rsid w:val="00E3012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qFormat/>
    <w:rsid w:val="00E3012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qFormat/>
    <w:rsid w:val="00E301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qFormat/>
    <w:rsid w:val="00E301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qFormat/>
    <w:rsid w:val="00E301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qFormat/>
    <w:rsid w:val="00E301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3012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3012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E3012D"/>
    <w:pPr>
      <w:spacing w:after="80" w:line="240" w:lineRule="auto"/>
      <w:contextualSpacing/>
    </w:pPr>
    <w:rPr>
      <w:rFonts w:asciiTheme="majorHAnsi" w:eastAsiaTheme="majorEastAsia" w:hAnsiTheme="majorHAnsi" w:cstheme="majorBidi"/>
      <w:spacing w:val="-10"/>
      <w:kern w:val="28"/>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0">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1">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2">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3">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4">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5">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paragraph" w:styleId="Subtitle">
    <w:name w:val="Subtitle"/>
    <w:basedOn w:val="Normal"/>
    <w:next w:val="Normal"/>
    <w:link w:val="SubtitleChar"/>
    <w:uiPriority w:val="11"/>
    <w:qFormat/>
    <w:rsid w:val="00E3012D"/>
    <w:pPr>
      <w:numPr>
        <w:ilvl w:val="1"/>
      </w:numPr>
    </w:pPr>
    <w:rPr>
      <w:rFonts w:eastAsiaTheme="majorEastAsia" w:cstheme="majorBidi"/>
      <w:color w:val="595959" w:themeColor="text1" w:themeTint="A6"/>
      <w:spacing w:val="15"/>
      <w:sz w:val="28"/>
      <w:szCs w:val="28"/>
    </w:rPr>
  </w:style>
  <w:style w:type="table" w:customStyle="1" w:styleId="a6">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7">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8">
    <w:basedOn w:val="TableNormal1"/>
    <w:tblPr>
      <w:tblStyleRowBandSize w:val="1"/>
      <w:tblStyleColBandSize w:val="1"/>
      <w:tblCellMar>
        <w:top w:w="0" w:type="dxa"/>
        <w:left w:w="115" w:type="dxa"/>
        <w:bottom w:w="0" w:type="dxa"/>
        <w:right w:w="115" w:type="dxa"/>
      </w:tblCellMar>
    </w:tblPr>
  </w:style>
  <w:style w:type="table" w:customStyle="1" w:styleId="a9">
    <w:basedOn w:val="TableNormal1"/>
    <w:tblPr>
      <w:tblStyleRowBandSize w:val="1"/>
      <w:tblStyleColBandSize w:val="1"/>
      <w:tblCellMar>
        <w:top w:w="0" w:type="dxa"/>
        <w:left w:w="115" w:type="dxa"/>
        <w:bottom w:w="0" w:type="dxa"/>
        <w:right w:w="115" w:type="dxa"/>
      </w:tblCellMar>
    </w:tblPr>
  </w:style>
  <w:style w:type="table" w:customStyle="1" w:styleId="aa">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b">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c">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d">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e">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character" w:customStyle="1" w:styleId="Heading7Char">
    <w:name w:val="Heading 7 Char"/>
    <w:basedOn w:val="DefaultParagraphFont"/>
    <w:link w:val="Heading7"/>
    <w:uiPriority w:val="9"/>
    <w:rsid w:val="00E3012D"/>
    <w:rPr>
      <w:rFonts w:asciiTheme="minorHAnsi" w:eastAsiaTheme="majorEastAsia" w:hAnsiTheme="minorHAnsi" w:cstheme="majorBidi"/>
      <w:color w:val="595959" w:themeColor="text1" w:themeTint="A6"/>
      <w:kern w:val="2"/>
      <w:lang w:val="en-US"/>
      <w14:ligatures w14:val="standardContextual"/>
    </w:rPr>
  </w:style>
  <w:style w:type="character" w:customStyle="1" w:styleId="Heading8Char">
    <w:name w:val="Heading 8 Char"/>
    <w:basedOn w:val="DefaultParagraphFont"/>
    <w:link w:val="Heading8"/>
    <w:uiPriority w:val="9"/>
    <w:rsid w:val="00E3012D"/>
    <w:rPr>
      <w:rFonts w:asciiTheme="minorHAnsi" w:eastAsiaTheme="majorEastAsia" w:hAnsiTheme="minorHAnsi" w:cstheme="majorBidi"/>
      <w:i/>
      <w:iCs/>
      <w:color w:val="272727" w:themeColor="text1" w:themeTint="D8"/>
      <w:kern w:val="2"/>
      <w:lang w:val="en-US"/>
      <w14:ligatures w14:val="standardContextual"/>
    </w:rPr>
  </w:style>
  <w:style w:type="character" w:customStyle="1" w:styleId="Heading9Char">
    <w:name w:val="Heading 9 Char"/>
    <w:basedOn w:val="DefaultParagraphFont"/>
    <w:link w:val="Heading9"/>
    <w:uiPriority w:val="9"/>
    <w:rsid w:val="00E3012D"/>
    <w:rPr>
      <w:rFonts w:asciiTheme="minorHAnsi" w:eastAsiaTheme="majorEastAsia" w:hAnsiTheme="minorHAnsi" w:cstheme="majorBidi"/>
      <w:color w:val="272727" w:themeColor="text1" w:themeTint="D8"/>
      <w:kern w:val="2"/>
      <w:lang w:val="en-US"/>
      <w14:ligatures w14:val="standardContextual"/>
    </w:rPr>
  </w:style>
  <w:style w:type="paragraph" w:customStyle="1" w:styleId="BM-BookCover">
    <w:name w:val="BM - BookCover"/>
    <w:basedOn w:val="Normal"/>
    <w:rsid w:val="00E3012D"/>
    <w:pPr>
      <w:spacing w:before="120" w:after="120" w:line="259" w:lineRule="auto"/>
    </w:pPr>
    <w:rPr>
      <w:rFonts w:ascii="Calibri" w:eastAsia="Times New Roman" w:hAnsi="Calibri" w:cs="Times New Roman"/>
      <w:kern w:val="0"/>
      <w:sz w:val="22"/>
      <w14:ligatures w14:val="none"/>
    </w:rPr>
  </w:style>
  <w:style w:type="paragraph" w:customStyle="1" w:styleId="BM-PacktPageLogo">
    <w:name w:val="BM - PacktPageLogo"/>
    <w:basedOn w:val="Normal"/>
    <w:rsid w:val="00E3012D"/>
    <w:pPr>
      <w:spacing w:before="120" w:after="120" w:line="259" w:lineRule="auto"/>
    </w:pPr>
    <w:rPr>
      <w:rFonts w:ascii="Calibri" w:eastAsia="Times New Roman" w:hAnsi="Calibri" w:cs="Times New Roman"/>
      <w:kern w:val="0"/>
      <w:sz w:val="22"/>
      <w14:ligatures w14:val="none"/>
    </w:rPr>
  </w:style>
  <w:style w:type="paragraph" w:customStyle="1" w:styleId="P0-Paragraph">
    <w:name w:val="P0 - Paragraph"/>
    <w:link w:val="P0-ParagraphChar"/>
    <w:rsid w:val="00E3012D"/>
    <w:pPr>
      <w:spacing w:after="120" w:line="276" w:lineRule="auto"/>
      <w:jc w:val="both"/>
    </w:pPr>
    <w:rPr>
      <w:rFonts w:ascii="Crimson Pro" w:eastAsia="Times New Roman" w:hAnsi="Crimson Pro" w:cs="Times New Roman"/>
      <w:sz w:val="21"/>
      <w:lang w:val="en-US"/>
    </w:rPr>
  </w:style>
  <w:style w:type="paragraph" w:customStyle="1" w:styleId="C-Comment">
    <w:name w:val="C - Comment"/>
    <w:basedOn w:val="P0-Paragraph"/>
    <w:next w:val="P0-Paragraph"/>
    <w:rsid w:val="00E3012D"/>
    <w:pPr>
      <w:spacing w:line="360" w:lineRule="auto"/>
    </w:pPr>
    <w:rPr>
      <w:rFonts w:ascii="Arial" w:hAnsi="Arial"/>
      <w:b/>
      <w:color w:val="FF0000"/>
      <w:sz w:val="28"/>
      <w:szCs w:val="28"/>
    </w:rPr>
  </w:style>
  <w:style w:type="paragraph" w:customStyle="1" w:styleId="C-Citation">
    <w:name w:val="C - Citation"/>
    <w:basedOn w:val="C-Comment"/>
    <w:qFormat/>
    <w:rsid w:val="00E3012D"/>
    <w:rPr>
      <w:color w:val="FFFF00"/>
      <w:sz w:val="20"/>
    </w:rPr>
  </w:style>
  <w:style w:type="paragraph" w:customStyle="1" w:styleId="C0-CodeBlock">
    <w:name w:val="C0 - CodeBlock"/>
    <w:basedOn w:val="Normal"/>
    <w:rsid w:val="00E3012D"/>
    <w:pPr>
      <w:pBdr>
        <w:top w:val="single" w:sz="4" w:space="4" w:color="FFFFFF" w:themeColor="background1"/>
        <w:left w:val="single" w:sz="4" w:space="14" w:color="FFFFFF" w:themeColor="background1"/>
        <w:bottom w:val="single" w:sz="4" w:space="4" w:color="FFFFFF" w:themeColor="background1"/>
        <w:right w:val="single" w:sz="4" w:space="14" w:color="FFFFFF" w:themeColor="background1"/>
      </w:pBdr>
      <w:shd w:val="clear" w:color="auto" w:fill="FAFAFA"/>
      <w:spacing w:after="180" w:line="276" w:lineRule="auto"/>
      <w:ind w:left="274" w:right="274"/>
      <w:contextualSpacing/>
    </w:pPr>
    <w:rPr>
      <w:rFonts w:ascii="Consolas" w:eastAsia="Times New Roman" w:hAnsi="Consolas" w:cs="Times New Roman"/>
      <w:color w:val="383A42"/>
      <w:kern w:val="0"/>
      <w:sz w:val="18"/>
      <w:szCs w:val="18"/>
      <w:lang w:eastAsia="ar-SA"/>
      <w14:ligatures w14:val="none"/>
    </w:rPr>
  </w:style>
  <w:style w:type="paragraph" w:customStyle="1" w:styleId="C0-ConsoleBlock">
    <w:name w:val="C0 - ConsoleBlock"/>
    <w:basedOn w:val="C0-CodeBlock"/>
    <w:rsid w:val="00E3012D"/>
    <w:pPr>
      <w:pBdr>
        <w:top w:val="single" w:sz="4" w:space="4" w:color="282A36"/>
        <w:left w:val="single" w:sz="4" w:space="14" w:color="282A36"/>
        <w:bottom w:val="single" w:sz="4" w:space="4" w:color="282A36"/>
        <w:right w:val="single" w:sz="4" w:space="14" w:color="282A36"/>
      </w:pBdr>
      <w:shd w:val="clear" w:color="auto" w:fill="282A36"/>
    </w:pPr>
    <w:rPr>
      <w:color w:val="F8F8F2"/>
      <w:lang w:val="en-IN"/>
    </w:rPr>
  </w:style>
  <w:style w:type="paragraph" w:customStyle="1" w:styleId="C1-CodeBlock">
    <w:name w:val="C1 - CodeBlock"/>
    <w:basedOn w:val="C0-CodeBlock"/>
    <w:rsid w:val="00E3012D"/>
    <w:pPr>
      <w:ind w:left="907"/>
    </w:pPr>
  </w:style>
  <w:style w:type="paragraph" w:customStyle="1" w:styleId="C1-ConsoleBlock">
    <w:name w:val="C1 - ConsoleBlock"/>
    <w:basedOn w:val="C1-CodeBlock"/>
    <w:rsid w:val="00E3012D"/>
    <w:pPr>
      <w:pBdr>
        <w:top w:val="single" w:sz="4" w:space="4" w:color="282A36"/>
        <w:left w:val="single" w:sz="4" w:space="14" w:color="282A36"/>
        <w:bottom w:val="single" w:sz="4" w:space="4" w:color="282A36"/>
        <w:right w:val="single" w:sz="4" w:space="14" w:color="282A36"/>
      </w:pBdr>
      <w:shd w:val="clear" w:color="auto" w:fill="282A36"/>
    </w:pPr>
    <w:rPr>
      <w:color w:val="F8F8F2"/>
    </w:rPr>
  </w:style>
  <w:style w:type="paragraph" w:customStyle="1" w:styleId="C2-CodeBlock">
    <w:name w:val="C2 - CodeBlock"/>
    <w:basedOn w:val="C0-CodeBlock"/>
    <w:rsid w:val="00E3012D"/>
    <w:pPr>
      <w:ind w:left="1526"/>
    </w:pPr>
  </w:style>
  <w:style w:type="paragraph" w:customStyle="1" w:styleId="C2-ConsoleBlock">
    <w:name w:val="C2 - ConsoleBlock"/>
    <w:basedOn w:val="C0-ConsoleBlock"/>
    <w:rsid w:val="00E3012D"/>
    <w:pPr>
      <w:ind w:left="2074"/>
    </w:pPr>
  </w:style>
  <w:style w:type="character" w:customStyle="1" w:styleId="CS-BoldItalic">
    <w:name w:val="CS - BoldItalic"/>
    <w:basedOn w:val="DefaultParagraphFont"/>
    <w:rsid w:val="00E3012D"/>
    <w:rPr>
      <w:b/>
      <w:i/>
    </w:rPr>
  </w:style>
  <w:style w:type="character" w:customStyle="1" w:styleId="CS-HighlightedCode">
    <w:name w:val="CS - HighlightedCode"/>
    <w:qFormat/>
    <w:rsid w:val="00E3012D"/>
    <w:rPr>
      <w:rFonts w:ascii="Consolas" w:hAnsi="Consolas"/>
      <w:b/>
      <w:color w:val="747959"/>
      <w:sz w:val="19"/>
      <w:szCs w:val="18"/>
    </w:rPr>
  </w:style>
  <w:style w:type="character" w:customStyle="1" w:styleId="CS-InlineCode">
    <w:name w:val="CS - InlineCode"/>
    <w:rsid w:val="00E3012D"/>
    <w:rPr>
      <w:rFonts w:ascii="Consolas" w:hAnsi="Consolas"/>
      <w:color w:val="747959"/>
      <w:sz w:val="19"/>
      <w:szCs w:val="18"/>
    </w:rPr>
  </w:style>
  <w:style w:type="character" w:customStyle="1" w:styleId="CS-Italic">
    <w:name w:val="CS - Italic"/>
    <w:rsid w:val="00E3012D"/>
    <w:rPr>
      <w:i/>
      <w:color w:val="FF99CC"/>
    </w:rPr>
  </w:style>
  <w:style w:type="character" w:customStyle="1" w:styleId="CS-Keyword">
    <w:name w:val="CS - Keyword"/>
    <w:rsid w:val="00E3012D"/>
    <w:rPr>
      <w:b/>
    </w:rPr>
  </w:style>
  <w:style w:type="character" w:customStyle="1" w:styleId="CS-Screentext">
    <w:name w:val="CS - Screentext"/>
    <w:rsid w:val="00E3012D"/>
    <w:rPr>
      <w:b/>
      <w:color w:val="008000"/>
    </w:rPr>
  </w:style>
  <w:style w:type="character" w:customStyle="1" w:styleId="CS-Subscript">
    <w:name w:val="CS - Subscript"/>
    <w:basedOn w:val="DefaultParagraphFont"/>
    <w:rsid w:val="00E3012D"/>
    <w:rPr>
      <w:i w:val="0"/>
      <w:vertAlign w:val="subscript"/>
    </w:rPr>
  </w:style>
  <w:style w:type="character" w:customStyle="1" w:styleId="CS-SubscriptBold">
    <w:name w:val="CS - SubscriptBold"/>
    <w:basedOn w:val="DefaultParagraphFont"/>
    <w:rsid w:val="00E3012D"/>
    <w:rPr>
      <w:b/>
      <w:vertAlign w:val="subscript"/>
    </w:rPr>
  </w:style>
  <w:style w:type="character" w:customStyle="1" w:styleId="CS-SubscriptBoldItalic">
    <w:name w:val="CS - SubscriptBoldItalic"/>
    <w:basedOn w:val="DefaultParagraphFont"/>
    <w:rsid w:val="00E3012D"/>
    <w:rPr>
      <w:b/>
      <w:i/>
      <w:vertAlign w:val="subscript"/>
    </w:rPr>
  </w:style>
  <w:style w:type="character" w:customStyle="1" w:styleId="CS-SubscriptItalic">
    <w:name w:val="CS - SubscriptItalic"/>
    <w:basedOn w:val="DefaultParagraphFont"/>
    <w:rsid w:val="00E3012D"/>
    <w:rPr>
      <w:i/>
      <w:vertAlign w:val="subscript"/>
    </w:rPr>
  </w:style>
  <w:style w:type="character" w:customStyle="1" w:styleId="CS-Superscript">
    <w:name w:val="CS - Superscript"/>
    <w:basedOn w:val="DefaultParagraphFont"/>
    <w:rsid w:val="00E3012D"/>
    <w:rPr>
      <w:vertAlign w:val="superscript"/>
    </w:rPr>
  </w:style>
  <w:style w:type="character" w:customStyle="1" w:styleId="CS-SuperscriptBold">
    <w:name w:val="CS - SuperscriptBold"/>
    <w:basedOn w:val="DefaultParagraphFont"/>
    <w:rsid w:val="00E3012D"/>
    <w:rPr>
      <w:b/>
      <w:vertAlign w:val="superscript"/>
    </w:rPr>
  </w:style>
  <w:style w:type="character" w:customStyle="1" w:styleId="CS-SuperscriptBoldItalic">
    <w:name w:val="CS - SuperscriptBoldItalic"/>
    <w:basedOn w:val="DefaultParagraphFont"/>
    <w:rsid w:val="00E3012D"/>
    <w:rPr>
      <w:b/>
      <w:i/>
      <w:vertAlign w:val="superscript"/>
    </w:rPr>
  </w:style>
  <w:style w:type="character" w:customStyle="1" w:styleId="CS-SuperscriptItalic">
    <w:name w:val="CS - SuperscriptItalic"/>
    <w:basedOn w:val="DefaultParagraphFont"/>
    <w:rsid w:val="00E3012D"/>
    <w:rPr>
      <w:i/>
      <w:vertAlign w:val="superscript"/>
    </w:rPr>
  </w:style>
  <w:style w:type="character" w:customStyle="1" w:styleId="CS-URL">
    <w:name w:val="CS - URL"/>
    <w:rsid w:val="00E3012D"/>
    <w:rPr>
      <w:rFonts w:ascii="Consolas" w:hAnsi="Consolas"/>
      <w:color w:val="0000FF"/>
      <w:sz w:val="19"/>
      <w:szCs w:val="18"/>
    </w:rPr>
  </w:style>
  <w:style w:type="paragraph" w:customStyle="1" w:styleId="F0-Figure">
    <w:name w:val="F0 - Figure"/>
    <w:basedOn w:val="P0-Paragraph"/>
    <w:next w:val="Normal"/>
    <w:rsid w:val="00E3012D"/>
    <w:pPr>
      <w:spacing w:after="126"/>
      <w:contextualSpacing/>
      <w:jc w:val="center"/>
    </w:pPr>
    <w:rPr>
      <w:rFonts w:ascii="Source Sans 3" w:hAnsi="Source Sans 3" w:cs="Tahoma"/>
      <w:i/>
      <w:sz w:val="18"/>
      <w:szCs w:val="16"/>
      <w:lang w:val="en-GB"/>
    </w:rPr>
  </w:style>
  <w:style w:type="paragraph" w:customStyle="1" w:styleId="F0-FigureCaption">
    <w:name w:val="F0 - FigureCaption"/>
    <w:basedOn w:val="F0-Figure"/>
    <w:qFormat/>
    <w:rsid w:val="00E3012D"/>
    <w:pPr>
      <w:ind w:left="630" w:right="630"/>
    </w:pPr>
  </w:style>
  <w:style w:type="paragraph" w:customStyle="1" w:styleId="F1-Figure">
    <w:name w:val="F1 - Figure"/>
    <w:basedOn w:val="F0-Figure"/>
    <w:next w:val="F0-FigureCaption"/>
    <w:qFormat/>
    <w:rsid w:val="00E3012D"/>
    <w:pPr>
      <w:ind w:left="630"/>
    </w:pPr>
  </w:style>
  <w:style w:type="paragraph" w:customStyle="1" w:styleId="F1-FigureCaption">
    <w:name w:val="F1 - FigureCaption"/>
    <w:basedOn w:val="F0-FigureCaption"/>
    <w:rsid w:val="00E3012D"/>
    <w:pPr>
      <w:ind w:left="1260"/>
    </w:pPr>
  </w:style>
  <w:style w:type="paragraph" w:customStyle="1" w:styleId="F2-Figure">
    <w:name w:val="F2 - Figure"/>
    <w:basedOn w:val="F0-Figure"/>
    <w:rsid w:val="00E3012D"/>
    <w:pPr>
      <w:ind w:left="1260"/>
    </w:pPr>
  </w:style>
  <w:style w:type="paragraph" w:customStyle="1" w:styleId="F2-FigureCaption">
    <w:name w:val="F2 - FigureCaption"/>
    <w:basedOn w:val="F0-FigureCaption"/>
    <w:rsid w:val="00E3012D"/>
    <w:pPr>
      <w:ind w:left="1890"/>
    </w:pPr>
  </w:style>
  <w:style w:type="paragraph" w:customStyle="1" w:styleId="FM-Acknowledgement">
    <w:name w:val="FM - Acknowledgement"/>
    <w:basedOn w:val="Normal"/>
    <w:rsid w:val="00E3012D"/>
    <w:pPr>
      <w:spacing w:after="240" w:line="240" w:lineRule="auto"/>
    </w:pPr>
    <w:rPr>
      <w:rFonts w:ascii="Calibri" w:eastAsia="Times New Roman" w:hAnsi="Calibri" w:cs="Times New Roman"/>
      <w:i/>
      <w:kern w:val="0"/>
      <w:sz w:val="22"/>
      <w14:ligatures w14:val="none"/>
    </w:rPr>
  </w:style>
  <w:style w:type="paragraph" w:customStyle="1" w:styleId="FM-BookTitle">
    <w:name w:val="FM - BookTitle"/>
    <w:basedOn w:val="Normal"/>
    <w:rsid w:val="00E3012D"/>
    <w:pPr>
      <w:keepNext/>
      <w:spacing w:before="240" w:after="60" w:line="240" w:lineRule="auto"/>
    </w:pPr>
    <w:rPr>
      <w:rFonts w:ascii="Calibri" w:eastAsia="Times New Roman" w:hAnsi="Calibri" w:cs="Times New Roman"/>
      <w:kern w:val="0"/>
      <w:sz w:val="56"/>
      <w14:ligatures w14:val="none"/>
    </w:rPr>
  </w:style>
  <w:style w:type="paragraph" w:customStyle="1" w:styleId="FM-AuthorName">
    <w:name w:val="FM - AuthorName"/>
    <w:basedOn w:val="FM-BookTitle"/>
    <w:rsid w:val="00E3012D"/>
    <w:rPr>
      <w:b/>
      <w:sz w:val="28"/>
    </w:rPr>
  </w:style>
  <w:style w:type="character" w:customStyle="1" w:styleId="FM-AuthorNameinBio">
    <w:name w:val="FM - AuthorNameinBio"/>
    <w:uiPriority w:val="1"/>
    <w:rsid w:val="00E3012D"/>
    <w:rPr>
      <w:b/>
      <w:color w:val="FF0000"/>
      <w:sz w:val="24"/>
    </w:rPr>
  </w:style>
  <w:style w:type="paragraph" w:customStyle="1" w:styleId="FM-BookEdition">
    <w:name w:val="FM - BookEdition"/>
    <w:basedOn w:val="FM-BookTitle"/>
    <w:rsid w:val="00E3012D"/>
    <w:rPr>
      <w:sz w:val="28"/>
    </w:rPr>
  </w:style>
  <w:style w:type="paragraph" w:customStyle="1" w:styleId="FM-CopyrightPageBookEdition">
    <w:name w:val="FM - CopyrightPageBookEdition"/>
    <w:basedOn w:val="FM-BookTitle"/>
    <w:rsid w:val="00E3012D"/>
    <w:pPr>
      <w:spacing w:before="0"/>
    </w:pPr>
    <w:rPr>
      <w:sz w:val="26"/>
    </w:rPr>
  </w:style>
  <w:style w:type="paragraph" w:customStyle="1" w:styleId="FM-CopyrightPageBookTitle">
    <w:name w:val="FM - CopyrightPageBookTitle"/>
    <w:basedOn w:val="FM-BookTitle"/>
    <w:rsid w:val="00E3012D"/>
    <w:rPr>
      <w:sz w:val="32"/>
    </w:rPr>
  </w:style>
  <w:style w:type="paragraph" w:customStyle="1" w:styleId="FM-CopyrightPageText">
    <w:name w:val="FM - CopyrightPageText"/>
    <w:basedOn w:val="Normal"/>
    <w:rsid w:val="00E3012D"/>
    <w:pPr>
      <w:spacing w:after="40" w:line="240" w:lineRule="auto"/>
    </w:pPr>
    <w:rPr>
      <w:rFonts w:ascii="Calibri" w:eastAsia="Times New Roman" w:hAnsi="Calibri" w:cs="Times New Roman"/>
      <w:kern w:val="0"/>
      <w:sz w:val="20"/>
      <w14:ligatures w14:val="none"/>
    </w:rPr>
  </w:style>
  <w:style w:type="paragraph" w:customStyle="1" w:styleId="FM-CopyrightText">
    <w:name w:val="FM - CopyrightText"/>
    <w:basedOn w:val="FM-CopyrightPageText"/>
    <w:rsid w:val="00E3012D"/>
    <w:pPr>
      <w:spacing w:after="80"/>
    </w:pPr>
  </w:style>
  <w:style w:type="paragraph" w:customStyle="1" w:styleId="FM-Subtitle">
    <w:name w:val="FM - Subtitle"/>
    <w:basedOn w:val="FM-BookTitle"/>
    <w:rsid w:val="00E3012D"/>
    <w:rPr>
      <w:sz w:val="32"/>
    </w:rPr>
  </w:style>
  <w:style w:type="paragraph" w:customStyle="1" w:styleId="FM-TitlePageLogo">
    <w:name w:val="FM - TitlePageLogo"/>
    <w:basedOn w:val="FM-BookTitle"/>
    <w:rsid w:val="00E3012D"/>
    <w:rPr>
      <w:noProof/>
      <w:sz w:val="22"/>
    </w:rPr>
  </w:style>
  <w:style w:type="paragraph" w:customStyle="1" w:styleId="FM-TitlePageLogoFooter">
    <w:name w:val="FM - TitlePageLogoFooter"/>
    <w:basedOn w:val="FM-BookTitle"/>
    <w:rsid w:val="00E3012D"/>
    <w:rPr>
      <w:sz w:val="22"/>
    </w:rPr>
  </w:style>
  <w:style w:type="paragraph" w:customStyle="1" w:styleId="hljs">
    <w:name w:val="hljs"/>
    <w:basedOn w:val="Normal"/>
    <w:uiPriority w:val="1"/>
    <w:unhideWhenUsed/>
    <w:rsid w:val="00E3012D"/>
    <w:pPr>
      <w:pBdr>
        <w:top w:val="single" w:sz="4" w:space="4" w:color="FFFFFF" w:themeColor="background1"/>
        <w:left w:val="single" w:sz="4" w:space="14" w:color="FFFFFF" w:themeColor="background1"/>
        <w:bottom w:val="single" w:sz="4" w:space="4" w:color="FFFFFF" w:themeColor="background1"/>
        <w:right w:val="single" w:sz="4" w:space="14" w:color="FFFFFF" w:themeColor="background1"/>
      </w:pBdr>
      <w:shd w:val="clear" w:color="auto" w:fill="FAFAFA"/>
      <w:spacing w:before="100" w:beforeAutospacing="1" w:after="100" w:afterAutospacing="1"/>
      <w:ind w:left="270" w:right="270"/>
      <w:contextualSpacing/>
    </w:pPr>
    <w:rPr>
      <w:rFonts w:ascii="Times New Roman" w:eastAsiaTheme="minorEastAsia" w:hAnsi="Times New Roman" w:cs="Times New Roman"/>
      <w:color w:val="383A42"/>
      <w:kern w:val="0"/>
      <w:sz w:val="19"/>
      <w:szCs w:val="18"/>
      <w:lang w:eastAsia="ar-SA"/>
      <w14:ligatures w14:val="none"/>
    </w:rPr>
  </w:style>
  <w:style w:type="character" w:customStyle="1" w:styleId="hljs-addition">
    <w:name w:val="hljs-addition"/>
    <w:basedOn w:val="DefaultParagraphFont"/>
    <w:uiPriority w:val="1"/>
    <w:unhideWhenUsed/>
    <w:rsid w:val="00E3012D"/>
    <w:rPr>
      <w:color w:val="50A14F"/>
    </w:rPr>
  </w:style>
  <w:style w:type="character" w:customStyle="1" w:styleId="hljs-addition-slc">
    <w:name w:val="hljs-addition-slc"/>
    <w:basedOn w:val="hljs-addition"/>
    <w:uiPriority w:val="1"/>
    <w:unhideWhenUsed/>
    <w:rsid w:val="00E3012D"/>
    <w:rPr>
      <w:b/>
      <w:bCs/>
      <w:color w:val="50A14F"/>
      <w:sz w:val="20"/>
      <w:shd w:val="clear" w:color="auto" w:fill="D4D4D4"/>
    </w:rPr>
  </w:style>
  <w:style w:type="character" w:customStyle="1" w:styleId="hljs-attr">
    <w:name w:val="hljs-attr"/>
    <w:basedOn w:val="DefaultParagraphFont"/>
    <w:uiPriority w:val="1"/>
    <w:unhideWhenUsed/>
    <w:rsid w:val="00E3012D"/>
    <w:rPr>
      <w:color w:val="986801"/>
    </w:rPr>
  </w:style>
  <w:style w:type="character" w:customStyle="1" w:styleId="hljs-attribute">
    <w:name w:val="hljs-attribute"/>
    <w:basedOn w:val="DefaultParagraphFont"/>
    <w:uiPriority w:val="1"/>
    <w:unhideWhenUsed/>
    <w:rsid w:val="00E3012D"/>
    <w:rPr>
      <w:color w:val="50A14F"/>
    </w:rPr>
  </w:style>
  <w:style w:type="character" w:customStyle="1" w:styleId="hljs-attribute-slc">
    <w:name w:val="hljs-attribute-slc"/>
    <w:basedOn w:val="hljs-attribute"/>
    <w:uiPriority w:val="1"/>
    <w:unhideWhenUsed/>
    <w:rsid w:val="00E3012D"/>
    <w:rPr>
      <w:b/>
      <w:bCs/>
      <w:color w:val="50A14F"/>
      <w:sz w:val="20"/>
      <w:shd w:val="clear" w:color="auto" w:fill="D4D4D4"/>
    </w:rPr>
  </w:style>
  <w:style w:type="character" w:customStyle="1" w:styleId="hljs-attr-slc">
    <w:name w:val="hljs-attr-slc"/>
    <w:basedOn w:val="hljs-attr"/>
    <w:uiPriority w:val="1"/>
    <w:unhideWhenUsed/>
    <w:rsid w:val="00E3012D"/>
    <w:rPr>
      <w:b/>
      <w:bCs/>
      <w:color w:val="986801"/>
      <w:sz w:val="20"/>
      <w:shd w:val="clear" w:color="auto" w:fill="D4D4D4"/>
    </w:rPr>
  </w:style>
  <w:style w:type="character" w:customStyle="1" w:styleId="hljs-builtin">
    <w:name w:val="hljs-built_in"/>
    <w:basedOn w:val="DefaultParagraphFont"/>
    <w:unhideWhenUsed/>
    <w:rsid w:val="00E3012D"/>
    <w:rPr>
      <w:color w:val="C18401"/>
    </w:rPr>
  </w:style>
  <w:style w:type="character" w:customStyle="1" w:styleId="hljs-builtin-slc">
    <w:name w:val="hljs-built_in-slc"/>
    <w:basedOn w:val="hljs-builtin"/>
    <w:uiPriority w:val="1"/>
    <w:unhideWhenUsed/>
    <w:rsid w:val="00E3012D"/>
    <w:rPr>
      <w:b/>
      <w:bCs/>
      <w:color w:val="C18401"/>
      <w:sz w:val="20"/>
      <w:shd w:val="clear" w:color="auto" w:fill="D4D4D4"/>
    </w:rPr>
  </w:style>
  <w:style w:type="character" w:customStyle="1" w:styleId="hljs-builtin-name">
    <w:name w:val="hljs-builtin-name"/>
    <w:basedOn w:val="DefaultParagraphFont"/>
    <w:uiPriority w:val="1"/>
    <w:unhideWhenUsed/>
    <w:rsid w:val="00E3012D"/>
  </w:style>
  <w:style w:type="character" w:customStyle="1" w:styleId="hljs-builtin-name-slc">
    <w:name w:val="hljs-builtin-name-slc"/>
    <w:basedOn w:val="hljs-builtin-name"/>
    <w:uiPriority w:val="1"/>
    <w:unhideWhenUsed/>
    <w:rsid w:val="00E3012D"/>
    <w:rPr>
      <w:b/>
      <w:bCs/>
      <w:sz w:val="20"/>
      <w:shd w:val="clear" w:color="auto" w:fill="D4D4D4"/>
    </w:rPr>
  </w:style>
  <w:style w:type="character" w:customStyle="1" w:styleId="hljs-bullet">
    <w:name w:val="hljs-bullet"/>
    <w:basedOn w:val="DefaultParagraphFont"/>
    <w:uiPriority w:val="1"/>
    <w:unhideWhenUsed/>
    <w:rsid w:val="00E3012D"/>
    <w:rPr>
      <w:color w:val="4078F2"/>
    </w:rPr>
  </w:style>
  <w:style w:type="character" w:customStyle="1" w:styleId="hljs-bullet-slc">
    <w:name w:val="hljs-bullet-slc"/>
    <w:basedOn w:val="hljs-bullet"/>
    <w:uiPriority w:val="1"/>
    <w:unhideWhenUsed/>
    <w:rsid w:val="00E3012D"/>
    <w:rPr>
      <w:b/>
      <w:bCs/>
      <w:color w:val="4078F2"/>
      <w:sz w:val="20"/>
      <w:shd w:val="clear" w:color="auto" w:fill="D4D4D4"/>
    </w:rPr>
  </w:style>
  <w:style w:type="character" w:customStyle="1" w:styleId="hljs-class">
    <w:name w:val="hljs-class"/>
    <w:basedOn w:val="DefaultParagraphFont"/>
    <w:uiPriority w:val="1"/>
    <w:unhideWhenUsed/>
    <w:rsid w:val="00E3012D"/>
  </w:style>
  <w:style w:type="character" w:customStyle="1" w:styleId="hljs-class-slc">
    <w:name w:val="hljs-class-slc"/>
    <w:basedOn w:val="hljs-class"/>
    <w:uiPriority w:val="1"/>
    <w:unhideWhenUsed/>
    <w:rsid w:val="00E3012D"/>
    <w:rPr>
      <w:b/>
      <w:bCs/>
      <w:sz w:val="20"/>
      <w:shd w:val="clear" w:color="auto" w:fill="D4D4D4"/>
    </w:rPr>
  </w:style>
  <w:style w:type="character" w:customStyle="1" w:styleId="hljs-code">
    <w:name w:val="hljs-code"/>
    <w:basedOn w:val="DefaultParagraphFont"/>
    <w:uiPriority w:val="1"/>
    <w:unhideWhenUsed/>
    <w:rsid w:val="00E3012D"/>
  </w:style>
  <w:style w:type="character" w:customStyle="1" w:styleId="hljs-code-slc">
    <w:name w:val="hljs-code-slc"/>
    <w:basedOn w:val="hljs-code"/>
    <w:uiPriority w:val="1"/>
    <w:unhideWhenUsed/>
    <w:rsid w:val="00E3012D"/>
    <w:rPr>
      <w:b/>
      <w:bCs/>
      <w:sz w:val="20"/>
      <w:shd w:val="clear" w:color="auto" w:fill="D4D4D4"/>
    </w:rPr>
  </w:style>
  <w:style w:type="character" w:customStyle="1" w:styleId="hljs-comment">
    <w:name w:val="hljs-comment"/>
    <w:basedOn w:val="DefaultParagraphFont"/>
    <w:uiPriority w:val="1"/>
    <w:unhideWhenUsed/>
    <w:rsid w:val="00E3012D"/>
    <w:rPr>
      <w:i/>
      <w:iCs/>
      <w:color w:val="A0A1A7"/>
    </w:rPr>
  </w:style>
  <w:style w:type="character" w:customStyle="1" w:styleId="hljs-comment-slc">
    <w:name w:val="hljs-comment-slc"/>
    <w:basedOn w:val="hljs-comment"/>
    <w:uiPriority w:val="1"/>
    <w:unhideWhenUsed/>
    <w:rsid w:val="00E3012D"/>
    <w:rPr>
      <w:b/>
      <w:bCs/>
      <w:i/>
      <w:iCs/>
      <w:color w:val="A0A1A7"/>
      <w:sz w:val="20"/>
      <w:shd w:val="clear" w:color="auto" w:fill="D4D4D4"/>
    </w:rPr>
  </w:style>
  <w:style w:type="paragraph" w:customStyle="1" w:styleId="hljs-con">
    <w:name w:val="hljs-con"/>
    <w:basedOn w:val="Normal"/>
    <w:uiPriority w:val="1"/>
    <w:unhideWhenUsed/>
    <w:rsid w:val="00E3012D"/>
    <w:pPr>
      <w:shd w:val="clear" w:color="auto" w:fill="282A36"/>
      <w:spacing w:before="100" w:beforeAutospacing="1" w:after="100" w:afterAutospacing="1"/>
    </w:pPr>
    <w:rPr>
      <w:rFonts w:ascii="Times New Roman" w:eastAsiaTheme="minorEastAsia" w:hAnsi="Times New Roman"/>
      <w:color w:val="F8F8F2"/>
      <w:kern w:val="0"/>
      <w:lang w:val="en-IN" w:eastAsia="en-IN"/>
      <w14:ligatures w14:val="none"/>
    </w:rPr>
  </w:style>
  <w:style w:type="character" w:customStyle="1" w:styleId="hljs-con-addition">
    <w:name w:val="hljs-con-addition"/>
    <w:basedOn w:val="DefaultParagraphFont"/>
    <w:uiPriority w:val="1"/>
    <w:unhideWhenUsed/>
    <w:rsid w:val="00E3012D"/>
    <w:rPr>
      <w:color w:val="F1FA8C"/>
    </w:rPr>
  </w:style>
  <w:style w:type="character" w:customStyle="1" w:styleId="hljs-con-addition-slc">
    <w:name w:val="hljs-con-addition-slc"/>
    <w:basedOn w:val="DefaultParagraphFont"/>
    <w:uiPriority w:val="1"/>
    <w:unhideWhenUsed/>
    <w:rsid w:val="00E3012D"/>
    <w:rPr>
      <w:b/>
      <w:bCs/>
      <w:color w:val="F1FA8C"/>
      <w:shd w:val="clear" w:color="auto" w:fill="44475A"/>
    </w:rPr>
  </w:style>
  <w:style w:type="character" w:customStyle="1" w:styleId="hljs-con-attr">
    <w:name w:val="hljs-con-attr"/>
    <w:basedOn w:val="DefaultParagraphFont"/>
    <w:uiPriority w:val="1"/>
    <w:unhideWhenUsed/>
    <w:rsid w:val="00E3012D"/>
    <w:rPr>
      <w:color w:val="F1FA8C"/>
    </w:rPr>
  </w:style>
  <w:style w:type="character" w:customStyle="1" w:styleId="hljs-con-attribute">
    <w:name w:val="hljs-con-attribute"/>
    <w:basedOn w:val="DefaultParagraphFont"/>
    <w:uiPriority w:val="1"/>
    <w:unhideWhenUsed/>
    <w:rsid w:val="00E3012D"/>
    <w:rPr>
      <w:color w:val="F8F8F2"/>
      <w:shd w:val="clear" w:color="auto" w:fill="282A36"/>
    </w:rPr>
  </w:style>
  <w:style w:type="character" w:customStyle="1" w:styleId="Heading1Char">
    <w:name w:val="Heading 1 Char"/>
    <w:basedOn w:val="DefaultParagraphFont"/>
    <w:link w:val="Heading1"/>
    <w:uiPriority w:val="9"/>
    <w:rsid w:val="00E3012D"/>
    <w:rPr>
      <w:rFonts w:asciiTheme="majorHAnsi" w:eastAsiaTheme="majorEastAsia" w:hAnsiTheme="majorHAnsi" w:cstheme="majorBidi"/>
      <w:color w:val="365F91" w:themeColor="accent1" w:themeShade="BF"/>
      <w:kern w:val="2"/>
      <w:sz w:val="40"/>
      <w:szCs w:val="40"/>
      <w:lang w:val="en-US"/>
      <w14:ligatures w14:val="standardContextual"/>
    </w:rPr>
  </w:style>
  <w:style w:type="character" w:customStyle="1" w:styleId="Heading2Char">
    <w:name w:val="Heading 2 Char"/>
    <w:basedOn w:val="DefaultParagraphFont"/>
    <w:link w:val="Heading2"/>
    <w:uiPriority w:val="9"/>
    <w:rsid w:val="00E3012D"/>
    <w:rPr>
      <w:rFonts w:asciiTheme="majorHAnsi" w:eastAsiaTheme="majorEastAsia" w:hAnsiTheme="majorHAnsi" w:cstheme="majorBidi"/>
      <w:color w:val="365F91" w:themeColor="accent1" w:themeShade="BF"/>
      <w:kern w:val="2"/>
      <w:sz w:val="32"/>
      <w:szCs w:val="32"/>
      <w:lang w:val="en-US"/>
      <w14:ligatures w14:val="standardContextual"/>
    </w:rPr>
  </w:style>
  <w:style w:type="character" w:customStyle="1" w:styleId="Heading3Char">
    <w:name w:val="Heading 3 Char"/>
    <w:basedOn w:val="DefaultParagraphFont"/>
    <w:link w:val="Heading3"/>
    <w:uiPriority w:val="9"/>
    <w:rsid w:val="00E3012D"/>
    <w:rPr>
      <w:rFonts w:asciiTheme="minorHAnsi" w:eastAsiaTheme="majorEastAsia" w:hAnsiTheme="minorHAnsi" w:cstheme="majorBidi"/>
      <w:color w:val="365F91" w:themeColor="accent1" w:themeShade="BF"/>
      <w:kern w:val="2"/>
      <w:sz w:val="28"/>
      <w:szCs w:val="28"/>
      <w:lang w:val="en-US"/>
      <w14:ligatures w14:val="standardContextual"/>
    </w:rPr>
  </w:style>
  <w:style w:type="character" w:customStyle="1" w:styleId="Heading4Char">
    <w:name w:val="Heading 4 Char"/>
    <w:basedOn w:val="DefaultParagraphFont"/>
    <w:link w:val="Heading4"/>
    <w:uiPriority w:val="9"/>
    <w:rsid w:val="00E3012D"/>
    <w:rPr>
      <w:rFonts w:asciiTheme="minorHAnsi" w:eastAsiaTheme="majorEastAsia" w:hAnsiTheme="minorHAnsi" w:cstheme="majorBidi"/>
      <w:i/>
      <w:iCs/>
      <w:color w:val="365F91" w:themeColor="accent1" w:themeShade="BF"/>
      <w:kern w:val="2"/>
      <w:lang w:val="en-US"/>
      <w14:ligatures w14:val="standardContextual"/>
    </w:rPr>
  </w:style>
  <w:style w:type="character" w:customStyle="1" w:styleId="Heading5Char">
    <w:name w:val="Heading 5 Char"/>
    <w:basedOn w:val="DefaultParagraphFont"/>
    <w:link w:val="Heading5"/>
    <w:uiPriority w:val="9"/>
    <w:rsid w:val="00E3012D"/>
    <w:rPr>
      <w:rFonts w:asciiTheme="minorHAnsi" w:eastAsiaTheme="majorEastAsia" w:hAnsiTheme="minorHAnsi" w:cstheme="majorBidi"/>
      <w:color w:val="365F91" w:themeColor="accent1" w:themeShade="BF"/>
      <w:kern w:val="2"/>
      <w:lang w:val="en-US"/>
      <w14:ligatures w14:val="standardContextual"/>
    </w:rPr>
  </w:style>
  <w:style w:type="character" w:customStyle="1" w:styleId="Heading6Char">
    <w:name w:val="Heading 6 Char"/>
    <w:basedOn w:val="DefaultParagraphFont"/>
    <w:link w:val="Heading6"/>
    <w:uiPriority w:val="9"/>
    <w:rsid w:val="00E3012D"/>
    <w:rPr>
      <w:rFonts w:asciiTheme="minorHAnsi" w:eastAsiaTheme="majorEastAsia" w:hAnsiTheme="minorHAnsi" w:cstheme="majorBidi"/>
      <w:i/>
      <w:iCs/>
      <w:color w:val="595959" w:themeColor="text1" w:themeTint="A6"/>
      <w:kern w:val="2"/>
      <w:lang w:val="en-US"/>
      <w14:ligatures w14:val="standardContextual"/>
    </w:rPr>
  </w:style>
  <w:style w:type="character" w:customStyle="1" w:styleId="hljs-con-attribute-slc">
    <w:name w:val="hljs-con-attribute-slc"/>
    <w:basedOn w:val="DefaultParagraphFont"/>
    <w:uiPriority w:val="1"/>
    <w:unhideWhenUsed/>
    <w:rsid w:val="00E3012D"/>
    <w:rPr>
      <w:b/>
      <w:bCs/>
      <w:color w:val="F8F8F2"/>
      <w:shd w:val="clear" w:color="auto" w:fill="44475A"/>
    </w:rPr>
  </w:style>
  <w:style w:type="character" w:customStyle="1" w:styleId="hljs-con-attr-slc">
    <w:name w:val="hljs-con-attr-slc"/>
    <w:basedOn w:val="DefaultParagraphFont"/>
    <w:uiPriority w:val="1"/>
    <w:unhideWhenUsed/>
    <w:rsid w:val="00E3012D"/>
    <w:rPr>
      <w:b/>
      <w:bCs/>
      <w:color w:val="F1FA8C"/>
      <w:shd w:val="clear" w:color="auto" w:fill="44475A"/>
    </w:rPr>
  </w:style>
  <w:style w:type="character" w:customStyle="1" w:styleId="hljs-con-builtin">
    <w:name w:val="hljs-con-built_in"/>
    <w:basedOn w:val="DefaultParagraphFont"/>
    <w:uiPriority w:val="1"/>
    <w:unhideWhenUsed/>
    <w:rsid w:val="00E3012D"/>
    <w:rPr>
      <w:color w:val="8BE9FD"/>
    </w:rPr>
  </w:style>
  <w:style w:type="character" w:customStyle="1" w:styleId="hljs-con-builtin-slc">
    <w:name w:val="hljs-con-built_in-slc"/>
    <w:basedOn w:val="DefaultParagraphFont"/>
    <w:uiPriority w:val="1"/>
    <w:unhideWhenUsed/>
    <w:rsid w:val="00E3012D"/>
    <w:rPr>
      <w:b/>
      <w:bCs/>
      <w:color w:val="8BE9FD"/>
      <w:shd w:val="clear" w:color="auto" w:fill="44475A"/>
    </w:rPr>
  </w:style>
  <w:style w:type="character" w:customStyle="1" w:styleId="hljs-con-builtin-name">
    <w:name w:val="hljs-con-builtin-name"/>
    <w:basedOn w:val="DefaultParagraphFont"/>
    <w:uiPriority w:val="1"/>
    <w:unhideWhenUsed/>
    <w:rsid w:val="00E3012D"/>
    <w:rPr>
      <w:color w:val="F8F8F2"/>
      <w:shd w:val="clear" w:color="auto" w:fill="282A36"/>
    </w:rPr>
  </w:style>
  <w:style w:type="character" w:customStyle="1" w:styleId="hljs-con-builtin-name-slc">
    <w:name w:val="hljs-con-builtin-name-slc"/>
    <w:basedOn w:val="DefaultParagraphFont"/>
    <w:uiPriority w:val="1"/>
    <w:unhideWhenUsed/>
    <w:rsid w:val="00E3012D"/>
    <w:rPr>
      <w:b/>
      <w:bCs/>
      <w:color w:val="F8F8F2"/>
      <w:shd w:val="clear" w:color="auto" w:fill="44475A"/>
    </w:rPr>
  </w:style>
  <w:style w:type="character" w:customStyle="1" w:styleId="hljs-con-bullet">
    <w:name w:val="hljs-con-bullet"/>
    <w:basedOn w:val="DefaultParagraphFont"/>
    <w:uiPriority w:val="1"/>
    <w:unhideWhenUsed/>
    <w:rsid w:val="00E3012D"/>
    <w:rPr>
      <w:color w:val="F1FA8C"/>
    </w:rPr>
  </w:style>
  <w:style w:type="character" w:customStyle="1" w:styleId="hljs-con-bullet-slc">
    <w:name w:val="hljs-con-bullet-slc"/>
    <w:basedOn w:val="DefaultParagraphFont"/>
    <w:uiPriority w:val="1"/>
    <w:unhideWhenUsed/>
    <w:rsid w:val="00E3012D"/>
    <w:rPr>
      <w:b/>
      <w:bCs/>
      <w:color w:val="F1FA8C"/>
      <w:shd w:val="clear" w:color="auto" w:fill="44475A"/>
    </w:rPr>
  </w:style>
  <w:style w:type="character" w:customStyle="1" w:styleId="hljs-con-class">
    <w:name w:val="hljs-con-class"/>
    <w:basedOn w:val="DefaultParagraphFont"/>
    <w:uiPriority w:val="1"/>
    <w:unhideWhenUsed/>
    <w:rsid w:val="00E3012D"/>
    <w:rPr>
      <w:color w:val="F8F8F2"/>
      <w:shd w:val="clear" w:color="auto" w:fill="282A36"/>
    </w:rPr>
  </w:style>
  <w:style w:type="character" w:customStyle="1" w:styleId="hljs-con-class-slc">
    <w:name w:val="hljs-con-class-slc"/>
    <w:basedOn w:val="DefaultParagraphFont"/>
    <w:uiPriority w:val="1"/>
    <w:unhideWhenUsed/>
    <w:rsid w:val="00E3012D"/>
    <w:rPr>
      <w:b/>
      <w:bCs/>
      <w:color w:val="F8F8F2"/>
      <w:shd w:val="clear" w:color="auto" w:fill="44475A"/>
    </w:rPr>
  </w:style>
  <w:style w:type="character" w:customStyle="1" w:styleId="hljs-con-code">
    <w:name w:val="hljs-con-code"/>
    <w:basedOn w:val="DefaultParagraphFont"/>
    <w:uiPriority w:val="1"/>
    <w:unhideWhenUsed/>
    <w:rsid w:val="00E3012D"/>
    <w:rPr>
      <w:color w:val="F8F8F2"/>
      <w:shd w:val="clear" w:color="auto" w:fill="282A36"/>
    </w:rPr>
  </w:style>
  <w:style w:type="character" w:customStyle="1" w:styleId="hljs-con-code-slc">
    <w:name w:val="hljs-con-code-slc"/>
    <w:basedOn w:val="DefaultParagraphFont"/>
    <w:uiPriority w:val="1"/>
    <w:unhideWhenUsed/>
    <w:rsid w:val="00E3012D"/>
    <w:rPr>
      <w:b/>
      <w:bCs/>
      <w:color w:val="F8F8F2"/>
      <w:shd w:val="clear" w:color="auto" w:fill="44475A"/>
    </w:rPr>
  </w:style>
  <w:style w:type="character" w:customStyle="1" w:styleId="hljs-con-comment">
    <w:name w:val="hljs-con-comment"/>
    <w:basedOn w:val="DefaultParagraphFont"/>
    <w:uiPriority w:val="1"/>
    <w:unhideWhenUsed/>
    <w:rsid w:val="00E3012D"/>
    <w:rPr>
      <w:color w:val="6272A4"/>
    </w:rPr>
  </w:style>
  <w:style w:type="character" w:customStyle="1" w:styleId="hljs-con-comment-slc">
    <w:name w:val="hljs-con-comment-slc"/>
    <w:basedOn w:val="DefaultParagraphFont"/>
    <w:uiPriority w:val="1"/>
    <w:unhideWhenUsed/>
    <w:rsid w:val="00E3012D"/>
    <w:rPr>
      <w:b/>
      <w:bCs/>
      <w:color w:val="6272A4"/>
      <w:shd w:val="clear" w:color="auto" w:fill="44475A"/>
    </w:rPr>
  </w:style>
  <w:style w:type="character" w:customStyle="1" w:styleId="hljs-con-constructor">
    <w:name w:val="hljs-con-constructor"/>
    <w:basedOn w:val="DefaultParagraphFont"/>
    <w:uiPriority w:val="1"/>
    <w:unhideWhenUsed/>
    <w:rsid w:val="00E3012D"/>
    <w:rPr>
      <w:color w:val="F8F8F2"/>
      <w:shd w:val="clear" w:color="auto" w:fill="282A36"/>
    </w:rPr>
  </w:style>
  <w:style w:type="character" w:customStyle="1" w:styleId="hljs-con-constructor-slc">
    <w:name w:val="hljs-con-constructor-slc"/>
    <w:basedOn w:val="DefaultParagraphFont"/>
    <w:uiPriority w:val="1"/>
    <w:unhideWhenUsed/>
    <w:rsid w:val="00E3012D"/>
    <w:rPr>
      <w:b/>
      <w:bCs/>
      <w:color w:val="F8F8F2"/>
      <w:shd w:val="clear" w:color="auto" w:fill="44475A"/>
    </w:rPr>
  </w:style>
  <w:style w:type="character" w:customStyle="1" w:styleId="hljs-con-deletion">
    <w:name w:val="hljs-con-deletion"/>
    <w:basedOn w:val="DefaultParagraphFont"/>
    <w:uiPriority w:val="1"/>
    <w:unhideWhenUsed/>
    <w:rsid w:val="00E3012D"/>
    <w:rPr>
      <w:color w:val="6272A4"/>
    </w:rPr>
  </w:style>
  <w:style w:type="character" w:customStyle="1" w:styleId="hljs-con-deletion-slc">
    <w:name w:val="hljs-con-deletion-slc"/>
    <w:basedOn w:val="DefaultParagraphFont"/>
    <w:uiPriority w:val="1"/>
    <w:unhideWhenUsed/>
    <w:rsid w:val="00E3012D"/>
    <w:rPr>
      <w:b/>
      <w:bCs/>
      <w:color w:val="6272A4"/>
      <w:shd w:val="clear" w:color="auto" w:fill="44475A"/>
    </w:rPr>
  </w:style>
  <w:style w:type="character" w:customStyle="1" w:styleId="hljs-con-doctag">
    <w:name w:val="hljs-con-doctag"/>
    <w:basedOn w:val="DefaultParagraphFont"/>
    <w:uiPriority w:val="1"/>
    <w:unhideWhenUsed/>
    <w:rsid w:val="00E3012D"/>
    <w:rPr>
      <w:b/>
      <w:bCs/>
    </w:rPr>
  </w:style>
  <w:style w:type="character" w:customStyle="1" w:styleId="hljs-con-doctag-slc">
    <w:name w:val="hljs-con-doctag-slc"/>
    <w:basedOn w:val="DefaultParagraphFont"/>
    <w:uiPriority w:val="1"/>
    <w:unhideWhenUsed/>
    <w:rsid w:val="00E3012D"/>
    <w:rPr>
      <w:b/>
      <w:bCs/>
      <w:shd w:val="clear" w:color="auto" w:fill="44475A"/>
    </w:rPr>
  </w:style>
  <w:style w:type="character" w:customStyle="1" w:styleId="hljs-con-emphasis">
    <w:name w:val="hljs-con-emphasis"/>
    <w:basedOn w:val="DefaultParagraphFont"/>
    <w:uiPriority w:val="1"/>
    <w:unhideWhenUsed/>
    <w:rsid w:val="00E3012D"/>
    <w:rPr>
      <w:i/>
      <w:iCs/>
    </w:rPr>
  </w:style>
  <w:style w:type="character" w:customStyle="1" w:styleId="hljs-con-emphasis-slc">
    <w:name w:val="hljs-con-emphasis-slc"/>
    <w:basedOn w:val="DefaultParagraphFont"/>
    <w:uiPriority w:val="1"/>
    <w:unhideWhenUsed/>
    <w:rsid w:val="00E3012D"/>
    <w:rPr>
      <w:b/>
      <w:bCs/>
      <w:i/>
      <w:iCs/>
      <w:shd w:val="clear" w:color="auto" w:fill="44475A"/>
    </w:rPr>
  </w:style>
  <w:style w:type="character" w:customStyle="1" w:styleId="hljs-con-formula">
    <w:name w:val="hljs-con-formula"/>
    <w:basedOn w:val="DefaultParagraphFont"/>
    <w:uiPriority w:val="1"/>
    <w:unhideWhenUsed/>
    <w:rsid w:val="00E3012D"/>
    <w:rPr>
      <w:color w:val="F8F8F2"/>
      <w:shd w:val="clear" w:color="auto" w:fill="282A36"/>
    </w:rPr>
  </w:style>
  <w:style w:type="character" w:customStyle="1" w:styleId="hljs-con-formula-slc">
    <w:name w:val="hljs-con-formula-slc"/>
    <w:basedOn w:val="DefaultParagraphFont"/>
    <w:uiPriority w:val="1"/>
    <w:unhideWhenUsed/>
    <w:rsid w:val="00E3012D"/>
    <w:rPr>
      <w:b/>
      <w:bCs/>
      <w:color w:val="F8F8F2"/>
      <w:shd w:val="clear" w:color="auto" w:fill="44475A"/>
    </w:rPr>
  </w:style>
  <w:style w:type="character" w:customStyle="1" w:styleId="hljs-con-function">
    <w:name w:val="hljs-con-function"/>
    <w:basedOn w:val="DefaultParagraphFont"/>
    <w:uiPriority w:val="1"/>
    <w:unhideWhenUsed/>
    <w:rsid w:val="00E3012D"/>
    <w:rPr>
      <w:color w:val="F8F8F2"/>
      <w:shd w:val="clear" w:color="auto" w:fill="282A36"/>
    </w:rPr>
  </w:style>
  <w:style w:type="character" w:customStyle="1" w:styleId="hljs-con-function-slc">
    <w:name w:val="hljs-con-function-slc"/>
    <w:basedOn w:val="DefaultParagraphFont"/>
    <w:uiPriority w:val="1"/>
    <w:unhideWhenUsed/>
    <w:rsid w:val="00E3012D"/>
    <w:rPr>
      <w:b/>
      <w:bCs/>
      <w:color w:val="F8F8F2"/>
      <w:shd w:val="clear" w:color="auto" w:fill="44475A"/>
    </w:rPr>
  </w:style>
  <w:style w:type="character" w:customStyle="1" w:styleId="hljs-con-keyword">
    <w:name w:val="hljs-con-keyword"/>
    <w:basedOn w:val="DefaultParagraphFont"/>
    <w:uiPriority w:val="1"/>
    <w:unhideWhenUsed/>
    <w:rsid w:val="00E3012D"/>
    <w:rPr>
      <w:b/>
      <w:bCs/>
      <w:color w:val="FF79C6"/>
    </w:rPr>
  </w:style>
  <w:style w:type="character" w:customStyle="1" w:styleId="hljs-con-keyword-slc">
    <w:name w:val="hljs-con-keyword-slc"/>
    <w:basedOn w:val="DefaultParagraphFont"/>
    <w:uiPriority w:val="1"/>
    <w:unhideWhenUsed/>
    <w:rsid w:val="00E3012D"/>
    <w:rPr>
      <w:b/>
      <w:bCs/>
      <w:color w:val="FF79C6"/>
      <w:shd w:val="clear" w:color="auto" w:fill="44475A"/>
    </w:rPr>
  </w:style>
  <w:style w:type="character" w:customStyle="1" w:styleId="hljs-con-link">
    <w:name w:val="hljs-con-link"/>
    <w:basedOn w:val="DefaultParagraphFont"/>
    <w:uiPriority w:val="1"/>
    <w:unhideWhenUsed/>
    <w:rsid w:val="00E3012D"/>
    <w:rPr>
      <w:color w:val="8BE9FD"/>
    </w:rPr>
  </w:style>
  <w:style w:type="character" w:customStyle="1" w:styleId="hljs-con-link-slc">
    <w:name w:val="hljs-con-link-slc"/>
    <w:basedOn w:val="DefaultParagraphFont"/>
    <w:uiPriority w:val="1"/>
    <w:unhideWhenUsed/>
    <w:rsid w:val="00E3012D"/>
    <w:rPr>
      <w:b/>
      <w:bCs/>
      <w:color w:val="8BE9FD"/>
      <w:shd w:val="clear" w:color="auto" w:fill="44475A"/>
    </w:rPr>
  </w:style>
  <w:style w:type="character" w:customStyle="1" w:styleId="hljs-con-literal">
    <w:name w:val="hljs-con-literal"/>
    <w:basedOn w:val="DefaultParagraphFont"/>
    <w:uiPriority w:val="1"/>
    <w:unhideWhenUsed/>
    <w:rsid w:val="00E3012D"/>
    <w:rPr>
      <w:b/>
      <w:bCs/>
      <w:color w:val="BD93F9"/>
    </w:rPr>
  </w:style>
  <w:style w:type="character" w:customStyle="1" w:styleId="hljs-con-literal-slc">
    <w:name w:val="hljs-con-literal-slc"/>
    <w:basedOn w:val="DefaultParagraphFont"/>
    <w:uiPriority w:val="1"/>
    <w:unhideWhenUsed/>
    <w:rsid w:val="00E3012D"/>
    <w:rPr>
      <w:b/>
      <w:bCs/>
      <w:color w:val="BD93F9"/>
      <w:shd w:val="clear" w:color="auto" w:fill="44475A"/>
    </w:rPr>
  </w:style>
  <w:style w:type="character" w:customStyle="1" w:styleId="hljs-con-meta">
    <w:name w:val="hljs-con-meta"/>
    <w:basedOn w:val="DefaultParagraphFont"/>
    <w:uiPriority w:val="1"/>
    <w:unhideWhenUsed/>
    <w:rsid w:val="00E3012D"/>
    <w:rPr>
      <w:b/>
      <w:color w:val="50FA7B"/>
    </w:rPr>
  </w:style>
  <w:style w:type="character" w:customStyle="1" w:styleId="hljs-con-meta-keyword">
    <w:name w:val="hljs-con-meta-keyword"/>
    <w:basedOn w:val="DefaultParagraphFont"/>
    <w:uiPriority w:val="1"/>
    <w:unhideWhenUsed/>
    <w:rsid w:val="00E3012D"/>
    <w:rPr>
      <w:color w:val="F8F8F2"/>
      <w:shd w:val="clear" w:color="auto" w:fill="282A36"/>
    </w:rPr>
  </w:style>
  <w:style w:type="character" w:customStyle="1" w:styleId="hljs-con-meta-keyword-slc">
    <w:name w:val="hljs-con-meta-keyword-slc"/>
    <w:basedOn w:val="DefaultParagraphFont"/>
    <w:uiPriority w:val="1"/>
    <w:unhideWhenUsed/>
    <w:rsid w:val="00E3012D"/>
    <w:rPr>
      <w:b/>
      <w:bCs/>
      <w:color w:val="F8F8F2"/>
      <w:shd w:val="clear" w:color="auto" w:fill="44475A"/>
    </w:rPr>
  </w:style>
  <w:style w:type="character" w:customStyle="1" w:styleId="hljs-con-meta-slc">
    <w:name w:val="hljs-con-meta-slc"/>
    <w:basedOn w:val="DefaultParagraphFont"/>
    <w:uiPriority w:val="1"/>
    <w:unhideWhenUsed/>
    <w:rsid w:val="00E3012D"/>
    <w:rPr>
      <w:b/>
      <w:bCs/>
      <w:color w:val="50FA7B"/>
      <w:shd w:val="clear" w:color="auto" w:fill="44475A"/>
    </w:rPr>
  </w:style>
  <w:style w:type="character" w:customStyle="1" w:styleId="hljs-con-meta-string">
    <w:name w:val="hljs-con-meta-string"/>
    <w:basedOn w:val="DefaultParagraphFont"/>
    <w:uiPriority w:val="1"/>
    <w:unhideWhenUsed/>
    <w:rsid w:val="00E3012D"/>
    <w:rPr>
      <w:color w:val="F8F8F2"/>
      <w:shd w:val="clear" w:color="auto" w:fill="282A36"/>
    </w:rPr>
  </w:style>
  <w:style w:type="character" w:customStyle="1" w:styleId="hljs-con-meta-string-slc">
    <w:name w:val="hljs-con-meta-string-slc"/>
    <w:basedOn w:val="DefaultParagraphFont"/>
    <w:uiPriority w:val="1"/>
    <w:unhideWhenUsed/>
    <w:rsid w:val="00E3012D"/>
    <w:rPr>
      <w:b/>
      <w:bCs/>
      <w:color w:val="F8F8F2"/>
      <w:shd w:val="clear" w:color="auto" w:fill="44475A"/>
    </w:rPr>
  </w:style>
  <w:style w:type="character" w:customStyle="1" w:styleId="hljs-con-module">
    <w:name w:val="hljs-con-module"/>
    <w:basedOn w:val="DefaultParagraphFont"/>
    <w:uiPriority w:val="1"/>
    <w:unhideWhenUsed/>
    <w:rsid w:val="00E3012D"/>
    <w:rPr>
      <w:color w:val="F8F8F2"/>
      <w:shd w:val="clear" w:color="auto" w:fill="282A36"/>
    </w:rPr>
  </w:style>
  <w:style w:type="character" w:customStyle="1" w:styleId="hljs-con-module-access">
    <w:name w:val="hljs-con-module-access"/>
    <w:basedOn w:val="DefaultParagraphFont"/>
    <w:uiPriority w:val="1"/>
    <w:unhideWhenUsed/>
    <w:rsid w:val="00E3012D"/>
    <w:rPr>
      <w:color w:val="F8F8F2"/>
      <w:shd w:val="clear" w:color="auto" w:fill="282A36"/>
    </w:rPr>
  </w:style>
  <w:style w:type="character" w:customStyle="1" w:styleId="hljs-con-module-access-slc">
    <w:name w:val="hljs-con-module-access-slc"/>
    <w:basedOn w:val="DefaultParagraphFont"/>
    <w:uiPriority w:val="1"/>
    <w:unhideWhenUsed/>
    <w:rsid w:val="00E3012D"/>
    <w:rPr>
      <w:b/>
      <w:bCs/>
      <w:color w:val="F8F8F2"/>
      <w:shd w:val="clear" w:color="auto" w:fill="44475A"/>
    </w:rPr>
  </w:style>
  <w:style w:type="character" w:customStyle="1" w:styleId="hljs-con-module-slc">
    <w:name w:val="hljs-con-module-slc"/>
    <w:basedOn w:val="DefaultParagraphFont"/>
    <w:uiPriority w:val="1"/>
    <w:unhideWhenUsed/>
    <w:rsid w:val="00E3012D"/>
    <w:rPr>
      <w:b/>
      <w:bCs/>
      <w:color w:val="F8F8F2"/>
      <w:shd w:val="clear" w:color="auto" w:fill="44475A"/>
    </w:rPr>
  </w:style>
  <w:style w:type="character" w:customStyle="1" w:styleId="hljs-con-name">
    <w:name w:val="hljs-con-name"/>
    <w:basedOn w:val="DefaultParagraphFont"/>
    <w:uiPriority w:val="1"/>
    <w:unhideWhenUsed/>
    <w:rsid w:val="00E3012D"/>
    <w:rPr>
      <w:b/>
      <w:bCs/>
      <w:color w:val="F1FA8C"/>
    </w:rPr>
  </w:style>
  <w:style w:type="character" w:customStyle="1" w:styleId="hljs-con-name-slc">
    <w:name w:val="hljs-con-name-slc"/>
    <w:basedOn w:val="DefaultParagraphFont"/>
    <w:uiPriority w:val="1"/>
    <w:unhideWhenUsed/>
    <w:rsid w:val="00E3012D"/>
    <w:rPr>
      <w:b/>
      <w:bCs/>
      <w:color w:val="F1FA8C"/>
      <w:shd w:val="clear" w:color="auto" w:fill="44475A"/>
    </w:rPr>
  </w:style>
  <w:style w:type="character" w:customStyle="1" w:styleId="hljs-con-number">
    <w:name w:val="hljs-con-number"/>
    <w:basedOn w:val="DefaultParagraphFont"/>
    <w:uiPriority w:val="1"/>
    <w:unhideWhenUsed/>
    <w:rsid w:val="00E3012D"/>
    <w:rPr>
      <w:color w:val="BD93F9"/>
    </w:rPr>
  </w:style>
  <w:style w:type="character" w:customStyle="1" w:styleId="hljs-con-number-slc">
    <w:name w:val="hljs-con-number-slc"/>
    <w:basedOn w:val="DefaultParagraphFont"/>
    <w:uiPriority w:val="1"/>
    <w:unhideWhenUsed/>
    <w:rsid w:val="00E3012D"/>
    <w:rPr>
      <w:b/>
      <w:bCs/>
      <w:color w:val="BD93F9"/>
      <w:shd w:val="clear" w:color="auto" w:fill="44475A"/>
    </w:rPr>
  </w:style>
  <w:style w:type="character" w:customStyle="1" w:styleId="hljs-con-operator">
    <w:name w:val="hljs-con-operator"/>
    <w:basedOn w:val="DefaultParagraphFont"/>
    <w:uiPriority w:val="1"/>
    <w:unhideWhenUsed/>
    <w:rsid w:val="00E3012D"/>
    <w:rPr>
      <w:color w:val="F8F8F2"/>
      <w:shd w:val="clear" w:color="auto" w:fill="282A36"/>
    </w:rPr>
  </w:style>
  <w:style w:type="character" w:customStyle="1" w:styleId="hljs-con-operator-slc">
    <w:name w:val="hljs-con-operator-slc"/>
    <w:basedOn w:val="DefaultParagraphFont"/>
    <w:uiPriority w:val="1"/>
    <w:unhideWhenUsed/>
    <w:rsid w:val="00E3012D"/>
    <w:rPr>
      <w:b/>
      <w:bCs/>
      <w:color w:val="F8F8F2"/>
      <w:shd w:val="clear" w:color="auto" w:fill="44475A"/>
    </w:rPr>
  </w:style>
  <w:style w:type="character" w:customStyle="1" w:styleId="hljs-con-params">
    <w:name w:val="hljs-con-params"/>
    <w:basedOn w:val="DefaultParagraphFont"/>
    <w:uiPriority w:val="1"/>
    <w:unhideWhenUsed/>
    <w:rsid w:val="00E3012D"/>
    <w:rPr>
      <w:color w:val="F8F8F2"/>
      <w:shd w:val="clear" w:color="auto" w:fill="282A36"/>
    </w:rPr>
  </w:style>
  <w:style w:type="character" w:customStyle="1" w:styleId="hljs-con-params-slc">
    <w:name w:val="hljs-con-params-slc"/>
    <w:basedOn w:val="DefaultParagraphFont"/>
    <w:uiPriority w:val="1"/>
    <w:unhideWhenUsed/>
    <w:rsid w:val="00E3012D"/>
    <w:rPr>
      <w:b/>
      <w:bCs/>
      <w:color w:val="F8F8F2"/>
      <w:shd w:val="clear" w:color="auto" w:fill="44475A"/>
    </w:rPr>
  </w:style>
  <w:style w:type="character" w:customStyle="1" w:styleId="hljs-con-pattern-match">
    <w:name w:val="hljs-con-pattern-match"/>
    <w:basedOn w:val="DefaultParagraphFont"/>
    <w:uiPriority w:val="1"/>
    <w:unhideWhenUsed/>
    <w:rsid w:val="00E3012D"/>
    <w:rPr>
      <w:color w:val="F8F8F2"/>
      <w:shd w:val="clear" w:color="auto" w:fill="282A36"/>
    </w:rPr>
  </w:style>
  <w:style w:type="character" w:customStyle="1" w:styleId="hljs-con-pattern-match-slc">
    <w:name w:val="hljs-con-pattern-match-slc"/>
    <w:basedOn w:val="DefaultParagraphFont"/>
    <w:uiPriority w:val="1"/>
    <w:unhideWhenUsed/>
    <w:rsid w:val="00E3012D"/>
    <w:rPr>
      <w:b/>
      <w:bCs/>
      <w:color w:val="F8F8F2"/>
      <w:shd w:val="clear" w:color="auto" w:fill="44475A"/>
    </w:rPr>
  </w:style>
  <w:style w:type="character" w:customStyle="1" w:styleId="hljs-con-quote">
    <w:name w:val="hljs-con-quote"/>
    <w:basedOn w:val="DefaultParagraphFont"/>
    <w:uiPriority w:val="1"/>
    <w:unhideWhenUsed/>
    <w:rsid w:val="00E3012D"/>
    <w:rPr>
      <w:color w:val="6272A4"/>
    </w:rPr>
  </w:style>
  <w:style w:type="character" w:customStyle="1" w:styleId="hljs-con-quote-slc">
    <w:name w:val="hljs-con-quote-slc"/>
    <w:basedOn w:val="DefaultParagraphFont"/>
    <w:uiPriority w:val="1"/>
    <w:unhideWhenUsed/>
    <w:rsid w:val="00E3012D"/>
    <w:rPr>
      <w:b/>
      <w:bCs/>
      <w:color w:val="6272A4"/>
      <w:shd w:val="clear" w:color="auto" w:fill="44475A"/>
    </w:rPr>
  </w:style>
  <w:style w:type="character" w:customStyle="1" w:styleId="hljs-con-regexp">
    <w:name w:val="hljs-con-regexp"/>
    <w:basedOn w:val="DefaultParagraphFont"/>
    <w:uiPriority w:val="1"/>
    <w:unhideWhenUsed/>
    <w:rsid w:val="00E3012D"/>
    <w:rPr>
      <w:color w:val="F8F8F2"/>
      <w:shd w:val="clear" w:color="auto" w:fill="282A36"/>
    </w:rPr>
  </w:style>
  <w:style w:type="character" w:customStyle="1" w:styleId="hljs-con-regexp-slc">
    <w:name w:val="hljs-con-regexp-slc"/>
    <w:basedOn w:val="DefaultParagraphFont"/>
    <w:uiPriority w:val="1"/>
    <w:unhideWhenUsed/>
    <w:rsid w:val="00E3012D"/>
    <w:rPr>
      <w:b/>
      <w:bCs/>
      <w:color w:val="F8F8F2"/>
      <w:shd w:val="clear" w:color="auto" w:fill="44475A"/>
    </w:rPr>
  </w:style>
  <w:style w:type="character" w:customStyle="1" w:styleId="hljs-con-section">
    <w:name w:val="hljs-con-section"/>
    <w:basedOn w:val="DefaultParagraphFont"/>
    <w:uiPriority w:val="1"/>
    <w:unhideWhenUsed/>
    <w:rsid w:val="00E3012D"/>
    <w:rPr>
      <w:b/>
      <w:bCs/>
      <w:color w:val="8BE9FD"/>
    </w:rPr>
  </w:style>
  <w:style w:type="character" w:customStyle="1" w:styleId="hljs-con-section-slc">
    <w:name w:val="hljs-con-section-slc"/>
    <w:basedOn w:val="DefaultParagraphFont"/>
    <w:uiPriority w:val="1"/>
    <w:unhideWhenUsed/>
    <w:rsid w:val="00E3012D"/>
    <w:rPr>
      <w:b/>
      <w:bCs/>
      <w:color w:val="8BE9FD"/>
      <w:shd w:val="clear" w:color="auto" w:fill="44475A"/>
    </w:rPr>
  </w:style>
  <w:style w:type="character" w:customStyle="1" w:styleId="hljs-con-selector-attr">
    <w:name w:val="hljs-con-selector-attr"/>
    <w:basedOn w:val="DefaultParagraphFont"/>
    <w:uiPriority w:val="1"/>
    <w:unhideWhenUsed/>
    <w:rsid w:val="00E3012D"/>
    <w:rPr>
      <w:color w:val="F8F8F2"/>
      <w:shd w:val="clear" w:color="auto" w:fill="282A36"/>
    </w:rPr>
  </w:style>
  <w:style w:type="character" w:customStyle="1" w:styleId="hljs-con-selector-attr-slc">
    <w:name w:val="hljs-con-selector-attr-slc"/>
    <w:basedOn w:val="DefaultParagraphFont"/>
    <w:uiPriority w:val="1"/>
    <w:unhideWhenUsed/>
    <w:rsid w:val="00E3012D"/>
    <w:rPr>
      <w:b/>
      <w:bCs/>
      <w:color w:val="F8F8F2"/>
      <w:shd w:val="clear" w:color="auto" w:fill="44475A"/>
    </w:rPr>
  </w:style>
  <w:style w:type="character" w:customStyle="1" w:styleId="hljs-con-selector-class">
    <w:name w:val="hljs-con-selector-class"/>
    <w:basedOn w:val="DefaultParagraphFont"/>
    <w:uiPriority w:val="1"/>
    <w:unhideWhenUsed/>
    <w:rsid w:val="00E3012D"/>
    <w:rPr>
      <w:color w:val="F8F8F2"/>
      <w:shd w:val="clear" w:color="auto" w:fill="282A36"/>
    </w:rPr>
  </w:style>
  <w:style w:type="character" w:customStyle="1" w:styleId="hljs-con-selector-class-slc">
    <w:name w:val="hljs-con-selector-class-slc"/>
    <w:basedOn w:val="DefaultParagraphFont"/>
    <w:uiPriority w:val="1"/>
    <w:unhideWhenUsed/>
    <w:rsid w:val="00E3012D"/>
    <w:rPr>
      <w:b/>
      <w:bCs/>
      <w:color w:val="F8F8F2"/>
      <w:shd w:val="clear" w:color="auto" w:fill="44475A"/>
    </w:rPr>
  </w:style>
  <w:style w:type="character" w:customStyle="1" w:styleId="hljs-con-selector-id">
    <w:name w:val="hljs-con-selector-id"/>
    <w:basedOn w:val="DefaultParagraphFont"/>
    <w:uiPriority w:val="1"/>
    <w:unhideWhenUsed/>
    <w:rsid w:val="00E3012D"/>
    <w:rPr>
      <w:color w:val="F8F8F2"/>
      <w:shd w:val="clear" w:color="auto" w:fill="282A36"/>
    </w:rPr>
  </w:style>
  <w:style w:type="character" w:customStyle="1" w:styleId="hljs-con-selector-id-slc">
    <w:name w:val="hljs-con-selector-id-slc"/>
    <w:basedOn w:val="DefaultParagraphFont"/>
    <w:uiPriority w:val="1"/>
    <w:unhideWhenUsed/>
    <w:rsid w:val="00E3012D"/>
    <w:rPr>
      <w:b/>
      <w:bCs/>
      <w:color w:val="F8F8F2"/>
      <w:shd w:val="clear" w:color="auto" w:fill="44475A"/>
    </w:rPr>
  </w:style>
  <w:style w:type="character" w:customStyle="1" w:styleId="hljs-con-selector-pseudo">
    <w:name w:val="hljs-con-selector-pseudo"/>
    <w:basedOn w:val="DefaultParagraphFont"/>
    <w:uiPriority w:val="1"/>
    <w:unhideWhenUsed/>
    <w:rsid w:val="00E3012D"/>
    <w:rPr>
      <w:color w:val="F8F8F2"/>
      <w:shd w:val="clear" w:color="auto" w:fill="282A36"/>
    </w:rPr>
  </w:style>
  <w:style w:type="character" w:customStyle="1" w:styleId="hljs-con-selector-pseudo-slc">
    <w:name w:val="hljs-con-selector-pseudo-slc"/>
    <w:basedOn w:val="DefaultParagraphFont"/>
    <w:uiPriority w:val="1"/>
    <w:unhideWhenUsed/>
    <w:rsid w:val="00E3012D"/>
    <w:rPr>
      <w:b/>
      <w:bCs/>
      <w:color w:val="F8F8F2"/>
      <w:shd w:val="clear" w:color="auto" w:fill="44475A"/>
    </w:rPr>
  </w:style>
  <w:style w:type="character" w:customStyle="1" w:styleId="hljs-con-selector-tag">
    <w:name w:val="hljs-con-selector-tag"/>
    <w:basedOn w:val="DefaultParagraphFont"/>
    <w:uiPriority w:val="1"/>
    <w:unhideWhenUsed/>
    <w:rsid w:val="00E3012D"/>
    <w:rPr>
      <w:b/>
      <w:bCs/>
      <w:color w:val="8BE9FD"/>
    </w:rPr>
  </w:style>
  <w:style w:type="character" w:customStyle="1" w:styleId="hljs-con-selector-tag-slc">
    <w:name w:val="hljs-con-selector-tag-slc"/>
    <w:basedOn w:val="DefaultParagraphFont"/>
    <w:uiPriority w:val="1"/>
    <w:unhideWhenUsed/>
    <w:rsid w:val="00E3012D"/>
    <w:rPr>
      <w:b/>
      <w:bCs/>
      <w:color w:val="8BE9FD"/>
      <w:shd w:val="clear" w:color="auto" w:fill="44475A"/>
    </w:rPr>
  </w:style>
  <w:style w:type="character" w:customStyle="1" w:styleId="hljs-con-slc">
    <w:name w:val="hljs-con-slc"/>
    <w:basedOn w:val="DefaultParagraphFont"/>
    <w:uiPriority w:val="1"/>
    <w:unhideWhenUsed/>
    <w:rsid w:val="00E3012D"/>
    <w:rPr>
      <w:b/>
      <w:color w:val="F8F8F2"/>
      <w:bdr w:val="none" w:sz="0" w:space="0" w:color="auto"/>
      <w:shd w:val="clear" w:color="auto" w:fill="44475A"/>
    </w:rPr>
  </w:style>
  <w:style w:type="character" w:customStyle="1" w:styleId="hljs-con-string">
    <w:name w:val="hljs-con-string"/>
    <w:basedOn w:val="DefaultParagraphFont"/>
    <w:uiPriority w:val="1"/>
    <w:unhideWhenUsed/>
    <w:rsid w:val="00E3012D"/>
    <w:rPr>
      <w:color w:val="F1FA8C"/>
    </w:rPr>
  </w:style>
  <w:style w:type="character" w:customStyle="1" w:styleId="hljs-con-string-slc">
    <w:name w:val="hljs-con-string-slc"/>
    <w:basedOn w:val="DefaultParagraphFont"/>
    <w:uiPriority w:val="1"/>
    <w:unhideWhenUsed/>
    <w:rsid w:val="00E3012D"/>
    <w:rPr>
      <w:b/>
      <w:bCs/>
      <w:color w:val="F1FA8C"/>
      <w:shd w:val="clear" w:color="auto" w:fill="44475A"/>
    </w:rPr>
  </w:style>
  <w:style w:type="character" w:customStyle="1" w:styleId="hljs-con-strong">
    <w:name w:val="hljs-con-strong"/>
    <w:basedOn w:val="DefaultParagraphFont"/>
    <w:uiPriority w:val="1"/>
    <w:unhideWhenUsed/>
    <w:rsid w:val="00E3012D"/>
    <w:rPr>
      <w:b/>
      <w:bCs/>
    </w:rPr>
  </w:style>
  <w:style w:type="character" w:customStyle="1" w:styleId="hljs-con-strong-slc">
    <w:name w:val="hljs-con-strong-slc"/>
    <w:basedOn w:val="DefaultParagraphFont"/>
    <w:uiPriority w:val="1"/>
    <w:unhideWhenUsed/>
    <w:rsid w:val="00E3012D"/>
    <w:rPr>
      <w:b/>
      <w:bCs/>
      <w:shd w:val="clear" w:color="auto" w:fill="44475A"/>
    </w:rPr>
  </w:style>
  <w:style w:type="character" w:customStyle="1" w:styleId="hljs-constructor">
    <w:name w:val="hljs-constructor"/>
    <w:basedOn w:val="DefaultParagraphFont"/>
    <w:uiPriority w:val="1"/>
    <w:unhideWhenUsed/>
    <w:rsid w:val="00E3012D"/>
  </w:style>
  <w:style w:type="character" w:customStyle="1" w:styleId="hljs-constructor-slc">
    <w:name w:val="hljs-constructor-slc"/>
    <w:basedOn w:val="hljs-constructor"/>
    <w:uiPriority w:val="1"/>
    <w:unhideWhenUsed/>
    <w:rsid w:val="00E3012D"/>
    <w:rPr>
      <w:b/>
      <w:bCs/>
      <w:sz w:val="20"/>
      <w:shd w:val="clear" w:color="auto" w:fill="D4D4D4"/>
    </w:rPr>
  </w:style>
  <w:style w:type="character" w:customStyle="1" w:styleId="hljs-con-subst">
    <w:name w:val="hljs-con-subst"/>
    <w:basedOn w:val="DefaultParagraphFont"/>
    <w:uiPriority w:val="1"/>
    <w:unhideWhenUsed/>
    <w:rsid w:val="00E3012D"/>
    <w:rPr>
      <w:color w:val="F8F8F2"/>
    </w:rPr>
  </w:style>
  <w:style w:type="character" w:customStyle="1" w:styleId="hljs-con-subst-slc">
    <w:name w:val="hljs-con-subst-slc"/>
    <w:basedOn w:val="DefaultParagraphFont"/>
    <w:uiPriority w:val="1"/>
    <w:unhideWhenUsed/>
    <w:rsid w:val="00E3012D"/>
    <w:rPr>
      <w:b/>
      <w:bCs/>
      <w:color w:val="F8F8F2"/>
      <w:shd w:val="clear" w:color="auto" w:fill="44475A"/>
    </w:rPr>
  </w:style>
  <w:style w:type="character" w:customStyle="1" w:styleId="hljs-con-symbol">
    <w:name w:val="hljs-con-symbol"/>
    <w:basedOn w:val="DefaultParagraphFont"/>
    <w:uiPriority w:val="1"/>
    <w:unhideWhenUsed/>
    <w:rsid w:val="00E3012D"/>
    <w:rPr>
      <w:color w:val="F1FA8C"/>
    </w:rPr>
  </w:style>
  <w:style w:type="character" w:customStyle="1" w:styleId="hljs-con-symbol-slc">
    <w:name w:val="hljs-con-symbol-slc"/>
    <w:basedOn w:val="DefaultParagraphFont"/>
    <w:uiPriority w:val="1"/>
    <w:unhideWhenUsed/>
    <w:rsid w:val="00E3012D"/>
    <w:rPr>
      <w:b/>
      <w:bCs/>
      <w:color w:val="F1FA8C"/>
      <w:shd w:val="clear" w:color="auto" w:fill="44475A"/>
    </w:rPr>
  </w:style>
  <w:style w:type="character" w:customStyle="1" w:styleId="hljs-con-tag">
    <w:name w:val="hljs-con-tag"/>
    <w:basedOn w:val="DefaultParagraphFont"/>
    <w:uiPriority w:val="1"/>
    <w:unhideWhenUsed/>
    <w:rsid w:val="00E3012D"/>
    <w:rPr>
      <w:color w:val="F8F8F2"/>
      <w:shd w:val="clear" w:color="auto" w:fill="282A36"/>
    </w:rPr>
  </w:style>
  <w:style w:type="character" w:customStyle="1" w:styleId="hljs-con-tag-slc">
    <w:name w:val="hljs-con-tag-slc"/>
    <w:basedOn w:val="DefaultParagraphFont"/>
    <w:uiPriority w:val="1"/>
    <w:unhideWhenUsed/>
    <w:rsid w:val="00E3012D"/>
    <w:rPr>
      <w:b/>
      <w:bCs/>
      <w:color w:val="F8F8F2"/>
      <w:shd w:val="clear" w:color="auto" w:fill="44475A"/>
    </w:rPr>
  </w:style>
  <w:style w:type="character" w:customStyle="1" w:styleId="hljs-con-template-tag">
    <w:name w:val="hljs-con-template-tag"/>
    <w:basedOn w:val="DefaultParagraphFont"/>
    <w:uiPriority w:val="1"/>
    <w:unhideWhenUsed/>
    <w:rsid w:val="00E3012D"/>
    <w:rPr>
      <w:color w:val="F1FA8C"/>
    </w:rPr>
  </w:style>
  <w:style w:type="character" w:customStyle="1" w:styleId="hljs-con-template-tag-slc">
    <w:name w:val="hljs-con-template-tag-slc"/>
    <w:basedOn w:val="DefaultParagraphFont"/>
    <w:uiPriority w:val="1"/>
    <w:unhideWhenUsed/>
    <w:rsid w:val="00E3012D"/>
    <w:rPr>
      <w:b/>
      <w:bCs/>
      <w:color w:val="F1FA8C"/>
      <w:shd w:val="clear" w:color="auto" w:fill="44475A"/>
    </w:rPr>
  </w:style>
  <w:style w:type="character" w:customStyle="1" w:styleId="hljs-con-template-variable">
    <w:name w:val="hljs-con-template-variable"/>
    <w:basedOn w:val="DefaultParagraphFont"/>
    <w:uiPriority w:val="1"/>
    <w:unhideWhenUsed/>
    <w:rsid w:val="00E3012D"/>
    <w:rPr>
      <w:color w:val="F1FA8C"/>
    </w:rPr>
  </w:style>
  <w:style w:type="character" w:customStyle="1" w:styleId="hljs-con-template-variable-slc">
    <w:name w:val="hljs-con-template-variable-slc"/>
    <w:basedOn w:val="DefaultParagraphFont"/>
    <w:uiPriority w:val="1"/>
    <w:unhideWhenUsed/>
    <w:rsid w:val="00E3012D"/>
    <w:rPr>
      <w:b/>
      <w:bCs/>
      <w:color w:val="F1FA8C"/>
      <w:shd w:val="clear" w:color="auto" w:fill="44475A"/>
    </w:rPr>
  </w:style>
  <w:style w:type="character" w:customStyle="1" w:styleId="hljs-con-title">
    <w:name w:val="hljs-con-title"/>
    <w:basedOn w:val="DefaultParagraphFont"/>
    <w:uiPriority w:val="1"/>
    <w:unhideWhenUsed/>
    <w:rsid w:val="00E3012D"/>
    <w:rPr>
      <w:b/>
      <w:bCs/>
      <w:color w:val="50FA7B"/>
    </w:rPr>
  </w:style>
  <w:style w:type="character" w:customStyle="1" w:styleId="hljs-con-title-slc">
    <w:name w:val="hljs-con-title-slc"/>
    <w:basedOn w:val="DefaultParagraphFont"/>
    <w:uiPriority w:val="1"/>
    <w:unhideWhenUsed/>
    <w:rsid w:val="00E3012D"/>
    <w:rPr>
      <w:b/>
      <w:bCs/>
      <w:color w:val="50FA7B"/>
      <w:shd w:val="clear" w:color="auto" w:fill="44475A"/>
    </w:rPr>
  </w:style>
  <w:style w:type="character" w:customStyle="1" w:styleId="hljs-con-type">
    <w:name w:val="hljs-con-type"/>
    <w:basedOn w:val="DefaultParagraphFont"/>
    <w:uiPriority w:val="1"/>
    <w:unhideWhenUsed/>
    <w:rsid w:val="00E3012D"/>
    <w:rPr>
      <w:b/>
      <w:bCs/>
      <w:color w:val="F1FA8C"/>
    </w:rPr>
  </w:style>
  <w:style w:type="character" w:customStyle="1" w:styleId="hljs-con-type-slc">
    <w:name w:val="hljs-con-type-slc"/>
    <w:basedOn w:val="DefaultParagraphFont"/>
    <w:uiPriority w:val="1"/>
    <w:unhideWhenUsed/>
    <w:rsid w:val="00E3012D"/>
    <w:rPr>
      <w:b/>
      <w:bCs/>
      <w:color w:val="F1FA8C"/>
      <w:shd w:val="clear" w:color="auto" w:fill="44475A"/>
    </w:rPr>
  </w:style>
  <w:style w:type="character" w:customStyle="1" w:styleId="hljs-con-typing">
    <w:name w:val="hljs-con-typing"/>
    <w:basedOn w:val="DefaultParagraphFont"/>
    <w:uiPriority w:val="1"/>
    <w:unhideWhenUsed/>
    <w:rsid w:val="00E3012D"/>
    <w:rPr>
      <w:color w:val="F8F8F2"/>
      <w:shd w:val="clear" w:color="auto" w:fill="282A36"/>
    </w:rPr>
  </w:style>
  <w:style w:type="character" w:customStyle="1" w:styleId="hljs-con-typing-slc">
    <w:name w:val="hljs-con-typing-slc"/>
    <w:basedOn w:val="DefaultParagraphFont"/>
    <w:uiPriority w:val="1"/>
    <w:unhideWhenUsed/>
    <w:rsid w:val="00E3012D"/>
    <w:rPr>
      <w:b/>
      <w:bCs/>
      <w:color w:val="F8F8F2"/>
      <w:shd w:val="clear" w:color="auto" w:fill="44475A"/>
    </w:rPr>
  </w:style>
  <w:style w:type="character" w:customStyle="1" w:styleId="hljs-con-variable">
    <w:name w:val="hljs-con-variable"/>
    <w:basedOn w:val="DefaultParagraphFont"/>
    <w:uiPriority w:val="1"/>
    <w:unhideWhenUsed/>
    <w:rsid w:val="00E3012D"/>
    <w:rPr>
      <w:color w:val="F1FA8C"/>
    </w:rPr>
  </w:style>
  <w:style w:type="character" w:customStyle="1" w:styleId="hljs-con-variable-slc">
    <w:name w:val="hljs-con-variable-slc"/>
    <w:basedOn w:val="DefaultParagraphFont"/>
    <w:uiPriority w:val="1"/>
    <w:unhideWhenUsed/>
    <w:rsid w:val="00E3012D"/>
    <w:rPr>
      <w:b/>
      <w:bCs/>
      <w:color w:val="F1FA8C"/>
      <w:shd w:val="clear" w:color="auto" w:fill="44475A"/>
    </w:rPr>
  </w:style>
  <w:style w:type="character" w:customStyle="1" w:styleId="hljs-deletion">
    <w:name w:val="hljs-deletion"/>
    <w:basedOn w:val="DefaultParagraphFont"/>
    <w:uiPriority w:val="1"/>
    <w:unhideWhenUsed/>
    <w:rsid w:val="00E3012D"/>
    <w:rPr>
      <w:color w:val="E45649"/>
    </w:rPr>
  </w:style>
  <w:style w:type="character" w:customStyle="1" w:styleId="hljs-deletion-slc">
    <w:name w:val="hljs-deletion-slc"/>
    <w:basedOn w:val="hljs-deletion"/>
    <w:uiPriority w:val="1"/>
    <w:unhideWhenUsed/>
    <w:rsid w:val="00E3012D"/>
    <w:rPr>
      <w:b/>
      <w:bCs/>
      <w:color w:val="E45649"/>
      <w:sz w:val="20"/>
      <w:shd w:val="clear" w:color="auto" w:fill="D4D4D4"/>
    </w:rPr>
  </w:style>
  <w:style w:type="character" w:customStyle="1" w:styleId="hljs-doctag">
    <w:name w:val="hljs-doctag"/>
    <w:basedOn w:val="DefaultParagraphFont"/>
    <w:uiPriority w:val="1"/>
    <w:unhideWhenUsed/>
    <w:rsid w:val="00E3012D"/>
    <w:rPr>
      <w:color w:val="A626A4"/>
    </w:rPr>
  </w:style>
  <w:style w:type="character" w:customStyle="1" w:styleId="hljs-doctag-slc">
    <w:name w:val="hljs-doctag-slc"/>
    <w:basedOn w:val="hljs-doctag"/>
    <w:uiPriority w:val="1"/>
    <w:unhideWhenUsed/>
    <w:rsid w:val="00E3012D"/>
    <w:rPr>
      <w:b/>
      <w:bCs/>
      <w:color w:val="A626A4"/>
      <w:sz w:val="20"/>
      <w:shd w:val="clear" w:color="auto" w:fill="D4D4D4"/>
    </w:rPr>
  </w:style>
  <w:style w:type="character" w:customStyle="1" w:styleId="hljs-emphasis">
    <w:name w:val="hljs-emphasis"/>
    <w:basedOn w:val="DefaultParagraphFont"/>
    <w:uiPriority w:val="1"/>
    <w:unhideWhenUsed/>
    <w:rsid w:val="00E3012D"/>
    <w:rPr>
      <w:i/>
      <w:iCs/>
    </w:rPr>
  </w:style>
  <w:style w:type="character" w:customStyle="1" w:styleId="hljs-emphasis-slc">
    <w:name w:val="hljs-emphasis-slc"/>
    <w:basedOn w:val="hljs-emphasis"/>
    <w:uiPriority w:val="1"/>
    <w:unhideWhenUsed/>
    <w:rsid w:val="00E3012D"/>
    <w:rPr>
      <w:b/>
      <w:bCs/>
      <w:i/>
      <w:iCs/>
      <w:sz w:val="20"/>
      <w:shd w:val="clear" w:color="auto" w:fill="D4D4D4"/>
    </w:rPr>
  </w:style>
  <w:style w:type="character" w:customStyle="1" w:styleId="hljs-formula">
    <w:name w:val="hljs-formula"/>
    <w:basedOn w:val="DefaultParagraphFont"/>
    <w:uiPriority w:val="1"/>
    <w:unhideWhenUsed/>
    <w:rsid w:val="00E3012D"/>
    <w:rPr>
      <w:color w:val="A626A4"/>
    </w:rPr>
  </w:style>
  <w:style w:type="character" w:customStyle="1" w:styleId="hljs-formula-slc">
    <w:name w:val="hljs-formula-slc"/>
    <w:basedOn w:val="hljs-formula"/>
    <w:uiPriority w:val="1"/>
    <w:unhideWhenUsed/>
    <w:rsid w:val="00E3012D"/>
    <w:rPr>
      <w:b/>
      <w:bCs/>
      <w:color w:val="A626A4"/>
      <w:sz w:val="20"/>
      <w:shd w:val="clear" w:color="auto" w:fill="D4D4D4"/>
    </w:rPr>
  </w:style>
  <w:style w:type="character" w:customStyle="1" w:styleId="hljs-function">
    <w:name w:val="hljs-function"/>
    <w:basedOn w:val="DefaultParagraphFont"/>
    <w:uiPriority w:val="1"/>
    <w:unhideWhenUsed/>
    <w:rsid w:val="00E3012D"/>
  </w:style>
  <w:style w:type="character" w:customStyle="1" w:styleId="hljs-function-slc">
    <w:name w:val="hljs-function-slc"/>
    <w:basedOn w:val="hljs-function"/>
    <w:uiPriority w:val="1"/>
    <w:unhideWhenUsed/>
    <w:rsid w:val="00E3012D"/>
    <w:rPr>
      <w:b/>
      <w:bCs/>
      <w:sz w:val="20"/>
      <w:shd w:val="clear" w:color="auto" w:fill="D4D4D4"/>
    </w:rPr>
  </w:style>
  <w:style w:type="character" w:customStyle="1" w:styleId="hljs-keyword">
    <w:name w:val="hljs-keyword"/>
    <w:basedOn w:val="DefaultParagraphFont"/>
    <w:uiPriority w:val="1"/>
    <w:unhideWhenUsed/>
    <w:rsid w:val="00E3012D"/>
    <w:rPr>
      <w:color w:val="A626A4"/>
    </w:rPr>
  </w:style>
  <w:style w:type="character" w:customStyle="1" w:styleId="hljs-keyword-slc">
    <w:name w:val="hljs-keyword-slc"/>
    <w:basedOn w:val="hljs-keyword"/>
    <w:uiPriority w:val="1"/>
    <w:unhideWhenUsed/>
    <w:rsid w:val="00E3012D"/>
    <w:rPr>
      <w:b/>
      <w:bCs/>
      <w:color w:val="A626A4"/>
      <w:sz w:val="20"/>
      <w:shd w:val="clear" w:color="auto" w:fill="D4D4D4"/>
    </w:rPr>
  </w:style>
  <w:style w:type="character" w:customStyle="1" w:styleId="hljs-link">
    <w:name w:val="hljs-link"/>
    <w:basedOn w:val="DefaultParagraphFont"/>
    <w:uiPriority w:val="1"/>
    <w:unhideWhenUsed/>
    <w:rsid w:val="00E3012D"/>
    <w:rPr>
      <w:color w:val="4078F2"/>
      <w:u w:val="single"/>
    </w:rPr>
  </w:style>
  <w:style w:type="character" w:customStyle="1" w:styleId="hljs-link-slc">
    <w:name w:val="hljs-link-slc"/>
    <w:basedOn w:val="hljs-link"/>
    <w:uiPriority w:val="1"/>
    <w:unhideWhenUsed/>
    <w:rsid w:val="00E3012D"/>
    <w:rPr>
      <w:b/>
      <w:bCs/>
      <w:color w:val="4078F2"/>
      <w:sz w:val="20"/>
      <w:u w:val="single"/>
      <w:shd w:val="clear" w:color="auto" w:fill="D4D4D4"/>
    </w:rPr>
  </w:style>
  <w:style w:type="character" w:customStyle="1" w:styleId="hljs-literal">
    <w:name w:val="hljs-literal"/>
    <w:basedOn w:val="DefaultParagraphFont"/>
    <w:uiPriority w:val="1"/>
    <w:unhideWhenUsed/>
    <w:rsid w:val="00E3012D"/>
    <w:rPr>
      <w:color w:val="0184BB"/>
    </w:rPr>
  </w:style>
  <w:style w:type="character" w:customStyle="1" w:styleId="hljs-literal-slc">
    <w:name w:val="hljs-literal-slc"/>
    <w:basedOn w:val="hljs-literal"/>
    <w:uiPriority w:val="1"/>
    <w:unhideWhenUsed/>
    <w:rsid w:val="00E3012D"/>
    <w:rPr>
      <w:b/>
      <w:bCs/>
      <w:color w:val="0184BB"/>
      <w:sz w:val="20"/>
      <w:shd w:val="clear" w:color="auto" w:fill="D4D4D4"/>
    </w:rPr>
  </w:style>
  <w:style w:type="character" w:customStyle="1" w:styleId="hljs-meta">
    <w:name w:val="hljs-meta"/>
    <w:basedOn w:val="DefaultParagraphFont"/>
    <w:uiPriority w:val="1"/>
    <w:unhideWhenUsed/>
    <w:rsid w:val="00E3012D"/>
    <w:rPr>
      <w:color w:val="4078F2"/>
    </w:rPr>
  </w:style>
  <w:style w:type="character" w:customStyle="1" w:styleId="hljs-meta-keyword">
    <w:name w:val="hljs-meta-keyword"/>
    <w:basedOn w:val="DefaultParagraphFont"/>
    <w:uiPriority w:val="1"/>
    <w:unhideWhenUsed/>
    <w:rsid w:val="00E3012D"/>
  </w:style>
  <w:style w:type="character" w:customStyle="1" w:styleId="hljs-meta-keyword-slc">
    <w:name w:val="hljs-meta-keyword-slc"/>
    <w:basedOn w:val="hljs-meta-keyword"/>
    <w:uiPriority w:val="1"/>
    <w:unhideWhenUsed/>
    <w:rsid w:val="00E3012D"/>
    <w:rPr>
      <w:b/>
      <w:bCs/>
      <w:sz w:val="20"/>
      <w:shd w:val="clear" w:color="auto" w:fill="D4D4D4"/>
    </w:rPr>
  </w:style>
  <w:style w:type="character" w:customStyle="1" w:styleId="hljs-meta-slc">
    <w:name w:val="hljs-meta-slc"/>
    <w:basedOn w:val="hljs-meta"/>
    <w:uiPriority w:val="1"/>
    <w:unhideWhenUsed/>
    <w:rsid w:val="00E3012D"/>
    <w:rPr>
      <w:b/>
      <w:bCs/>
      <w:color w:val="4078F2"/>
      <w:sz w:val="20"/>
      <w:shd w:val="clear" w:color="auto" w:fill="D4D4D4"/>
    </w:rPr>
  </w:style>
  <w:style w:type="character" w:customStyle="1" w:styleId="hljs-meta-string">
    <w:name w:val="hljs-meta-string"/>
    <w:basedOn w:val="DefaultParagraphFont"/>
    <w:uiPriority w:val="1"/>
    <w:unhideWhenUsed/>
    <w:rsid w:val="00E3012D"/>
    <w:rPr>
      <w:color w:val="50A14F"/>
    </w:rPr>
  </w:style>
  <w:style w:type="character" w:customStyle="1" w:styleId="hljs-meta-string-slc">
    <w:name w:val="hljs-meta-string-slc"/>
    <w:basedOn w:val="hljs-meta-string"/>
    <w:uiPriority w:val="1"/>
    <w:unhideWhenUsed/>
    <w:rsid w:val="00E3012D"/>
    <w:rPr>
      <w:b/>
      <w:bCs/>
      <w:color w:val="50A14F"/>
      <w:sz w:val="20"/>
      <w:shd w:val="clear" w:color="auto" w:fill="D4D4D4"/>
    </w:rPr>
  </w:style>
  <w:style w:type="character" w:customStyle="1" w:styleId="hljs-module">
    <w:name w:val="hljs-module"/>
    <w:basedOn w:val="DefaultParagraphFont"/>
    <w:uiPriority w:val="1"/>
    <w:unhideWhenUsed/>
    <w:rsid w:val="00E3012D"/>
  </w:style>
  <w:style w:type="character" w:customStyle="1" w:styleId="hljs-module-access">
    <w:name w:val="hljs-module-access"/>
    <w:basedOn w:val="DefaultParagraphFont"/>
    <w:uiPriority w:val="1"/>
    <w:unhideWhenUsed/>
    <w:rsid w:val="00E3012D"/>
  </w:style>
  <w:style w:type="character" w:customStyle="1" w:styleId="hljs-module-access-slc">
    <w:name w:val="hljs-module-access-slc"/>
    <w:basedOn w:val="hljs-module-access"/>
    <w:uiPriority w:val="1"/>
    <w:unhideWhenUsed/>
    <w:rsid w:val="00E3012D"/>
    <w:rPr>
      <w:b/>
      <w:bCs/>
      <w:sz w:val="20"/>
      <w:shd w:val="clear" w:color="auto" w:fill="D4D4D4"/>
    </w:rPr>
  </w:style>
  <w:style w:type="character" w:customStyle="1" w:styleId="hljs-module-slc">
    <w:name w:val="hljs-module-slc"/>
    <w:basedOn w:val="hljs-module"/>
    <w:uiPriority w:val="1"/>
    <w:unhideWhenUsed/>
    <w:rsid w:val="00E3012D"/>
    <w:rPr>
      <w:b/>
      <w:bCs/>
      <w:sz w:val="20"/>
      <w:shd w:val="clear" w:color="auto" w:fill="D4D4D4"/>
    </w:rPr>
  </w:style>
  <w:style w:type="character" w:customStyle="1" w:styleId="hljs-name">
    <w:name w:val="hljs-name"/>
    <w:basedOn w:val="DefaultParagraphFont"/>
    <w:uiPriority w:val="1"/>
    <w:unhideWhenUsed/>
    <w:rsid w:val="00E3012D"/>
    <w:rPr>
      <w:color w:val="E45649"/>
    </w:rPr>
  </w:style>
  <w:style w:type="character" w:customStyle="1" w:styleId="hljs-name-slc">
    <w:name w:val="hljs-name-slc"/>
    <w:basedOn w:val="hljs-name"/>
    <w:uiPriority w:val="1"/>
    <w:unhideWhenUsed/>
    <w:rsid w:val="00E3012D"/>
    <w:rPr>
      <w:b/>
      <w:bCs/>
      <w:color w:val="E45649"/>
      <w:sz w:val="20"/>
      <w:shd w:val="clear" w:color="auto" w:fill="D4D4D4"/>
    </w:rPr>
  </w:style>
  <w:style w:type="character" w:customStyle="1" w:styleId="hljs-number">
    <w:name w:val="hljs-number"/>
    <w:basedOn w:val="DefaultParagraphFont"/>
    <w:unhideWhenUsed/>
    <w:rsid w:val="00E3012D"/>
    <w:rPr>
      <w:color w:val="986801"/>
    </w:rPr>
  </w:style>
  <w:style w:type="character" w:customStyle="1" w:styleId="hljs-number-slc">
    <w:name w:val="hljs-number-slc"/>
    <w:basedOn w:val="hljs-number"/>
    <w:uiPriority w:val="1"/>
    <w:unhideWhenUsed/>
    <w:rsid w:val="00E3012D"/>
    <w:rPr>
      <w:b/>
      <w:bCs/>
      <w:color w:val="986801"/>
      <w:sz w:val="20"/>
      <w:shd w:val="clear" w:color="auto" w:fill="D4D4D4"/>
    </w:rPr>
  </w:style>
  <w:style w:type="character" w:customStyle="1" w:styleId="hljs-operator">
    <w:name w:val="hljs-operator"/>
    <w:basedOn w:val="DefaultParagraphFont"/>
    <w:unhideWhenUsed/>
    <w:rsid w:val="00E3012D"/>
  </w:style>
  <w:style w:type="character" w:customStyle="1" w:styleId="hljs-operator-slc">
    <w:name w:val="hljs-operator-slc"/>
    <w:basedOn w:val="hljs-operator"/>
    <w:uiPriority w:val="1"/>
    <w:unhideWhenUsed/>
    <w:rsid w:val="00E3012D"/>
    <w:rPr>
      <w:b/>
      <w:bCs/>
      <w:sz w:val="20"/>
      <w:shd w:val="clear" w:color="auto" w:fill="D4D4D4"/>
    </w:rPr>
  </w:style>
  <w:style w:type="character" w:customStyle="1" w:styleId="hljs-params">
    <w:name w:val="hljs-params"/>
    <w:basedOn w:val="DefaultParagraphFont"/>
    <w:uiPriority w:val="1"/>
    <w:unhideWhenUsed/>
    <w:rsid w:val="00E3012D"/>
  </w:style>
  <w:style w:type="character" w:customStyle="1" w:styleId="hljs-params-slc">
    <w:name w:val="hljs-params-slc"/>
    <w:basedOn w:val="hljs-params"/>
    <w:uiPriority w:val="1"/>
    <w:unhideWhenUsed/>
    <w:rsid w:val="00E3012D"/>
    <w:rPr>
      <w:b/>
      <w:bCs/>
      <w:sz w:val="20"/>
      <w:shd w:val="clear" w:color="auto" w:fill="D4D4D4"/>
    </w:rPr>
  </w:style>
  <w:style w:type="character" w:customStyle="1" w:styleId="hljs-pattern-match">
    <w:name w:val="hljs-pattern-match"/>
    <w:basedOn w:val="DefaultParagraphFont"/>
    <w:uiPriority w:val="1"/>
    <w:unhideWhenUsed/>
    <w:rsid w:val="00E3012D"/>
  </w:style>
  <w:style w:type="character" w:customStyle="1" w:styleId="hljs-pattern-match-slc">
    <w:name w:val="hljs-pattern-match-slc"/>
    <w:basedOn w:val="hljs-pattern-match"/>
    <w:uiPriority w:val="1"/>
    <w:unhideWhenUsed/>
    <w:rsid w:val="00E3012D"/>
    <w:rPr>
      <w:b/>
      <w:bCs/>
      <w:sz w:val="20"/>
      <w:shd w:val="clear" w:color="auto" w:fill="D4D4D4"/>
    </w:rPr>
  </w:style>
  <w:style w:type="character" w:customStyle="1" w:styleId="hljs-quote">
    <w:name w:val="hljs-quote"/>
    <w:basedOn w:val="DefaultParagraphFont"/>
    <w:uiPriority w:val="1"/>
    <w:unhideWhenUsed/>
    <w:rsid w:val="00E3012D"/>
    <w:rPr>
      <w:i/>
      <w:iCs/>
      <w:color w:val="A0A1A7"/>
    </w:rPr>
  </w:style>
  <w:style w:type="character" w:customStyle="1" w:styleId="hljs-quote-slc">
    <w:name w:val="hljs-quote-slc"/>
    <w:basedOn w:val="hljs-quote"/>
    <w:uiPriority w:val="1"/>
    <w:unhideWhenUsed/>
    <w:rsid w:val="00E3012D"/>
    <w:rPr>
      <w:b/>
      <w:bCs/>
      <w:i/>
      <w:iCs/>
      <w:color w:val="A0A1A7"/>
      <w:sz w:val="20"/>
      <w:shd w:val="clear" w:color="auto" w:fill="D4D4D4"/>
    </w:rPr>
  </w:style>
  <w:style w:type="character" w:customStyle="1" w:styleId="hljs-regexp">
    <w:name w:val="hljs-regexp"/>
    <w:basedOn w:val="DefaultParagraphFont"/>
    <w:uiPriority w:val="1"/>
    <w:unhideWhenUsed/>
    <w:rsid w:val="00E3012D"/>
    <w:rPr>
      <w:color w:val="50A14F"/>
    </w:rPr>
  </w:style>
  <w:style w:type="character" w:customStyle="1" w:styleId="hljs-regexp-slc">
    <w:name w:val="hljs-regexp-slc"/>
    <w:basedOn w:val="hljs-regexp"/>
    <w:uiPriority w:val="1"/>
    <w:unhideWhenUsed/>
    <w:rsid w:val="00E3012D"/>
    <w:rPr>
      <w:b/>
      <w:bCs/>
      <w:color w:val="50A14F"/>
      <w:sz w:val="20"/>
      <w:shd w:val="clear" w:color="auto" w:fill="D4D4D4"/>
    </w:rPr>
  </w:style>
  <w:style w:type="character" w:customStyle="1" w:styleId="hljs-section">
    <w:name w:val="hljs-section"/>
    <w:basedOn w:val="DefaultParagraphFont"/>
    <w:uiPriority w:val="1"/>
    <w:unhideWhenUsed/>
    <w:rsid w:val="00E3012D"/>
    <w:rPr>
      <w:color w:val="E45649"/>
    </w:rPr>
  </w:style>
  <w:style w:type="character" w:customStyle="1" w:styleId="hljs-section-slc">
    <w:name w:val="hljs-section-slc"/>
    <w:basedOn w:val="hljs-section"/>
    <w:uiPriority w:val="1"/>
    <w:unhideWhenUsed/>
    <w:rsid w:val="00E3012D"/>
    <w:rPr>
      <w:b/>
      <w:bCs/>
      <w:color w:val="E45649"/>
      <w:sz w:val="20"/>
      <w:shd w:val="clear" w:color="auto" w:fill="D4D4D4"/>
    </w:rPr>
  </w:style>
  <w:style w:type="character" w:customStyle="1" w:styleId="hljs-selector-attr">
    <w:name w:val="hljs-selector-attr"/>
    <w:basedOn w:val="DefaultParagraphFont"/>
    <w:uiPriority w:val="1"/>
    <w:unhideWhenUsed/>
    <w:rsid w:val="00E3012D"/>
    <w:rPr>
      <w:color w:val="986801"/>
    </w:rPr>
  </w:style>
  <w:style w:type="character" w:customStyle="1" w:styleId="hljs-selector-attr-slc">
    <w:name w:val="hljs-selector-attr-slc"/>
    <w:basedOn w:val="hljs-selector-attr"/>
    <w:uiPriority w:val="1"/>
    <w:unhideWhenUsed/>
    <w:rsid w:val="00E3012D"/>
    <w:rPr>
      <w:b/>
      <w:bCs/>
      <w:color w:val="986801"/>
      <w:sz w:val="20"/>
      <w:shd w:val="clear" w:color="auto" w:fill="D4D4D4"/>
    </w:rPr>
  </w:style>
  <w:style w:type="character" w:customStyle="1" w:styleId="hljs-selector-class">
    <w:name w:val="hljs-selector-class"/>
    <w:basedOn w:val="DefaultParagraphFont"/>
    <w:uiPriority w:val="1"/>
    <w:unhideWhenUsed/>
    <w:rsid w:val="00E3012D"/>
    <w:rPr>
      <w:color w:val="986801"/>
    </w:rPr>
  </w:style>
  <w:style w:type="character" w:customStyle="1" w:styleId="hljs-selector-class-slc">
    <w:name w:val="hljs-selector-class-slc"/>
    <w:basedOn w:val="hljs-selector-class"/>
    <w:uiPriority w:val="1"/>
    <w:unhideWhenUsed/>
    <w:rsid w:val="00E3012D"/>
    <w:rPr>
      <w:b/>
      <w:bCs/>
      <w:color w:val="986801"/>
      <w:sz w:val="20"/>
      <w:shd w:val="clear" w:color="auto" w:fill="D4D4D4"/>
    </w:rPr>
  </w:style>
  <w:style w:type="character" w:customStyle="1" w:styleId="hljs-selector-id">
    <w:name w:val="hljs-selector-id"/>
    <w:basedOn w:val="DefaultParagraphFont"/>
    <w:uiPriority w:val="1"/>
    <w:unhideWhenUsed/>
    <w:rsid w:val="00E3012D"/>
    <w:rPr>
      <w:color w:val="4078F2"/>
    </w:rPr>
  </w:style>
  <w:style w:type="character" w:customStyle="1" w:styleId="hljs-selector-id-slc">
    <w:name w:val="hljs-selector-id-slc"/>
    <w:basedOn w:val="hljs-selector-id"/>
    <w:uiPriority w:val="1"/>
    <w:unhideWhenUsed/>
    <w:rsid w:val="00E3012D"/>
    <w:rPr>
      <w:b/>
      <w:bCs/>
      <w:color w:val="4078F2"/>
      <w:sz w:val="20"/>
      <w:shd w:val="clear" w:color="auto" w:fill="D4D4D4"/>
    </w:rPr>
  </w:style>
  <w:style w:type="character" w:customStyle="1" w:styleId="hljs-selector-pseudo">
    <w:name w:val="hljs-selector-pseudo"/>
    <w:basedOn w:val="DefaultParagraphFont"/>
    <w:uiPriority w:val="1"/>
    <w:unhideWhenUsed/>
    <w:rsid w:val="00E3012D"/>
    <w:rPr>
      <w:color w:val="986801"/>
    </w:rPr>
  </w:style>
  <w:style w:type="character" w:customStyle="1" w:styleId="hljs-selector-pseudo-slc">
    <w:name w:val="hljs-selector-pseudo-slc"/>
    <w:basedOn w:val="hljs-selector-pseudo"/>
    <w:uiPriority w:val="1"/>
    <w:unhideWhenUsed/>
    <w:rsid w:val="00E3012D"/>
    <w:rPr>
      <w:b/>
      <w:bCs/>
      <w:color w:val="986801"/>
      <w:sz w:val="20"/>
      <w:shd w:val="clear" w:color="auto" w:fill="D4D4D4"/>
    </w:rPr>
  </w:style>
  <w:style w:type="character" w:customStyle="1" w:styleId="hljs-selector-tag">
    <w:name w:val="hljs-selector-tag"/>
    <w:basedOn w:val="DefaultParagraphFont"/>
    <w:uiPriority w:val="1"/>
    <w:unhideWhenUsed/>
    <w:rsid w:val="00E3012D"/>
    <w:rPr>
      <w:color w:val="E45649"/>
    </w:rPr>
  </w:style>
  <w:style w:type="character" w:customStyle="1" w:styleId="hljs-selector-tag-slc">
    <w:name w:val="hljs-selector-tag-slc"/>
    <w:basedOn w:val="hljs-selector-tag"/>
    <w:uiPriority w:val="1"/>
    <w:unhideWhenUsed/>
    <w:rsid w:val="00E3012D"/>
    <w:rPr>
      <w:b/>
      <w:bCs/>
      <w:color w:val="E45649"/>
      <w:sz w:val="20"/>
      <w:shd w:val="clear" w:color="auto" w:fill="D4D4D4"/>
    </w:rPr>
  </w:style>
  <w:style w:type="character" w:customStyle="1" w:styleId="hljs-slc">
    <w:name w:val="hljs-slc"/>
    <w:basedOn w:val="DefaultParagraphFont"/>
    <w:uiPriority w:val="1"/>
    <w:unhideWhenUsed/>
    <w:rsid w:val="00E3012D"/>
    <w:rPr>
      <w:b/>
      <w:bCs/>
      <w:shd w:val="clear" w:color="auto" w:fill="D4D4D4"/>
      <w:lang w:val="en-IN"/>
    </w:rPr>
  </w:style>
  <w:style w:type="character" w:customStyle="1" w:styleId="hljs-string">
    <w:name w:val="hljs-string"/>
    <w:basedOn w:val="DefaultParagraphFont"/>
    <w:uiPriority w:val="1"/>
    <w:unhideWhenUsed/>
    <w:rsid w:val="00E3012D"/>
    <w:rPr>
      <w:color w:val="50A14F"/>
    </w:rPr>
  </w:style>
  <w:style w:type="character" w:customStyle="1" w:styleId="hljs-string-slc">
    <w:name w:val="hljs-string-slc"/>
    <w:basedOn w:val="hljs-string"/>
    <w:uiPriority w:val="1"/>
    <w:unhideWhenUsed/>
    <w:rsid w:val="00E3012D"/>
    <w:rPr>
      <w:b/>
      <w:bCs/>
      <w:color w:val="50A14F"/>
      <w:sz w:val="20"/>
      <w:shd w:val="clear" w:color="auto" w:fill="D4D4D4"/>
    </w:rPr>
  </w:style>
  <w:style w:type="character" w:customStyle="1" w:styleId="hljs-strong">
    <w:name w:val="hljs-strong"/>
    <w:basedOn w:val="DefaultParagraphFont"/>
    <w:uiPriority w:val="1"/>
    <w:unhideWhenUsed/>
    <w:rsid w:val="00E3012D"/>
    <w:rPr>
      <w:b/>
      <w:bCs/>
    </w:rPr>
  </w:style>
  <w:style w:type="character" w:customStyle="1" w:styleId="hljs-strong-slc">
    <w:name w:val="hljs-strong-slc"/>
    <w:basedOn w:val="hljs-strong"/>
    <w:uiPriority w:val="1"/>
    <w:unhideWhenUsed/>
    <w:rsid w:val="00E3012D"/>
    <w:rPr>
      <w:b/>
      <w:bCs/>
      <w:sz w:val="20"/>
      <w:shd w:val="clear" w:color="auto" w:fill="D4D4D4"/>
    </w:rPr>
  </w:style>
  <w:style w:type="character" w:customStyle="1" w:styleId="hljs-subst">
    <w:name w:val="hljs-subst"/>
    <w:basedOn w:val="DefaultParagraphFont"/>
    <w:uiPriority w:val="1"/>
    <w:unhideWhenUsed/>
    <w:rsid w:val="00E3012D"/>
    <w:rPr>
      <w:color w:val="E45649"/>
    </w:rPr>
  </w:style>
  <w:style w:type="character" w:customStyle="1" w:styleId="hljs-subst-slc">
    <w:name w:val="hljs-subst-slc"/>
    <w:basedOn w:val="hljs-subst"/>
    <w:uiPriority w:val="1"/>
    <w:unhideWhenUsed/>
    <w:rsid w:val="00E3012D"/>
    <w:rPr>
      <w:b/>
      <w:bCs/>
      <w:color w:val="E45649"/>
      <w:sz w:val="20"/>
      <w:shd w:val="clear" w:color="auto" w:fill="D4D4D4"/>
    </w:rPr>
  </w:style>
  <w:style w:type="character" w:customStyle="1" w:styleId="hljs-symbol">
    <w:name w:val="hljs-symbol"/>
    <w:basedOn w:val="DefaultParagraphFont"/>
    <w:uiPriority w:val="1"/>
    <w:unhideWhenUsed/>
    <w:rsid w:val="00E3012D"/>
    <w:rPr>
      <w:color w:val="4078F2"/>
    </w:rPr>
  </w:style>
  <w:style w:type="character" w:customStyle="1" w:styleId="hljs-symbol-slc">
    <w:name w:val="hljs-symbol-slc"/>
    <w:basedOn w:val="hljs-symbol"/>
    <w:uiPriority w:val="1"/>
    <w:unhideWhenUsed/>
    <w:rsid w:val="00E3012D"/>
    <w:rPr>
      <w:b/>
      <w:bCs/>
      <w:color w:val="4078F2"/>
      <w:sz w:val="20"/>
      <w:shd w:val="clear" w:color="auto" w:fill="D4D4D4"/>
    </w:rPr>
  </w:style>
  <w:style w:type="character" w:customStyle="1" w:styleId="hljs-tag">
    <w:name w:val="hljs-tag"/>
    <w:basedOn w:val="DefaultParagraphFont"/>
    <w:uiPriority w:val="1"/>
    <w:unhideWhenUsed/>
    <w:rsid w:val="00E3012D"/>
  </w:style>
  <w:style w:type="character" w:customStyle="1" w:styleId="hljs-tag-slc">
    <w:name w:val="hljs-tag-slc"/>
    <w:basedOn w:val="hljs-tag"/>
    <w:uiPriority w:val="1"/>
    <w:unhideWhenUsed/>
    <w:rsid w:val="00E3012D"/>
    <w:rPr>
      <w:b/>
      <w:bCs/>
      <w:sz w:val="20"/>
      <w:shd w:val="clear" w:color="auto" w:fill="D4D4D4"/>
    </w:rPr>
  </w:style>
  <w:style w:type="character" w:customStyle="1" w:styleId="hljs-template-tag">
    <w:name w:val="hljs-template-tag"/>
    <w:basedOn w:val="DefaultParagraphFont"/>
    <w:uiPriority w:val="1"/>
    <w:unhideWhenUsed/>
    <w:rsid w:val="00E3012D"/>
  </w:style>
  <w:style w:type="character" w:customStyle="1" w:styleId="hljs-template-tag-slc">
    <w:name w:val="hljs-template-tag-slc"/>
    <w:basedOn w:val="hljs-template-tag"/>
    <w:uiPriority w:val="1"/>
    <w:unhideWhenUsed/>
    <w:rsid w:val="00E3012D"/>
    <w:rPr>
      <w:b/>
      <w:bCs/>
      <w:sz w:val="20"/>
      <w:shd w:val="clear" w:color="auto" w:fill="D4D4D4"/>
    </w:rPr>
  </w:style>
  <w:style w:type="character" w:customStyle="1" w:styleId="hljs-template-variable">
    <w:name w:val="hljs-template-variable"/>
    <w:basedOn w:val="DefaultParagraphFont"/>
    <w:uiPriority w:val="1"/>
    <w:unhideWhenUsed/>
    <w:rsid w:val="00E3012D"/>
    <w:rPr>
      <w:color w:val="986801"/>
    </w:rPr>
  </w:style>
  <w:style w:type="character" w:customStyle="1" w:styleId="hljs-template-variable-slc">
    <w:name w:val="hljs-template-variable-slc"/>
    <w:basedOn w:val="hljs-template-variable"/>
    <w:uiPriority w:val="1"/>
    <w:unhideWhenUsed/>
    <w:rsid w:val="00E3012D"/>
    <w:rPr>
      <w:b/>
      <w:bCs/>
      <w:color w:val="986801"/>
      <w:sz w:val="20"/>
      <w:shd w:val="clear" w:color="auto" w:fill="D4D4D4"/>
    </w:rPr>
  </w:style>
  <w:style w:type="character" w:customStyle="1" w:styleId="hljs-title">
    <w:name w:val="hljs-title"/>
    <w:basedOn w:val="DefaultParagraphFont"/>
    <w:uiPriority w:val="1"/>
    <w:unhideWhenUsed/>
    <w:rsid w:val="00E3012D"/>
    <w:rPr>
      <w:color w:val="4078F2"/>
    </w:rPr>
  </w:style>
  <w:style w:type="character" w:customStyle="1" w:styleId="hljs-title-slc">
    <w:name w:val="hljs-title-slc"/>
    <w:basedOn w:val="hljs-title"/>
    <w:uiPriority w:val="1"/>
    <w:unhideWhenUsed/>
    <w:rsid w:val="00E3012D"/>
    <w:rPr>
      <w:b/>
      <w:bCs/>
      <w:color w:val="4078F2"/>
      <w:sz w:val="20"/>
      <w:shd w:val="clear" w:color="auto" w:fill="D4D4D4"/>
    </w:rPr>
  </w:style>
  <w:style w:type="character" w:customStyle="1" w:styleId="hljs-type">
    <w:name w:val="hljs-type"/>
    <w:basedOn w:val="DefaultParagraphFont"/>
    <w:uiPriority w:val="1"/>
    <w:unhideWhenUsed/>
    <w:rsid w:val="00E3012D"/>
    <w:rPr>
      <w:color w:val="986801"/>
    </w:rPr>
  </w:style>
  <w:style w:type="character" w:customStyle="1" w:styleId="hljs-type-slc">
    <w:name w:val="hljs-type-slc"/>
    <w:basedOn w:val="hljs-type"/>
    <w:uiPriority w:val="1"/>
    <w:unhideWhenUsed/>
    <w:rsid w:val="00E3012D"/>
    <w:rPr>
      <w:b/>
      <w:bCs/>
      <w:color w:val="986801"/>
      <w:sz w:val="20"/>
      <w:shd w:val="clear" w:color="auto" w:fill="D4D4D4"/>
    </w:rPr>
  </w:style>
  <w:style w:type="character" w:customStyle="1" w:styleId="hljs-typing">
    <w:name w:val="hljs-typing"/>
    <w:basedOn w:val="DefaultParagraphFont"/>
    <w:uiPriority w:val="1"/>
    <w:unhideWhenUsed/>
    <w:rsid w:val="00E3012D"/>
  </w:style>
  <w:style w:type="character" w:customStyle="1" w:styleId="hljs-typing-slc">
    <w:name w:val="hljs-typing-slc"/>
    <w:basedOn w:val="hljs-typing"/>
    <w:uiPriority w:val="1"/>
    <w:unhideWhenUsed/>
    <w:rsid w:val="00E3012D"/>
    <w:rPr>
      <w:b/>
      <w:bCs/>
      <w:sz w:val="20"/>
      <w:shd w:val="clear" w:color="auto" w:fill="D4D4D4"/>
    </w:rPr>
  </w:style>
  <w:style w:type="character" w:customStyle="1" w:styleId="hljs-variable">
    <w:name w:val="hljs-variable"/>
    <w:basedOn w:val="DefaultParagraphFont"/>
    <w:unhideWhenUsed/>
    <w:rsid w:val="00E3012D"/>
    <w:rPr>
      <w:color w:val="986801"/>
    </w:rPr>
  </w:style>
  <w:style w:type="character" w:customStyle="1" w:styleId="hljs-variable-slc">
    <w:name w:val="hljs-variable-slc"/>
    <w:basedOn w:val="hljs-variable"/>
    <w:uiPriority w:val="1"/>
    <w:unhideWhenUsed/>
    <w:rsid w:val="00E3012D"/>
    <w:rPr>
      <w:b/>
      <w:bCs/>
      <w:color w:val="986801"/>
      <w:sz w:val="20"/>
      <w:shd w:val="clear" w:color="auto" w:fill="D4D4D4"/>
    </w:rPr>
  </w:style>
  <w:style w:type="paragraph" w:customStyle="1" w:styleId="HS-ChapterNumber">
    <w:name w:val="HS - ChapterNumber"/>
    <w:next w:val="Normal"/>
    <w:rsid w:val="00E3012D"/>
    <w:pPr>
      <w:spacing w:after="450"/>
    </w:pPr>
    <w:rPr>
      <w:rFonts w:ascii="Jost* Medium" w:eastAsia="Times New Roman" w:hAnsi="Jost* Medium" w:cs="Arial"/>
      <w:bCs/>
      <w:color w:val="000000"/>
      <w:kern w:val="32"/>
      <w:sz w:val="168"/>
      <w:szCs w:val="32"/>
      <w:lang w:val="en-GB"/>
    </w:rPr>
  </w:style>
  <w:style w:type="paragraph" w:customStyle="1" w:styleId="HS-ChapterTitle">
    <w:name w:val="HS - ChapterTitle"/>
    <w:next w:val="P0-Paragraph"/>
    <w:rsid w:val="00E3012D"/>
    <w:pPr>
      <w:spacing w:after="720"/>
    </w:pPr>
    <w:rPr>
      <w:rFonts w:ascii="Jost* Medium" w:eastAsia="Times New Roman" w:hAnsi="Jost* Medium" w:cs="Arial"/>
      <w:bCs/>
      <w:color w:val="000000"/>
      <w:kern w:val="32"/>
      <w:sz w:val="56"/>
      <w:szCs w:val="32"/>
      <w:lang w:val="en-GB"/>
    </w:rPr>
  </w:style>
  <w:style w:type="paragraph" w:customStyle="1" w:styleId="HS-Heading1">
    <w:name w:val="HS - Heading 1"/>
    <w:next w:val="P0-Paragraph"/>
    <w:link w:val="HS-Heading1Char"/>
    <w:qFormat/>
    <w:rsid w:val="00E3012D"/>
    <w:pPr>
      <w:keepNext/>
      <w:spacing w:before="90" w:after="50"/>
      <w:outlineLvl w:val="0"/>
    </w:pPr>
    <w:rPr>
      <w:rFonts w:ascii="Jost*" w:eastAsia="Times New Roman" w:hAnsi="Jost*" w:cs="Times New Roman"/>
      <w:b/>
      <w:sz w:val="32"/>
      <w:lang w:val="en-US"/>
    </w:rPr>
  </w:style>
  <w:style w:type="character" w:customStyle="1" w:styleId="HS-Heading1Char">
    <w:name w:val="HS - Heading 1 Char"/>
    <w:basedOn w:val="DefaultParagraphFont"/>
    <w:link w:val="HS-Heading1"/>
    <w:rsid w:val="00E3012D"/>
    <w:rPr>
      <w:rFonts w:ascii="Jost*" w:eastAsia="Times New Roman" w:hAnsi="Jost*" w:cs="Times New Roman"/>
      <w:b/>
      <w:sz w:val="32"/>
      <w:lang w:val="en-US"/>
    </w:rPr>
  </w:style>
  <w:style w:type="paragraph" w:customStyle="1" w:styleId="HS-Heading2">
    <w:name w:val="HS - Heading 2"/>
    <w:basedOn w:val="HS-Heading1"/>
    <w:next w:val="P0-Paragraph"/>
    <w:rsid w:val="00E3012D"/>
    <w:pPr>
      <w:outlineLvl w:val="1"/>
    </w:pPr>
    <w:rPr>
      <w:sz w:val="28"/>
    </w:rPr>
  </w:style>
  <w:style w:type="paragraph" w:customStyle="1" w:styleId="HS-Heading3">
    <w:name w:val="HS - Heading 3"/>
    <w:basedOn w:val="HS-Heading1"/>
    <w:next w:val="P0-Paragraph"/>
    <w:rsid w:val="00E3012D"/>
    <w:pPr>
      <w:spacing w:before="72"/>
      <w:outlineLvl w:val="2"/>
    </w:pPr>
    <w:rPr>
      <w:sz w:val="26"/>
    </w:rPr>
  </w:style>
  <w:style w:type="paragraph" w:customStyle="1" w:styleId="HS-Heading4">
    <w:name w:val="HS - Heading 4"/>
    <w:basedOn w:val="HS-Heading1"/>
    <w:next w:val="P0-Paragraph"/>
    <w:rsid w:val="00E3012D"/>
    <w:pPr>
      <w:spacing w:before="72"/>
      <w:outlineLvl w:val="3"/>
    </w:pPr>
    <w:rPr>
      <w:sz w:val="24"/>
    </w:rPr>
  </w:style>
  <w:style w:type="paragraph" w:customStyle="1" w:styleId="HS-Heading5">
    <w:name w:val="HS - Heading 5"/>
    <w:basedOn w:val="HS-Heading1"/>
    <w:next w:val="P0-Paragraph"/>
    <w:rsid w:val="00E3012D"/>
    <w:pPr>
      <w:spacing w:before="50"/>
      <w:outlineLvl w:val="4"/>
    </w:pPr>
    <w:rPr>
      <w:rFonts w:ascii="Jost* Semi" w:hAnsi="Jost* Semi"/>
      <w:b w:val="0"/>
      <w:sz w:val="24"/>
    </w:rPr>
  </w:style>
  <w:style w:type="paragraph" w:customStyle="1" w:styleId="HS-Heading6">
    <w:name w:val="HS - Heading 6"/>
    <w:basedOn w:val="HS-Heading1"/>
    <w:next w:val="P0-Paragraph"/>
    <w:rsid w:val="00E3012D"/>
    <w:pPr>
      <w:spacing w:before="50"/>
      <w:outlineLvl w:val="5"/>
    </w:pPr>
    <w:rPr>
      <w:rFonts w:ascii="Jost* Semi" w:hAnsi="Jost* Semi"/>
      <w:b w:val="0"/>
      <w:sz w:val="24"/>
    </w:rPr>
  </w:style>
  <w:style w:type="paragraph" w:customStyle="1" w:styleId="HS-MainHeading">
    <w:name w:val="HS - MainHeading"/>
    <w:basedOn w:val="HS-ChapterTitle"/>
    <w:rsid w:val="00E3012D"/>
    <w:pPr>
      <w:spacing w:before="900"/>
      <w:jc w:val="right"/>
    </w:pPr>
    <w:rPr>
      <w:rFonts w:ascii="Jost* Semi" w:hAnsi="Jost* Semi"/>
    </w:rPr>
  </w:style>
  <w:style w:type="paragraph" w:customStyle="1" w:styleId="HS-PartNumber">
    <w:name w:val="HS - PartNumber"/>
    <w:basedOn w:val="HS-ChapterTitle"/>
    <w:next w:val="Normal"/>
    <w:rsid w:val="00E3012D"/>
    <w:pPr>
      <w:tabs>
        <w:tab w:val="left" w:pos="0"/>
        <w:tab w:val="center" w:pos="3960"/>
        <w:tab w:val="right" w:pos="7920"/>
      </w:tabs>
      <w:jc w:val="center"/>
    </w:pPr>
    <w:rPr>
      <w:sz w:val="96"/>
      <w:szCs w:val="96"/>
      <w:lang w:val="en-US"/>
    </w:rPr>
  </w:style>
  <w:style w:type="paragraph" w:customStyle="1" w:styleId="HS-PartTitle">
    <w:name w:val="HS - PartTitle"/>
    <w:basedOn w:val="HS-PartNumber"/>
    <w:next w:val="P0-Paragraph"/>
    <w:rsid w:val="00E3012D"/>
    <w:rPr>
      <w:rFonts w:ascii="Jost*" w:hAnsi="Jost*"/>
      <w:sz w:val="72"/>
    </w:rPr>
  </w:style>
  <w:style w:type="paragraph" w:customStyle="1" w:styleId="I0-InfoBox">
    <w:name w:val="I0 - InfoBox"/>
    <w:basedOn w:val="P0-Paragraph"/>
    <w:link w:val="I0-InfoBoxChar"/>
    <w:qFormat/>
    <w:rsid w:val="00E3012D"/>
    <w:pPr>
      <w:pBdr>
        <w:top w:val="single" w:sz="4" w:space="6" w:color="auto"/>
        <w:left w:val="single" w:sz="4" w:space="4" w:color="auto"/>
        <w:bottom w:val="single" w:sz="4" w:space="9" w:color="auto"/>
        <w:right w:val="single" w:sz="4" w:space="4" w:color="auto"/>
      </w:pBdr>
      <w:shd w:val="clear" w:color="auto" w:fill="FFFFFF"/>
      <w:suppressAutoHyphens/>
      <w:spacing w:after="126"/>
    </w:pPr>
    <w:rPr>
      <w:sz w:val="20"/>
    </w:rPr>
  </w:style>
  <w:style w:type="character" w:customStyle="1" w:styleId="I0-InfoBoxChar">
    <w:name w:val="I0 - InfoBox Char"/>
    <w:link w:val="I0-InfoBox"/>
    <w:rsid w:val="00E3012D"/>
    <w:rPr>
      <w:rFonts w:ascii="Crimson Pro" w:eastAsia="Times New Roman" w:hAnsi="Crimson Pro" w:cs="Times New Roman"/>
      <w:sz w:val="20"/>
      <w:shd w:val="clear" w:color="auto" w:fill="FFFFFF"/>
      <w:lang w:val="en-US"/>
    </w:rPr>
  </w:style>
  <w:style w:type="paragraph" w:customStyle="1" w:styleId="I0-InfoBoxBullet">
    <w:name w:val="I0 - InfoBoxBullet"/>
    <w:basedOn w:val="I0-InfoBox"/>
    <w:qFormat/>
    <w:rsid w:val="00E3012D"/>
    <w:pPr>
      <w:numPr>
        <w:numId w:val="25"/>
      </w:numPr>
      <w:spacing w:after="0"/>
      <w:ind w:left="360"/>
      <w:contextualSpacing/>
    </w:pPr>
  </w:style>
  <w:style w:type="paragraph" w:customStyle="1" w:styleId="I0-InfoBoxFigure">
    <w:name w:val="I0 - InfoBoxFigure"/>
    <w:basedOn w:val="I0-InfoBox"/>
    <w:qFormat/>
    <w:rsid w:val="00E3012D"/>
    <w:pPr>
      <w:jc w:val="center"/>
    </w:pPr>
    <w:rPr>
      <w:sz w:val="16"/>
    </w:rPr>
  </w:style>
  <w:style w:type="paragraph" w:customStyle="1" w:styleId="I0-InfoBoxCaption">
    <w:name w:val="I0 - InfoBoxCaption"/>
    <w:basedOn w:val="I0-InfoBoxFigure"/>
    <w:rsid w:val="00E3012D"/>
  </w:style>
  <w:style w:type="paragraph" w:customStyle="1" w:styleId="I0-InfoBoxCenter">
    <w:name w:val="I0 - InfoBoxCenter"/>
    <w:basedOn w:val="I0-InfoBox"/>
    <w:rsid w:val="00E3012D"/>
    <w:pPr>
      <w:jc w:val="center"/>
    </w:pPr>
  </w:style>
  <w:style w:type="paragraph" w:customStyle="1" w:styleId="I0-InfoBoxCode">
    <w:name w:val="I0 - InfoBoxCode"/>
    <w:basedOn w:val="I0-InfoBox"/>
    <w:rsid w:val="00E3012D"/>
    <w:pPr>
      <w:shd w:val="clear" w:color="auto" w:fill="FAFAFA"/>
      <w:spacing w:after="60"/>
      <w:contextualSpacing/>
    </w:pPr>
    <w:rPr>
      <w:rFonts w:ascii="Consolas" w:hAnsi="Consolas"/>
      <w:color w:val="383A42"/>
      <w:sz w:val="18"/>
    </w:rPr>
  </w:style>
  <w:style w:type="paragraph" w:customStyle="1" w:styleId="I0-InfoBoxConsole">
    <w:name w:val="I0 - InfoBoxConsole"/>
    <w:basedOn w:val="I0-InfoBoxCode"/>
    <w:rsid w:val="00E3012D"/>
    <w:pPr>
      <w:shd w:val="clear" w:color="auto" w:fill="282A36"/>
    </w:pPr>
    <w:rPr>
      <w:color w:val="F8F8F2"/>
    </w:rPr>
  </w:style>
  <w:style w:type="paragraph" w:customStyle="1" w:styleId="I0-InfoBoxNumberedList">
    <w:name w:val="I0 - InfoBoxNumberedList"/>
    <w:basedOn w:val="I0-InfoBoxBullet"/>
    <w:rsid w:val="00E3012D"/>
    <w:pPr>
      <w:numPr>
        <w:numId w:val="15"/>
      </w:numPr>
      <w:ind w:left="360"/>
    </w:pPr>
  </w:style>
  <w:style w:type="paragraph" w:customStyle="1" w:styleId="L1-Bullet">
    <w:name w:val="L1 - Bullet"/>
    <w:basedOn w:val="P0-Paragraph"/>
    <w:autoRedefine/>
    <w:rsid w:val="00E3012D"/>
    <w:pPr>
      <w:numPr>
        <w:numId w:val="27"/>
      </w:numPr>
      <w:tabs>
        <w:tab w:val="left" w:pos="360"/>
      </w:tabs>
      <w:suppressAutoHyphens/>
      <w:spacing w:after="126"/>
      <w:ind w:left="990"/>
      <w:contextualSpacing/>
    </w:pPr>
  </w:style>
  <w:style w:type="paragraph" w:customStyle="1" w:styleId="L1-Alphabet">
    <w:name w:val="L1 - Alphabet"/>
    <w:basedOn w:val="L1-Bullet"/>
    <w:rsid w:val="00E3012D"/>
    <w:pPr>
      <w:numPr>
        <w:numId w:val="16"/>
      </w:numPr>
      <w:spacing w:after="2"/>
      <w:ind w:left="990"/>
    </w:pPr>
  </w:style>
  <w:style w:type="paragraph" w:customStyle="1" w:styleId="L1-Numbered">
    <w:name w:val="L1 - Numbered"/>
    <w:basedOn w:val="L1-Bullet"/>
    <w:rsid w:val="00E3012D"/>
    <w:pPr>
      <w:numPr>
        <w:numId w:val="17"/>
      </w:numPr>
      <w:ind w:left="990" w:hanging="360"/>
    </w:pPr>
  </w:style>
  <w:style w:type="paragraph" w:customStyle="1" w:styleId="L2-Bullet">
    <w:name w:val="L2 - Bullet"/>
    <w:basedOn w:val="L1-Bullet"/>
    <w:rsid w:val="00E3012D"/>
    <w:pPr>
      <w:ind w:left="1620"/>
    </w:pPr>
  </w:style>
  <w:style w:type="paragraph" w:customStyle="1" w:styleId="L2-Alphabet">
    <w:name w:val="L2 - Alphabet"/>
    <w:basedOn w:val="L2-Bullet"/>
    <w:qFormat/>
    <w:rsid w:val="00E3012D"/>
    <w:pPr>
      <w:numPr>
        <w:numId w:val="19"/>
      </w:numPr>
      <w:ind w:left="1620"/>
    </w:pPr>
    <w:rPr>
      <w:bCs/>
    </w:rPr>
  </w:style>
  <w:style w:type="paragraph" w:customStyle="1" w:styleId="L2-Numbered">
    <w:name w:val="L2 - Numbered"/>
    <w:basedOn w:val="L2-Bullet"/>
    <w:rsid w:val="00E3012D"/>
    <w:pPr>
      <w:numPr>
        <w:numId w:val="20"/>
      </w:numPr>
      <w:ind w:left="1620"/>
    </w:pPr>
  </w:style>
  <w:style w:type="paragraph" w:customStyle="1" w:styleId="L3-Bullet">
    <w:name w:val="L3 - Bullet"/>
    <w:basedOn w:val="L2-Bullet"/>
    <w:rsid w:val="00E3012D"/>
    <w:pPr>
      <w:ind w:left="2250"/>
    </w:pPr>
  </w:style>
  <w:style w:type="paragraph" w:customStyle="1" w:styleId="L3-Alphabet">
    <w:name w:val="L3 - Alphabet"/>
    <w:basedOn w:val="L3-Bullet"/>
    <w:rsid w:val="00E3012D"/>
    <w:pPr>
      <w:numPr>
        <w:numId w:val="22"/>
      </w:numPr>
      <w:ind w:left="2250"/>
    </w:pPr>
  </w:style>
  <w:style w:type="paragraph" w:customStyle="1" w:styleId="L3-Numbered">
    <w:name w:val="L3 - Numbered"/>
    <w:basedOn w:val="L3-Bullet"/>
    <w:rsid w:val="00E3012D"/>
    <w:pPr>
      <w:numPr>
        <w:numId w:val="23"/>
      </w:numPr>
      <w:ind w:left="2250"/>
    </w:pPr>
  </w:style>
  <w:style w:type="paragraph" w:customStyle="1" w:styleId="P0-ParagraphCenter">
    <w:name w:val="P0 - ParagraphCenter"/>
    <w:basedOn w:val="P0-Paragraph"/>
    <w:rsid w:val="00E3012D"/>
    <w:pPr>
      <w:jc w:val="center"/>
    </w:pPr>
  </w:style>
  <w:style w:type="paragraph" w:customStyle="1" w:styleId="P1-Paragraph">
    <w:name w:val="P1 - Paragraph"/>
    <w:basedOn w:val="L1-Bullet"/>
    <w:rsid w:val="00E3012D"/>
    <w:pPr>
      <w:numPr>
        <w:numId w:val="0"/>
      </w:numPr>
      <w:tabs>
        <w:tab w:val="left" w:pos="720"/>
      </w:tabs>
      <w:autoSpaceDE w:val="0"/>
      <w:autoSpaceDN w:val="0"/>
      <w:adjustRightInd w:val="0"/>
      <w:spacing w:after="120"/>
      <w:ind w:left="629"/>
      <w:contextualSpacing w:val="0"/>
      <w:textAlignment w:val="center"/>
    </w:pPr>
    <w:rPr>
      <w:rFonts w:cs="Book Antiqua"/>
      <w:color w:val="000000"/>
      <w:szCs w:val="21"/>
    </w:rPr>
  </w:style>
  <w:style w:type="paragraph" w:customStyle="1" w:styleId="P1-ParagraphCenter">
    <w:name w:val="P1 - ParagraphCenter"/>
    <w:basedOn w:val="P1-Paragraph"/>
    <w:rsid w:val="00E3012D"/>
    <w:pPr>
      <w:ind w:left="634"/>
      <w:jc w:val="center"/>
    </w:pPr>
  </w:style>
  <w:style w:type="paragraph" w:customStyle="1" w:styleId="P2-Paragraph">
    <w:name w:val="P2 - Paragraph"/>
    <w:basedOn w:val="P1-Paragraph"/>
    <w:rsid w:val="00E3012D"/>
    <w:pPr>
      <w:ind w:left="1260"/>
    </w:pPr>
  </w:style>
  <w:style w:type="paragraph" w:customStyle="1" w:styleId="P2-ParagraphCenter">
    <w:name w:val="P2 - ParagraphCenter"/>
    <w:basedOn w:val="P2-Paragraph"/>
    <w:rsid w:val="00E3012D"/>
    <w:pPr>
      <w:ind w:left="1267"/>
      <w:jc w:val="center"/>
    </w:pPr>
  </w:style>
  <w:style w:type="paragraph" w:customStyle="1" w:styleId="QS-Quote">
    <w:name w:val="QS - Quote"/>
    <w:basedOn w:val="P0-Paragraph"/>
    <w:rsid w:val="00E3012D"/>
    <w:pPr>
      <w:shd w:val="clear" w:color="auto" w:fill="FFFF00"/>
      <w:spacing w:after="126"/>
      <w:ind w:left="540"/>
    </w:pPr>
    <w:rPr>
      <w:i/>
      <w:sz w:val="22"/>
    </w:rPr>
  </w:style>
  <w:style w:type="paragraph" w:customStyle="1" w:styleId="QS-Cite">
    <w:name w:val="QS - Cite"/>
    <w:basedOn w:val="QS-Quote"/>
    <w:next w:val="P0-Paragraph"/>
    <w:rsid w:val="00E3012D"/>
    <w:pPr>
      <w:ind w:left="547"/>
      <w:jc w:val="right"/>
    </w:pPr>
  </w:style>
  <w:style w:type="paragraph" w:customStyle="1" w:styleId="T0-TipBox">
    <w:name w:val="T0 - TipBox"/>
    <w:basedOn w:val="I0-InfoBox"/>
    <w:qFormat/>
    <w:rsid w:val="00E3012D"/>
    <w:pPr>
      <w:pBdr>
        <w:top w:val="double" w:sz="4" w:space="6" w:color="auto"/>
        <w:left w:val="none" w:sz="0" w:space="0" w:color="auto"/>
        <w:bottom w:val="double" w:sz="4" w:space="9" w:color="auto"/>
        <w:right w:val="none" w:sz="0" w:space="0" w:color="auto"/>
      </w:pBdr>
      <w:shd w:val="clear" w:color="auto" w:fill="auto"/>
    </w:pPr>
  </w:style>
  <w:style w:type="paragraph" w:customStyle="1" w:styleId="T0-TipBoxBullet">
    <w:name w:val="T0 - TipBoxBullet"/>
    <w:basedOn w:val="I0-InfoBoxBullet"/>
    <w:qFormat/>
    <w:rsid w:val="00E3012D"/>
    <w:pPr>
      <w:pBdr>
        <w:top w:val="double" w:sz="4" w:space="6" w:color="auto"/>
        <w:left w:val="none" w:sz="0" w:space="0" w:color="auto"/>
        <w:bottom w:val="double" w:sz="4" w:space="9" w:color="auto"/>
        <w:right w:val="none" w:sz="0" w:space="0" w:color="auto"/>
      </w:pBdr>
    </w:pPr>
  </w:style>
  <w:style w:type="paragraph" w:customStyle="1" w:styleId="T0-TipBoxFigure">
    <w:name w:val="T0 - TipBoxFigure"/>
    <w:basedOn w:val="I0-InfoBoxFigure"/>
    <w:next w:val="Normal"/>
    <w:qFormat/>
    <w:rsid w:val="00E3012D"/>
    <w:pPr>
      <w:pBdr>
        <w:top w:val="double" w:sz="4" w:space="6" w:color="auto"/>
        <w:left w:val="none" w:sz="0" w:space="0" w:color="auto"/>
        <w:bottom w:val="double" w:sz="4" w:space="9" w:color="auto"/>
        <w:right w:val="none" w:sz="0" w:space="0" w:color="auto"/>
      </w:pBdr>
    </w:pPr>
  </w:style>
  <w:style w:type="paragraph" w:customStyle="1" w:styleId="T0-TipBoxCaption">
    <w:name w:val="T0 - TipBoxCaption"/>
    <w:basedOn w:val="T0-TipBoxFigure"/>
    <w:rsid w:val="00E3012D"/>
  </w:style>
  <w:style w:type="paragraph" w:customStyle="1" w:styleId="T0-TipBoxCenter">
    <w:name w:val="T0 - TipBoxCenter"/>
    <w:basedOn w:val="T0-TipBox"/>
    <w:rsid w:val="00E3012D"/>
    <w:pPr>
      <w:jc w:val="center"/>
    </w:pPr>
  </w:style>
  <w:style w:type="paragraph" w:customStyle="1" w:styleId="T0-TipBoxCode">
    <w:name w:val="T0 - TipBoxCode"/>
    <w:basedOn w:val="I0-InfoBoxCode"/>
    <w:rsid w:val="00E3012D"/>
    <w:pPr>
      <w:pBdr>
        <w:top w:val="double" w:sz="4" w:space="6" w:color="auto"/>
        <w:left w:val="none" w:sz="0" w:space="0" w:color="auto"/>
        <w:bottom w:val="double" w:sz="4" w:space="9" w:color="auto"/>
        <w:right w:val="none" w:sz="0" w:space="0" w:color="auto"/>
      </w:pBdr>
    </w:pPr>
  </w:style>
  <w:style w:type="paragraph" w:customStyle="1" w:styleId="T0-TipBoxConsole">
    <w:name w:val="T0 - TipBoxConsole"/>
    <w:basedOn w:val="T0-TipBoxCode"/>
    <w:rsid w:val="00E3012D"/>
    <w:pPr>
      <w:shd w:val="clear" w:color="auto" w:fill="282A36"/>
    </w:pPr>
    <w:rPr>
      <w:color w:val="F8F8F2"/>
    </w:rPr>
  </w:style>
  <w:style w:type="paragraph" w:customStyle="1" w:styleId="T0-TipBoxNumberedList">
    <w:name w:val="T0 - TipBoxNumberedList"/>
    <w:basedOn w:val="T0-TipBoxBullet"/>
    <w:rsid w:val="00E3012D"/>
    <w:pPr>
      <w:numPr>
        <w:numId w:val="26"/>
      </w:numPr>
      <w:ind w:left="360"/>
    </w:pPr>
  </w:style>
  <w:style w:type="paragraph" w:customStyle="1" w:styleId="T0-Table">
    <w:name w:val="T0 - Table"/>
    <w:basedOn w:val="Normal"/>
    <w:rsid w:val="00E3012D"/>
    <w:pPr>
      <w:spacing w:after="126"/>
    </w:pPr>
    <w:rPr>
      <w:rFonts w:ascii="Crimson Pro" w:hAnsi="Crimson Pro" w:cs="Arial"/>
      <w:bCs/>
      <w:kern w:val="0"/>
      <w:sz w:val="20"/>
      <w14:ligatures w14:val="none"/>
    </w:rPr>
  </w:style>
  <w:style w:type="paragraph" w:customStyle="1" w:styleId="T0-TableBullet">
    <w:name w:val="T0 - TableBullet"/>
    <w:basedOn w:val="L1-Bullet"/>
    <w:qFormat/>
    <w:rsid w:val="00E3012D"/>
    <w:pPr>
      <w:spacing w:before="60" w:after="60"/>
      <w:ind w:left="432" w:right="72"/>
    </w:pPr>
    <w:rPr>
      <w:sz w:val="20"/>
      <w:lang w:eastAsia="ar-SA"/>
    </w:rPr>
  </w:style>
  <w:style w:type="paragraph" w:customStyle="1" w:styleId="T0-TableFigure">
    <w:name w:val="T0 - TableFigure"/>
    <w:basedOn w:val="T0-Table"/>
    <w:next w:val="Normal"/>
    <w:qFormat/>
    <w:rsid w:val="00E3012D"/>
    <w:pPr>
      <w:spacing w:before="120" w:after="120"/>
      <w:jc w:val="center"/>
    </w:pPr>
    <w:rPr>
      <w:sz w:val="16"/>
    </w:rPr>
  </w:style>
  <w:style w:type="paragraph" w:customStyle="1" w:styleId="T0-TableCaption">
    <w:name w:val="T0 - TableCaption"/>
    <w:basedOn w:val="T0-TableFigure"/>
    <w:next w:val="T0-Table"/>
    <w:rsid w:val="00E3012D"/>
  </w:style>
  <w:style w:type="paragraph" w:customStyle="1" w:styleId="T0-TableCenter">
    <w:name w:val="T0 - TableCenter"/>
    <w:basedOn w:val="T0-Table"/>
    <w:rsid w:val="00E3012D"/>
    <w:pPr>
      <w:jc w:val="center"/>
    </w:pPr>
  </w:style>
  <w:style w:type="paragraph" w:customStyle="1" w:styleId="T0-TableCode">
    <w:name w:val="T0 - TableCode"/>
    <w:basedOn w:val="T0-Table"/>
    <w:rsid w:val="00E3012D"/>
    <w:pPr>
      <w:pBdr>
        <w:top w:val="single" w:sz="4" w:space="4" w:color="FAFAFA"/>
        <w:left w:val="single" w:sz="4" w:space="8" w:color="FAFAFA"/>
        <w:bottom w:val="single" w:sz="4" w:space="4" w:color="FAFAFA"/>
        <w:right w:val="single" w:sz="4" w:space="8" w:color="FAFAFA"/>
      </w:pBdr>
      <w:shd w:val="clear" w:color="auto" w:fill="FAFAFA"/>
      <w:spacing w:before="120" w:after="120"/>
      <w:ind w:left="230" w:right="230"/>
      <w:contextualSpacing/>
    </w:pPr>
    <w:rPr>
      <w:rFonts w:ascii="Consolas" w:hAnsi="Consolas"/>
      <w:color w:val="383A42"/>
      <w:sz w:val="18"/>
      <w:lang w:val="en-IN"/>
    </w:rPr>
  </w:style>
  <w:style w:type="paragraph" w:customStyle="1" w:styleId="T0-TableConsole">
    <w:name w:val="T0 - TableConsole"/>
    <w:basedOn w:val="T0-TableCode"/>
    <w:autoRedefine/>
    <w:rsid w:val="00E3012D"/>
    <w:pPr>
      <w:pBdr>
        <w:top w:val="single" w:sz="4" w:space="4" w:color="282A36"/>
        <w:left w:val="single" w:sz="4" w:space="8" w:color="282A36"/>
        <w:bottom w:val="single" w:sz="4" w:space="4" w:color="282A36"/>
        <w:right w:val="single" w:sz="4" w:space="8" w:color="282A36"/>
      </w:pBdr>
      <w:shd w:val="clear" w:color="auto" w:fill="282A36"/>
    </w:pPr>
    <w:rPr>
      <w:color w:val="F8F8F2"/>
    </w:rPr>
  </w:style>
  <w:style w:type="paragraph" w:customStyle="1" w:styleId="T0-TableNumberedList">
    <w:name w:val="T0 - TableNumberedList"/>
    <w:basedOn w:val="T0-TableBullet"/>
    <w:rsid w:val="00E3012D"/>
    <w:pPr>
      <w:numPr>
        <w:numId w:val="28"/>
      </w:numPr>
    </w:pPr>
  </w:style>
  <w:style w:type="paragraph" w:styleId="HTMLPreformatted">
    <w:name w:val="HTML Preformatted"/>
    <w:basedOn w:val="Normal"/>
    <w:link w:val="HTMLPreformattedChar"/>
    <w:uiPriority w:val="99"/>
    <w:semiHidden/>
    <w:unhideWhenUsed/>
    <w:rsid w:val="00E3012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3012D"/>
    <w:rPr>
      <w:rFonts w:ascii="Consolas" w:eastAsiaTheme="minorHAnsi" w:hAnsi="Consolas" w:cstheme="minorBidi"/>
      <w:kern w:val="2"/>
      <w:sz w:val="20"/>
      <w:szCs w:val="20"/>
      <w:lang w:val="en-US"/>
      <w14:ligatures w14:val="standardContextual"/>
    </w:rPr>
  </w:style>
  <w:style w:type="character" w:customStyle="1" w:styleId="TitleChar">
    <w:name w:val="Title Char"/>
    <w:basedOn w:val="DefaultParagraphFont"/>
    <w:link w:val="Title"/>
    <w:uiPriority w:val="10"/>
    <w:rsid w:val="00E3012D"/>
    <w:rPr>
      <w:rFonts w:asciiTheme="majorHAnsi" w:eastAsiaTheme="majorEastAsia" w:hAnsiTheme="majorHAnsi" w:cstheme="majorBidi"/>
      <w:spacing w:val="-10"/>
      <w:kern w:val="28"/>
      <w:sz w:val="56"/>
      <w:szCs w:val="56"/>
      <w:lang w:val="en-US"/>
      <w14:ligatures w14:val="standardContextual"/>
    </w:rPr>
  </w:style>
  <w:style w:type="character" w:customStyle="1" w:styleId="SubtitleChar">
    <w:name w:val="Subtitle Char"/>
    <w:basedOn w:val="DefaultParagraphFont"/>
    <w:link w:val="Subtitle"/>
    <w:uiPriority w:val="11"/>
    <w:rsid w:val="00E3012D"/>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paragraph" w:styleId="ListParagraph">
    <w:name w:val="List Paragraph"/>
    <w:basedOn w:val="Normal"/>
    <w:uiPriority w:val="34"/>
    <w:qFormat/>
    <w:rsid w:val="00E3012D"/>
    <w:pPr>
      <w:ind w:left="720"/>
      <w:contextualSpacing/>
    </w:pPr>
  </w:style>
  <w:style w:type="paragraph" w:styleId="Quote">
    <w:name w:val="Quote"/>
    <w:basedOn w:val="Normal"/>
    <w:next w:val="Normal"/>
    <w:link w:val="QuoteChar"/>
    <w:uiPriority w:val="29"/>
    <w:qFormat/>
    <w:rsid w:val="00E3012D"/>
    <w:pPr>
      <w:spacing w:before="160"/>
      <w:jc w:val="center"/>
    </w:pPr>
    <w:rPr>
      <w:i/>
      <w:iCs/>
      <w:color w:val="404040" w:themeColor="text1" w:themeTint="BF"/>
    </w:rPr>
  </w:style>
  <w:style w:type="character" w:customStyle="1" w:styleId="QuoteChar">
    <w:name w:val="Quote Char"/>
    <w:basedOn w:val="DefaultParagraphFont"/>
    <w:link w:val="Quote"/>
    <w:uiPriority w:val="29"/>
    <w:rsid w:val="00E3012D"/>
    <w:rPr>
      <w:rFonts w:asciiTheme="minorHAnsi" w:eastAsiaTheme="minorHAnsi" w:hAnsiTheme="minorHAnsi" w:cstheme="minorBidi"/>
      <w:i/>
      <w:iCs/>
      <w:color w:val="404040" w:themeColor="text1" w:themeTint="BF"/>
      <w:kern w:val="2"/>
      <w:lang w:val="en-US"/>
      <w14:ligatures w14:val="standardContextual"/>
    </w:rPr>
  </w:style>
  <w:style w:type="paragraph" w:styleId="IntenseQuote">
    <w:name w:val="Intense Quote"/>
    <w:basedOn w:val="Normal"/>
    <w:next w:val="Normal"/>
    <w:link w:val="IntenseQuoteChar"/>
    <w:uiPriority w:val="30"/>
    <w:qFormat/>
    <w:rsid w:val="00E3012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3012D"/>
    <w:rPr>
      <w:rFonts w:asciiTheme="minorHAnsi" w:eastAsiaTheme="minorHAnsi" w:hAnsiTheme="minorHAnsi" w:cstheme="minorBidi"/>
      <w:i/>
      <w:iCs/>
      <w:color w:val="365F91" w:themeColor="accent1" w:themeShade="BF"/>
      <w:kern w:val="2"/>
      <w:lang w:val="en-US"/>
      <w14:ligatures w14:val="standardContextual"/>
    </w:rPr>
  </w:style>
  <w:style w:type="character" w:styleId="IntenseEmphasis">
    <w:name w:val="Intense Emphasis"/>
    <w:basedOn w:val="DefaultParagraphFont"/>
    <w:uiPriority w:val="21"/>
    <w:qFormat/>
    <w:rsid w:val="00E3012D"/>
    <w:rPr>
      <w:i/>
      <w:iCs/>
      <w:color w:val="365F91" w:themeColor="accent1" w:themeShade="BF"/>
    </w:rPr>
  </w:style>
  <w:style w:type="character" w:styleId="IntenseReference">
    <w:name w:val="Intense Reference"/>
    <w:basedOn w:val="DefaultParagraphFont"/>
    <w:uiPriority w:val="32"/>
    <w:qFormat/>
    <w:rsid w:val="00E3012D"/>
    <w:rPr>
      <w:b/>
      <w:bCs/>
      <w:smallCaps/>
      <w:color w:val="365F91" w:themeColor="accent1" w:themeShade="BF"/>
      <w:spacing w:val="5"/>
    </w:rPr>
  </w:style>
  <w:style w:type="paragraph" w:styleId="NoSpacing">
    <w:name w:val="No Spacing"/>
    <w:uiPriority w:val="1"/>
    <w:qFormat/>
    <w:rsid w:val="00E3012D"/>
    <w:pPr>
      <w:spacing w:after="0"/>
    </w:pPr>
    <w:rPr>
      <w:rFonts w:asciiTheme="minorHAnsi" w:eastAsiaTheme="minorHAnsi" w:hAnsiTheme="minorHAnsi" w:cstheme="minorBidi"/>
      <w:kern w:val="2"/>
      <w:lang w:val="en-US"/>
      <w14:ligatures w14:val="standardContextual"/>
    </w:rPr>
  </w:style>
  <w:style w:type="paragraph" w:customStyle="1" w:styleId="EQ-Normal">
    <w:name w:val="EQ - Normal"/>
    <w:rsid w:val="00E3012D"/>
    <w:pPr>
      <w:spacing w:after="0" w:line="278" w:lineRule="auto"/>
    </w:pPr>
    <w:rPr>
      <w:rFonts w:ascii="Book Antiqua" w:eastAsia="Times New Roman" w:hAnsi="Book Antiqua" w:cs="Times New Roman"/>
      <w:sz w:val="19"/>
      <w:lang w:val="en-US"/>
    </w:rPr>
  </w:style>
  <w:style w:type="character" w:customStyle="1" w:styleId="EQ-Ruler">
    <w:name w:val="EQ - Ruler"/>
    <w:basedOn w:val="DefaultParagraphFont"/>
    <w:uiPriority w:val="1"/>
    <w:rsid w:val="00E3012D"/>
    <w:rPr>
      <w:rFonts w:ascii="Book Antiqua" w:hAnsi="Book Antiqua"/>
      <w:position w:val="490"/>
      <w:sz w:val="10"/>
    </w:rPr>
  </w:style>
  <w:style w:type="paragraph" w:customStyle="1" w:styleId="EQ-Small">
    <w:name w:val="EQ - Small"/>
    <w:rsid w:val="00E3012D"/>
    <w:pPr>
      <w:spacing w:after="0" w:line="278" w:lineRule="auto"/>
    </w:pPr>
    <w:rPr>
      <w:rFonts w:ascii="Book Antiqua" w:eastAsia="Times New Roman" w:hAnsi="Book Antiqua" w:cs="Times New Roman"/>
      <w:sz w:val="18"/>
      <w:lang w:val="en-US"/>
    </w:rPr>
  </w:style>
  <w:style w:type="character" w:styleId="PlaceholderText">
    <w:name w:val="Placeholder Text"/>
    <w:basedOn w:val="DefaultParagraphFont"/>
    <w:uiPriority w:val="99"/>
    <w:semiHidden/>
    <w:rsid w:val="00E3012D"/>
    <w:rPr>
      <w:color w:val="666666"/>
    </w:rPr>
  </w:style>
  <w:style w:type="character" w:styleId="CommentReference">
    <w:name w:val="annotation reference"/>
    <w:basedOn w:val="DefaultParagraphFont"/>
    <w:uiPriority w:val="99"/>
    <w:semiHidden/>
    <w:unhideWhenUsed/>
    <w:rsid w:val="00E3012D"/>
    <w:rPr>
      <w:sz w:val="16"/>
      <w:szCs w:val="16"/>
    </w:rPr>
  </w:style>
  <w:style w:type="paragraph" w:styleId="CommentText">
    <w:name w:val="annotation text"/>
    <w:basedOn w:val="Normal"/>
    <w:link w:val="CommentTextChar"/>
    <w:uiPriority w:val="99"/>
    <w:semiHidden/>
    <w:unhideWhenUsed/>
    <w:rsid w:val="00E3012D"/>
    <w:pPr>
      <w:spacing w:line="240" w:lineRule="auto"/>
    </w:pPr>
    <w:rPr>
      <w:sz w:val="20"/>
      <w:szCs w:val="20"/>
    </w:rPr>
  </w:style>
  <w:style w:type="character" w:customStyle="1" w:styleId="CommentTextChar">
    <w:name w:val="Comment Text Char"/>
    <w:basedOn w:val="DefaultParagraphFont"/>
    <w:link w:val="CommentText"/>
    <w:uiPriority w:val="99"/>
    <w:semiHidden/>
    <w:rsid w:val="00E3012D"/>
    <w:rPr>
      <w:rFonts w:asciiTheme="minorHAnsi" w:eastAsiaTheme="minorHAnsi" w:hAnsiTheme="minorHAnsi" w:cstheme="minorBidi"/>
      <w:kern w:val="2"/>
      <w:sz w:val="20"/>
      <w:szCs w:val="20"/>
      <w:lang w:val="en-US"/>
      <w14:ligatures w14:val="standardContextual"/>
    </w:rPr>
  </w:style>
  <w:style w:type="paragraph" w:styleId="CommentSubject">
    <w:name w:val="annotation subject"/>
    <w:basedOn w:val="CommentText"/>
    <w:next w:val="CommentText"/>
    <w:link w:val="CommentSubjectChar"/>
    <w:uiPriority w:val="99"/>
    <w:semiHidden/>
    <w:unhideWhenUsed/>
    <w:rsid w:val="00E3012D"/>
    <w:rPr>
      <w:b/>
      <w:bCs/>
    </w:rPr>
  </w:style>
  <w:style w:type="character" w:customStyle="1" w:styleId="CommentSubjectChar">
    <w:name w:val="Comment Subject Char"/>
    <w:basedOn w:val="CommentTextChar"/>
    <w:link w:val="CommentSubject"/>
    <w:uiPriority w:val="99"/>
    <w:semiHidden/>
    <w:rsid w:val="00E3012D"/>
    <w:rPr>
      <w:rFonts w:asciiTheme="minorHAnsi" w:eastAsiaTheme="minorHAnsi" w:hAnsiTheme="minorHAnsi" w:cstheme="minorBidi"/>
      <w:b/>
      <w:bCs/>
      <w:kern w:val="2"/>
      <w:sz w:val="20"/>
      <w:szCs w:val="20"/>
      <w:lang w:val="en-US"/>
      <w14:ligatures w14:val="standardContextual"/>
    </w:rPr>
  </w:style>
  <w:style w:type="character" w:customStyle="1" w:styleId="IC-Icon-Packt">
    <w:name w:val="IC - Icon-Packt"/>
    <w:basedOn w:val="CS-Italic"/>
    <w:uiPriority w:val="1"/>
    <w:qFormat/>
    <w:rsid w:val="00E3012D"/>
    <w:rPr>
      <w:i w:val="0"/>
      <w:color w:val="000000" w:themeColor="text1"/>
    </w:rPr>
  </w:style>
  <w:style w:type="paragraph" w:customStyle="1" w:styleId="I1-InfoBox">
    <w:name w:val="I1 - InfoBox"/>
    <w:basedOn w:val="I0-InfoBox"/>
    <w:qFormat/>
    <w:rsid w:val="00E3012D"/>
    <w:pPr>
      <w:ind w:left="454"/>
    </w:pPr>
  </w:style>
  <w:style w:type="paragraph" w:customStyle="1" w:styleId="I1-InfoBoxBullet">
    <w:name w:val="I1 - InfoBoxBullet"/>
    <w:basedOn w:val="I0-InfoBoxBullet"/>
    <w:qFormat/>
    <w:rsid w:val="00E3012D"/>
    <w:pPr>
      <w:ind w:left="811" w:hanging="357"/>
    </w:pPr>
  </w:style>
  <w:style w:type="paragraph" w:customStyle="1" w:styleId="I1-InfoBoxCaption">
    <w:name w:val="I1 - InfoBoxCaption"/>
    <w:basedOn w:val="I0-InfoBoxCaption"/>
    <w:qFormat/>
    <w:rsid w:val="00E3012D"/>
    <w:pPr>
      <w:ind w:left="454"/>
    </w:pPr>
  </w:style>
  <w:style w:type="paragraph" w:customStyle="1" w:styleId="I1-InfoBoxCenter">
    <w:name w:val="I1 - InfoBoxCenter"/>
    <w:basedOn w:val="I0-InfoBoxCenter"/>
    <w:qFormat/>
    <w:rsid w:val="00E3012D"/>
    <w:pPr>
      <w:ind w:left="454"/>
    </w:pPr>
  </w:style>
  <w:style w:type="paragraph" w:customStyle="1" w:styleId="I1-InfoBoxCode">
    <w:name w:val="I1 - InfoBoxCode"/>
    <w:basedOn w:val="I0-InfoBoxCode"/>
    <w:qFormat/>
    <w:rsid w:val="00E3012D"/>
    <w:pPr>
      <w:ind w:left="454"/>
    </w:pPr>
  </w:style>
  <w:style w:type="paragraph" w:customStyle="1" w:styleId="I1-InfoBoxConsole">
    <w:name w:val="I1 - InfoBoxConsole"/>
    <w:basedOn w:val="I0-InfoBoxConsole"/>
    <w:qFormat/>
    <w:rsid w:val="00E3012D"/>
    <w:pPr>
      <w:ind w:left="454"/>
    </w:pPr>
  </w:style>
  <w:style w:type="paragraph" w:customStyle="1" w:styleId="I1-InfoBoxFigure">
    <w:name w:val="I1 - InfoBoxFigure"/>
    <w:basedOn w:val="I0-InfoBoxFigure"/>
    <w:qFormat/>
    <w:rsid w:val="00E3012D"/>
    <w:pPr>
      <w:ind w:left="454"/>
    </w:pPr>
  </w:style>
  <w:style w:type="paragraph" w:customStyle="1" w:styleId="I1-InfoBoxNumberedList">
    <w:name w:val="I1 - InfoBoxNumberedList"/>
    <w:basedOn w:val="I0-InfoBoxNumberedList"/>
    <w:qFormat/>
    <w:rsid w:val="00E3012D"/>
    <w:pPr>
      <w:ind w:left="811" w:hanging="357"/>
    </w:pPr>
  </w:style>
  <w:style w:type="paragraph" w:customStyle="1" w:styleId="I2-InfoBox">
    <w:name w:val="I2 - InfoBox"/>
    <w:basedOn w:val="I1-InfoBox"/>
    <w:qFormat/>
    <w:rsid w:val="00E3012D"/>
    <w:pPr>
      <w:ind w:left="794"/>
    </w:pPr>
  </w:style>
  <w:style w:type="paragraph" w:customStyle="1" w:styleId="I2-InfoBoxBullet">
    <w:name w:val="I2 - InfoBoxBullet"/>
    <w:basedOn w:val="I1-InfoBoxBullet"/>
    <w:qFormat/>
    <w:rsid w:val="00E3012D"/>
    <w:pPr>
      <w:ind w:left="1151"/>
    </w:pPr>
  </w:style>
  <w:style w:type="paragraph" w:customStyle="1" w:styleId="I2-InfoBoxCaption">
    <w:name w:val="I2 - InfoBoxCaption"/>
    <w:basedOn w:val="I1-InfoBoxCaption"/>
    <w:qFormat/>
    <w:rsid w:val="00E3012D"/>
    <w:pPr>
      <w:ind w:left="794"/>
    </w:pPr>
  </w:style>
  <w:style w:type="paragraph" w:customStyle="1" w:styleId="I2-InfoBoxCenter">
    <w:name w:val="I2 - InfoBoxCenter"/>
    <w:basedOn w:val="I1-InfoBoxCenter"/>
    <w:qFormat/>
    <w:rsid w:val="00E3012D"/>
    <w:pPr>
      <w:ind w:left="794"/>
    </w:pPr>
  </w:style>
  <w:style w:type="paragraph" w:customStyle="1" w:styleId="I2-InfoBoxCode">
    <w:name w:val="I2 - InfoBoxCode"/>
    <w:basedOn w:val="I1-InfoBoxCode"/>
    <w:qFormat/>
    <w:rsid w:val="00E3012D"/>
    <w:pPr>
      <w:ind w:left="794"/>
    </w:pPr>
  </w:style>
  <w:style w:type="paragraph" w:customStyle="1" w:styleId="I2-InfoBoxConsole">
    <w:name w:val="I2 - InfoBoxConsole"/>
    <w:basedOn w:val="I1-InfoBoxConsole"/>
    <w:qFormat/>
    <w:rsid w:val="00E3012D"/>
    <w:pPr>
      <w:ind w:left="794"/>
    </w:pPr>
  </w:style>
  <w:style w:type="paragraph" w:customStyle="1" w:styleId="I2-InfoBoxFigure">
    <w:name w:val="I2 - InfoBoxFigure"/>
    <w:basedOn w:val="I1-InfoBoxFigure"/>
    <w:qFormat/>
    <w:rsid w:val="00E3012D"/>
    <w:pPr>
      <w:ind w:left="794"/>
    </w:pPr>
  </w:style>
  <w:style w:type="paragraph" w:customStyle="1" w:styleId="I2-InfoBoxNumberedList">
    <w:name w:val="I2 - InfoBoxNumberedList"/>
    <w:basedOn w:val="I1-InfoBoxNumberedList"/>
    <w:qFormat/>
    <w:rsid w:val="00E3012D"/>
    <w:pPr>
      <w:ind w:left="1151"/>
    </w:pPr>
  </w:style>
  <w:style w:type="paragraph" w:customStyle="1" w:styleId="T1-TipBox">
    <w:name w:val="T1 - TipBox"/>
    <w:basedOn w:val="T0-TipBox"/>
    <w:qFormat/>
    <w:rsid w:val="00E3012D"/>
    <w:pPr>
      <w:ind w:left="454"/>
    </w:pPr>
  </w:style>
  <w:style w:type="paragraph" w:customStyle="1" w:styleId="T1-TipBoxBullet">
    <w:name w:val="T1 - TipBoxBullet"/>
    <w:basedOn w:val="T0-TipBoxBullet"/>
    <w:qFormat/>
    <w:rsid w:val="00E3012D"/>
    <w:pPr>
      <w:ind w:left="811" w:hanging="357"/>
    </w:pPr>
  </w:style>
  <w:style w:type="paragraph" w:customStyle="1" w:styleId="T1-TipBoxCaption">
    <w:name w:val="T1 - TipBoxCaption"/>
    <w:basedOn w:val="T0-TipBoxCaption"/>
    <w:qFormat/>
    <w:rsid w:val="00E3012D"/>
    <w:pPr>
      <w:ind w:left="454"/>
    </w:pPr>
  </w:style>
  <w:style w:type="paragraph" w:customStyle="1" w:styleId="T1-TipBoxCenter">
    <w:name w:val="T1 - TipBoxCenter"/>
    <w:basedOn w:val="T0-TipBoxCenter"/>
    <w:qFormat/>
    <w:rsid w:val="00E3012D"/>
    <w:pPr>
      <w:ind w:left="454"/>
    </w:pPr>
  </w:style>
  <w:style w:type="paragraph" w:customStyle="1" w:styleId="T1-TipBoxCode">
    <w:name w:val="T1 - TipBoxCode"/>
    <w:basedOn w:val="T0-TipBoxCode"/>
    <w:qFormat/>
    <w:rsid w:val="00E3012D"/>
    <w:pPr>
      <w:ind w:left="454"/>
    </w:pPr>
  </w:style>
  <w:style w:type="paragraph" w:customStyle="1" w:styleId="T1-TipBoxConsole">
    <w:name w:val="T1 - TipBoxConsole"/>
    <w:basedOn w:val="T0-TipBoxConsole"/>
    <w:qFormat/>
    <w:rsid w:val="00E3012D"/>
    <w:pPr>
      <w:ind w:left="454"/>
    </w:pPr>
  </w:style>
  <w:style w:type="paragraph" w:customStyle="1" w:styleId="T1-TipBoxFigure">
    <w:name w:val="T1 - TipBoxFigure"/>
    <w:basedOn w:val="T0-TipBoxFigure"/>
    <w:qFormat/>
    <w:rsid w:val="00E3012D"/>
    <w:pPr>
      <w:ind w:left="454"/>
    </w:pPr>
  </w:style>
  <w:style w:type="paragraph" w:customStyle="1" w:styleId="T1-TipBoxNumberedList">
    <w:name w:val="T1 - TipBoxNumberedList"/>
    <w:basedOn w:val="T0-TipBoxNumberedList"/>
    <w:qFormat/>
    <w:rsid w:val="00E3012D"/>
  </w:style>
  <w:style w:type="paragraph" w:customStyle="1" w:styleId="T2-TipBox">
    <w:name w:val="T2 - TipBox"/>
    <w:basedOn w:val="T1-TipBox"/>
    <w:qFormat/>
    <w:rsid w:val="00E3012D"/>
    <w:pPr>
      <w:ind w:left="794"/>
    </w:pPr>
  </w:style>
  <w:style w:type="paragraph" w:customStyle="1" w:styleId="T2-TipBoxBullet">
    <w:name w:val="T2 - TipBoxBullet"/>
    <w:basedOn w:val="T1-TipBoxBullet"/>
    <w:qFormat/>
    <w:rsid w:val="00E3012D"/>
    <w:pPr>
      <w:ind w:left="1151"/>
    </w:pPr>
  </w:style>
  <w:style w:type="paragraph" w:customStyle="1" w:styleId="T2-TipBoxCaption">
    <w:name w:val="T2 - TipBoxCaption"/>
    <w:basedOn w:val="T1-TipBoxCaption"/>
    <w:qFormat/>
    <w:rsid w:val="00E3012D"/>
    <w:pPr>
      <w:ind w:left="794"/>
    </w:pPr>
  </w:style>
  <w:style w:type="paragraph" w:customStyle="1" w:styleId="T2-TipBoxCenter">
    <w:name w:val="T2 - TipBoxCenter"/>
    <w:basedOn w:val="T1-TipBoxCenter"/>
    <w:qFormat/>
    <w:rsid w:val="00E3012D"/>
    <w:pPr>
      <w:ind w:left="794"/>
    </w:pPr>
  </w:style>
  <w:style w:type="paragraph" w:customStyle="1" w:styleId="T2-TipBoxCode">
    <w:name w:val="T2 - TipBoxCode"/>
    <w:basedOn w:val="T1-TipBoxCode"/>
    <w:qFormat/>
    <w:rsid w:val="00E3012D"/>
    <w:pPr>
      <w:ind w:left="794"/>
    </w:pPr>
  </w:style>
  <w:style w:type="paragraph" w:customStyle="1" w:styleId="T2-TipBoxConsole">
    <w:name w:val="T2 - TipBoxConsole"/>
    <w:basedOn w:val="T1-TipBoxConsole"/>
    <w:qFormat/>
    <w:rsid w:val="00E3012D"/>
    <w:pPr>
      <w:ind w:left="794"/>
    </w:pPr>
  </w:style>
  <w:style w:type="paragraph" w:customStyle="1" w:styleId="T2-TipBoxFigure">
    <w:name w:val="T2 - TipBoxFigure"/>
    <w:basedOn w:val="T1-TipBoxFigure"/>
    <w:qFormat/>
    <w:rsid w:val="00E3012D"/>
    <w:pPr>
      <w:ind w:left="794"/>
    </w:pPr>
  </w:style>
  <w:style w:type="paragraph" w:customStyle="1" w:styleId="T2-TipBoxNumberedList">
    <w:name w:val="T2 - TipBoxNumberedList"/>
    <w:basedOn w:val="T1-TipBoxNumberedList"/>
    <w:qFormat/>
    <w:rsid w:val="00E3012D"/>
    <w:pPr>
      <w:ind w:left="1151" w:hanging="357"/>
    </w:pPr>
  </w:style>
  <w:style w:type="paragraph" w:customStyle="1" w:styleId="T1-Table">
    <w:name w:val="T1 - Table"/>
    <w:basedOn w:val="T0-Table"/>
    <w:qFormat/>
    <w:rsid w:val="00E3012D"/>
    <w:pPr>
      <w:ind w:left="454"/>
    </w:pPr>
  </w:style>
  <w:style w:type="paragraph" w:customStyle="1" w:styleId="T1-TableBullet">
    <w:name w:val="T1 - TableBullet"/>
    <w:basedOn w:val="T0-TableBullet"/>
    <w:qFormat/>
    <w:rsid w:val="00E3012D"/>
    <w:pPr>
      <w:ind w:left="476" w:right="74" w:hanging="357"/>
    </w:pPr>
  </w:style>
  <w:style w:type="paragraph" w:customStyle="1" w:styleId="T1-TableCaption">
    <w:name w:val="T1 - TableCaption"/>
    <w:basedOn w:val="T0-TableCaption"/>
    <w:qFormat/>
    <w:rsid w:val="00E3012D"/>
    <w:pPr>
      <w:ind w:left="454"/>
    </w:pPr>
  </w:style>
  <w:style w:type="paragraph" w:customStyle="1" w:styleId="T1-TableCenter">
    <w:name w:val="T1 - TableCenter"/>
    <w:basedOn w:val="T0-TableCenter"/>
    <w:qFormat/>
    <w:rsid w:val="00E3012D"/>
    <w:pPr>
      <w:ind w:left="454"/>
    </w:pPr>
  </w:style>
  <w:style w:type="paragraph" w:customStyle="1" w:styleId="T1-TableFigure">
    <w:name w:val="T1 - TableFigure"/>
    <w:basedOn w:val="T0-TableFigure"/>
    <w:qFormat/>
    <w:rsid w:val="00E3012D"/>
    <w:pPr>
      <w:ind w:left="454"/>
    </w:pPr>
  </w:style>
  <w:style w:type="paragraph" w:customStyle="1" w:styleId="T1-TableNumberedList">
    <w:name w:val="T1 - TableNumberedList"/>
    <w:basedOn w:val="T0-TableNumberedList"/>
    <w:qFormat/>
    <w:rsid w:val="00E3012D"/>
    <w:pPr>
      <w:ind w:left="1242" w:right="74" w:hanging="357"/>
    </w:pPr>
  </w:style>
  <w:style w:type="paragraph" w:customStyle="1" w:styleId="T1-TableCode">
    <w:name w:val="T1 - TableCode"/>
    <w:basedOn w:val="T0-TableCode"/>
    <w:qFormat/>
    <w:rsid w:val="00E3012D"/>
    <w:pPr>
      <w:ind w:left="278" w:right="232"/>
    </w:pPr>
  </w:style>
  <w:style w:type="paragraph" w:customStyle="1" w:styleId="T1-TableConsole">
    <w:name w:val="T1 - TableConsole"/>
    <w:basedOn w:val="T0-TableConsole"/>
    <w:qFormat/>
    <w:rsid w:val="00E3012D"/>
    <w:pPr>
      <w:ind w:left="278" w:right="232"/>
    </w:pPr>
  </w:style>
  <w:style w:type="paragraph" w:customStyle="1" w:styleId="T2-Table">
    <w:name w:val="T2 - Table"/>
    <w:basedOn w:val="T0-Table"/>
    <w:qFormat/>
    <w:rsid w:val="00E3012D"/>
    <w:pPr>
      <w:ind w:left="794"/>
    </w:pPr>
  </w:style>
  <w:style w:type="paragraph" w:customStyle="1" w:styleId="T2-TableBullet">
    <w:name w:val="T2 - TableBullet"/>
    <w:basedOn w:val="T0-TableBullet"/>
    <w:qFormat/>
    <w:rsid w:val="00E3012D"/>
    <w:pPr>
      <w:ind w:left="1225" w:right="74" w:hanging="357"/>
    </w:pPr>
  </w:style>
  <w:style w:type="paragraph" w:customStyle="1" w:styleId="T2-TableCaption">
    <w:name w:val="T2 - TableCaption"/>
    <w:basedOn w:val="T0-TableCaption"/>
    <w:qFormat/>
    <w:rsid w:val="00E3012D"/>
    <w:pPr>
      <w:ind w:left="794"/>
    </w:pPr>
  </w:style>
  <w:style w:type="paragraph" w:customStyle="1" w:styleId="T2-TableCenter">
    <w:name w:val="T2 - TableCenter"/>
    <w:basedOn w:val="T0-TableCenter"/>
    <w:qFormat/>
    <w:rsid w:val="00E3012D"/>
    <w:pPr>
      <w:ind w:left="794"/>
    </w:pPr>
  </w:style>
  <w:style w:type="paragraph" w:customStyle="1" w:styleId="T2-TableCode">
    <w:name w:val="T2 - TableCode"/>
    <w:basedOn w:val="T0-TableCode"/>
    <w:qFormat/>
    <w:rsid w:val="00E3012D"/>
    <w:pPr>
      <w:ind w:left="856" w:right="232"/>
    </w:pPr>
  </w:style>
  <w:style w:type="paragraph" w:customStyle="1" w:styleId="T2-TableConsole">
    <w:name w:val="T2 - TableConsole"/>
    <w:basedOn w:val="T0-TableConsole"/>
    <w:qFormat/>
    <w:rsid w:val="00E3012D"/>
    <w:pPr>
      <w:ind w:left="856" w:right="232"/>
    </w:pPr>
  </w:style>
  <w:style w:type="paragraph" w:customStyle="1" w:styleId="T2-TableFigure">
    <w:name w:val="T2 - TableFigure"/>
    <w:basedOn w:val="T0-TipBoxFigure"/>
    <w:qFormat/>
    <w:rsid w:val="00E3012D"/>
    <w:pPr>
      <w:ind w:left="794"/>
    </w:pPr>
  </w:style>
  <w:style w:type="paragraph" w:customStyle="1" w:styleId="T2-TableNumberedList">
    <w:name w:val="T2 - TableNumberedList"/>
    <w:basedOn w:val="T0-TableNumberedList"/>
    <w:qFormat/>
    <w:rsid w:val="00E3012D"/>
    <w:pPr>
      <w:ind w:left="2149" w:right="74" w:hanging="357"/>
    </w:pPr>
  </w:style>
  <w:style w:type="paragraph" w:customStyle="1" w:styleId="FM-Dedication">
    <w:name w:val="FM - Dedication"/>
    <w:basedOn w:val="FM-CopyrightText"/>
    <w:qFormat/>
    <w:rsid w:val="00E3012D"/>
    <w:pPr>
      <w:jc w:val="center"/>
    </w:pPr>
    <w:rPr>
      <w:i/>
    </w:rPr>
  </w:style>
  <w:style w:type="character" w:customStyle="1" w:styleId="CS-ColumnHeader">
    <w:name w:val="CS - ColumnHeader"/>
    <w:basedOn w:val="CS-Keyword"/>
    <w:uiPriority w:val="1"/>
    <w:qFormat/>
    <w:rsid w:val="00E3012D"/>
    <w:rPr>
      <w:b/>
    </w:rPr>
  </w:style>
  <w:style w:type="character" w:customStyle="1" w:styleId="CS-RowHeader">
    <w:name w:val="CS - RowHeader"/>
    <w:basedOn w:val="CS-ColumnHeader"/>
    <w:uiPriority w:val="1"/>
    <w:qFormat/>
    <w:rsid w:val="00E3012D"/>
    <w:rPr>
      <w:b/>
    </w:rPr>
  </w:style>
  <w:style w:type="paragraph" w:customStyle="1" w:styleId="Important0-ImportantBoxBullet">
    <w:name w:val="Important0 - ImportantBoxBullet"/>
    <w:basedOn w:val="I0-InfoBoxBullet"/>
    <w:link w:val="Important0-ImportantBoxBulletChar"/>
    <w:rsid w:val="00E3012D"/>
  </w:style>
  <w:style w:type="character" w:customStyle="1" w:styleId="P0-ParagraphChar">
    <w:name w:val="P0 - Paragraph Char"/>
    <w:basedOn w:val="DefaultParagraphFont"/>
    <w:link w:val="P0-Paragraph"/>
    <w:rsid w:val="00E3012D"/>
    <w:rPr>
      <w:rFonts w:ascii="Crimson Pro" w:eastAsia="Times New Roman" w:hAnsi="Crimson Pro" w:cs="Times New Roman"/>
      <w:sz w:val="21"/>
      <w:lang w:val="en-US"/>
    </w:rPr>
  </w:style>
  <w:style w:type="character" w:customStyle="1" w:styleId="Important0-ImportantBoxBulletChar">
    <w:name w:val="Important0 - ImportantBoxBullet Char"/>
    <w:basedOn w:val="P0-ParagraphChar"/>
    <w:link w:val="Important0-ImportantBoxBullet"/>
    <w:rsid w:val="00E3012D"/>
    <w:rPr>
      <w:rFonts w:ascii="Crimson Pro" w:eastAsia="Times New Roman" w:hAnsi="Crimson Pro" w:cs="Times New Roman"/>
      <w:sz w:val="20"/>
      <w:shd w:val="clear" w:color="auto" w:fill="FFFFFF"/>
      <w:lang w:val="en-US"/>
    </w:rPr>
  </w:style>
  <w:style w:type="paragraph" w:customStyle="1" w:styleId="Important0-ImportantBoxCenter">
    <w:name w:val="Important0 - ImportantBoxCenter"/>
    <w:basedOn w:val="I0-InfoBoxCenter"/>
    <w:link w:val="Important0-ImportantBoxCenterChar"/>
    <w:rsid w:val="00E3012D"/>
  </w:style>
  <w:style w:type="character" w:customStyle="1" w:styleId="Important0-ImportantBoxCenterChar">
    <w:name w:val="Important0 - ImportantBoxCenter Char"/>
    <w:basedOn w:val="P0-ParagraphChar"/>
    <w:link w:val="Important0-ImportantBoxCenter"/>
    <w:rsid w:val="00E3012D"/>
    <w:rPr>
      <w:rFonts w:ascii="Crimson Pro" w:eastAsia="Times New Roman" w:hAnsi="Crimson Pro" w:cs="Times New Roman"/>
      <w:sz w:val="20"/>
      <w:shd w:val="clear" w:color="auto" w:fill="FFFFFF"/>
      <w:lang w:val="en-US"/>
    </w:rPr>
  </w:style>
  <w:style w:type="paragraph" w:customStyle="1" w:styleId="Important0-ImportantBoxFigure">
    <w:name w:val="Important0 - ImportantBoxFigure"/>
    <w:basedOn w:val="I0-InfoBoxFigure"/>
    <w:link w:val="Important0-ImportantBoxFigureChar"/>
    <w:rsid w:val="00E3012D"/>
  </w:style>
  <w:style w:type="character" w:customStyle="1" w:styleId="Important0-ImportantBoxFigureChar">
    <w:name w:val="Important0 - ImportantBoxFigure Char"/>
    <w:basedOn w:val="P0-ParagraphChar"/>
    <w:link w:val="Important0-ImportantBoxFigure"/>
    <w:rsid w:val="00E3012D"/>
    <w:rPr>
      <w:rFonts w:ascii="Crimson Pro" w:eastAsia="Times New Roman" w:hAnsi="Crimson Pro" w:cs="Times New Roman"/>
      <w:sz w:val="16"/>
      <w:shd w:val="clear" w:color="auto" w:fill="FFFFFF"/>
      <w:lang w:val="en-US"/>
    </w:rPr>
  </w:style>
  <w:style w:type="paragraph" w:customStyle="1" w:styleId="Important0-ImportantBoxCaption">
    <w:name w:val="Important0 - ImportantBoxCaption"/>
    <w:basedOn w:val="I0-InfoBoxCaption"/>
    <w:link w:val="Important0-ImportantBoxCaptionChar"/>
    <w:rsid w:val="00E3012D"/>
  </w:style>
  <w:style w:type="character" w:customStyle="1" w:styleId="Important0-ImportantBoxCaptionChar">
    <w:name w:val="Important0 - ImportantBoxCaption Char"/>
    <w:basedOn w:val="P0-ParagraphChar"/>
    <w:link w:val="Important0-ImportantBoxCaption"/>
    <w:rsid w:val="00E3012D"/>
    <w:rPr>
      <w:rFonts w:ascii="Crimson Pro" w:eastAsia="Times New Roman" w:hAnsi="Crimson Pro" w:cs="Times New Roman"/>
      <w:sz w:val="16"/>
      <w:shd w:val="clear" w:color="auto" w:fill="FFFFFF"/>
      <w:lang w:val="en-US"/>
    </w:rPr>
  </w:style>
  <w:style w:type="paragraph" w:customStyle="1" w:styleId="Important0-ImportantBox">
    <w:name w:val="Important0 - ImportantBox"/>
    <w:basedOn w:val="I0-InfoBox"/>
    <w:link w:val="Important0-ImportantBoxChar"/>
    <w:rsid w:val="00E3012D"/>
  </w:style>
  <w:style w:type="character" w:customStyle="1" w:styleId="Important0-ImportantBoxChar">
    <w:name w:val="Important0 - ImportantBox Char"/>
    <w:basedOn w:val="P0-ParagraphChar"/>
    <w:link w:val="Important0-ImportantBox"/>
    <w:rsid w:val="00E3012D"/>
    <w:rPr>
      <w:rFonts w:ascii="Crimson Pro" w:eastAsia="Times New Roman" w:hAnsi="Crimson Pro" w:cs="Times New Roman"/>
      <w:sz w:val="20"/>
      <w:shd w:val="clear" w:color="auto" w:fill="FFFFFF"/>
      <w:lang w:val="en-US"/>
    </w:rPr>
  </w:style>
  <w:style w:type="paragraph" w:customStyle="1" w:styleId="Important0-ImportantBoxNumberedList">
    <w:name w:val="Important0 - ImportantBoxNumberedList"/>
    <w:basedOn w:val="I0-InfoBoxNumberedList"/>
    <w:link w:val="Important0-ImportantBoxNumberedListChar"/>
    <w:rsid w:val="00E3012D"/>
  </w:style>
  <w:style w:type="character" w:customStyle="1" w:styleId="Important0-ImportantBoxNumberedListChar">
    <w:name w:val="Important0 - ImportantBoxNumberedList Char"/>
    <w:basedOn w:val="P0-ParagraphChar"/>
    <w:link w:val="Important0-ImportantBoxNumberedList"/>
    <w:rsid w:val="00E3012D"/>
    <w:rPr>
      <w:rFonts w:ascii="Crimson Pro" w:eastAsia="Times New Roman" w:hAnsi="Crimson Pro" w:cs="Times New Roman"/>
      <w:sz w:val="20"/>
      <w:shd w:val="clear" w:color="auto" w:fill="FFFFFF"/>
      <w:lang w:val="en-US"/>
    </w:rPr>
  </w:style>
  <w:style w:type="paragraph" w:customStyle="1" w:styleId="Important0-ImportantBoxCode">
    <w:name w:val="Important0 - ImportantBoxCode"/>
    <w:basedOn w:val="I0-InfoBoxCode"/>
    <w:link w:val="Important0-ImportantBoxCodeChar"/>
    <w:rsid w:val="00E3012D"/>
  </w:style>
  <w:style w:type="character" w:customStyle="1" w:styleId="Important0-ImportantBoxCodeChar">
    <w:name w:val="Important0 - ImportantBoxCode Char"/>
    <w:basedOn w:val="P0-ParagraphChar"/>
    <w:link w:val="Important0-ImportantBoxCode"/>
    <w:rsid w:val="00E3012D"/>
    <w:rPr>
      <w:rFonts w:ascii="Consolas" w:eastAsia="Times New Roman" w:hAnsi="Consolas" w:cs="Times New Roman"/>
      <w:color w:val="383A42"/>
      <w:sz w:val="18"/>
      <w:shd w:val="clear" w:color="auto" w:fill="FAFAFA"/>
      <w:lang w:val="en-US"/>
    </w:rPr>
  </w:style>
  <w:style w:type="paragraph" w:customStyle="1" w:styleId="Important0-ImportantBoxConsole">
    <w:name w:val="Important0 - ImportantBoxConsole"/>
    <w:basedOn w:val="I0-InfoBoxConsole"/>
    <w:link w:val="Important0-ImportantBoxConsoleChar"/>
    <w:rsid w:val="00E3012D"/>
  </w:style>
  <w:style w:type="character" w:customStyle="1" w:styleId="Important0-ImportantBoxConsoleChar">
    <w:name w:val="Important0 - ImportantBoxConsole Char"/>
    <w:basedOn w:val="P0-ParagraphChar"/>
    <w:link w:val="Important0-ImportantBoxConsole"/>
    <w:rsid w:val="00E3012D"/>
    <w:rPr>
      <w:rFonts w:ascii="Consolas" w:eastAsia="Times New Roman" w:hAnsi="Consolas" w:cs="Times New Roman"/>
      <w:color w:val="F8F8F2"/>
      <w:sz w:val="18"/>
      <w:shd w:val="clear" w:color="auto" w:fill="282A36"/>
      <w:lang w:val="en-US"/>
    </w:rPr>
  </w:style>
  <w:style w:type="paragraph" w:customStyle="1" w:styleId="Important1-ImportantBoxBullet">
    <w:name w:val="Important1 - ImportantBoxBullet"/>
    <w:basedOn w:val="I1-InfoBoxBullet"/>
    <w:link w:val="Important1-ImportantBoxBulletChar"/>
    <w:rsid w:val="00E3012D"/>
  </w:style>
  <w:style w:type="character" w:customStyle="1" w:styleId="Important1-ImportantBoxBulletChar">
    <w:name w:val="Important1 - ImportantBoxBullet Char"/>
    <w:basedOn w:val="P0-ParagraphChar"/>
    <w:link w:val="Important1-ImportantBoxBullet"/>
    <w:rsid w:val="00E3012D"/>
    <w:rPr>
      <w:rFonts w:ascii="Crimson Pro" w:eastAsia="Times New Roman" w:hAnsi="Crimson Pro" w:cs="Times New Roman"/>
      <w:sz w:val="20"/>
      <w:shd w:val="clear" w:color="auto" w:fill="FFFFFF"/>
      <w:lang w:val="en-US"/>
    </w:rPr>
  </w:style>
  <w:style w:type="paragraph" w:customStyle="1" w:styleId="Important1-ImportantBoxCenter">
    <w:name w:val="Important1 - ImportantBoxCenter"/>
    <w:basedOn w:val="I1-InfoBoxCenter"/>
    <w:link w:val="Important1-ImportantBoxCenterChar"/>
    <w:rsid w:val="00E3012D"/>
  </w:style>
  <w:style w:type="character" w:customStyle="1" w:styleId="Important1-ImportantBoxCenterChar">
    <w:name w:val="Important1 - ImportantBoxCenter Char"/>
    <w:basedOn w:val="P0-ParagraphChar"/>
    <w:link w:val="Important1-ImportantBoxCenter"/>
    <w:rsid w:val="00E3012D"/>
    <w:rPr>
      <w:rFonts w:ascii="Crimson Pro" w:eastAsia="Times New Roman" w:hAnsi="Crimson Pro" w:cs="Times New Roman"/>
      <w:sz w:val="20"/>
      <w:shd w:val="clear" w:color="auto" w:fill="FFFFFF"/>
      <w:lang w:val="en-US"/>
    </w:rPr>
  </w:style>
  <w:style w:type="paragraph" w:customStyle="1" w:styleId="Important1-ImportantBoxFigure">
    <w:name w:val="Important1 - ImportantBoxFigure"/>
    <w:basedOn w:val="I1-InfoBoxFigure"/>
    <w:link w:val="Important1-ImportantBoxFigureChar"/>
    <w:rsid w:val="00E3012D"/>
  </w:style>
  <w:style w:type="character" w:customStyle="1" w:styleId="Important1-ImportantBoxFigureChar">
    <w:name w:val="Important1 - ImportantBoxFigure Char"/>
    <w:basedOn w:val="P0-ParagraphChar"/>
    <w:link w:val="Important1-ImportantBoxFigure"/>
    <w:rsid w:val="00E3012D"/>
    <w:rPr>
      <w:rFonts w:ascii="Crimson Pro" w:eastAsia="Times New Roman" w:hAnsi="Crimson Pro" w:cs="Times New Roman"/>
      <w:sz w:val="16"/>
      <w:shd w:val="clear" w:color="auto" w:fill="FFFFFF"/>
      <w:lang w:val="en-US"/>
    </w:rPr>
  </w:style>
  <w:style w:type="paragraph" w:customStyle="1" w:styleId="Important1-ImportantBoxCaption">
    <w:name w:val="Important1 - ImportantBoxCaption"/>
    <w:basedOn w:val="I1-InfoBoxCaption"/>
    <w:link w:val="Important1-ImportantBoxCaptionChar"/>
    <w:rsid w:val="00E3012D"/>
  </w:style>
  <w:style w:type="character" w:customStyle="1" w:styleId="Important1-ImportantBoxCaptionChar">
    <w:name w:val="Important1 - ImportantBoxCaption Char"/>
    <w:basedOn w:val="P0-ParagraphChar"/>
    <w:link w:val="Important1-ImportantBoxCaption"/>
    <w:rsid w:val="00E3012D"/>
    <w:rPr>
      <w:rFonts w:ascii="Crimson Pro" w:eastAsia="Times New Roman" w:hAnsi="Crimson Pro" w:cs="Times New Roman"/>
      <w:sz w:val="16"/>
      <w:shd w:val="clear" w:color="auto" w:fill="FFFFFF"/>
      <w:lang w:val="en-US"/>
    </w:rPr>
  </w:style>
  <w:style w:type="paragraph" w:customStyle="1" w:styleId="Important1-ImportantBox">
    <w:name w:val="Important1 - ImportantBox"/>
    <w:basedOn w:val="I1-InfoBox"/>
    <w:link w:val="Important1-ImportantBoxChar"/>
    <w:rsid w:val="00E3012D"/>
  </w:style>
  <w:style w:type="character" w:customStyle="1" w:styleId="Important1-ImportantBoxChar">
    <w:name w:val="Important1 - ImportantBox Char"/>
    <w:basedOn w:val="P0-ParagraphChar"/>
    <w:link w:val="Important1-ImportantBox"/>
    <w:rsid w:val="00E3012D"/>
    <w:rPr>
      <w:rFonts w:ascii="Crimson Pro" w:eastAsia="Times New Roman" w:hAnsi="Crimson Pro" w:cs="Times New Roman"/>
      <w:sz w:val="20"/>
      <w:shd w:val="clear" w:color="auto" w:fill="FFFFFF"/>
      <w:lang w:val="en-US"/>
    </w:rPr>
  </w:style>
  <w:style w:type="paragraph" w:customStyle="1" w:styleId="Important1-ImportantBoxNumberedList">
    <w:name w:val="Important1 - ImportantBoxNumberedList"/>
    <w:basedOn w:val="I1-InfoBoxNumberedList"/>
    <w:link w:val="Important1-ImportantBoxNumberedListChar"/>
    <w:rsid w:val="00E3012D"/>
  </w:style>
  <w:style w:type="character" w:customStyle="1" w:styleId="Important1-ImportantBoxNumberedListChar">
    <w:name w:val="Important1 - ImportantBoxNumberedList Char"/>
    <w:basedOn w:val="P0-ParagraphChar"/>
    <w:link w:val="Important1-ImportantBoxNumberedList"/>
    <w:rsid w:val="00E3012D"/>
    <w:rPr>
      <w:rFonts w:ascii="Crimson Pro" w:eastAsia="Times New Roman" w:hAnsi="Crimson Pro" w:cs="Times New Roman"/>
      <w:sz w:val="20"/>
      <w:shd w:val="clear" w:color="auto" w:fill="FFFFFF"/>
      <w:lang w:val="en-US"/>
    </w:rPr>
  </w:style>
  <w:style w:type="paragraph" w:customStyle="1" w:styleId="Important1-ImportantBoxCode">
    <w:name w:val="Important1 - ImportantBoxCode"/>
    <w:basedOn w:val="I1-InfoBoxCode"/>
    <w:link w:val="Important1-ImportantBoxCodeChar"/>
    <w:rsid w:val="00E3012D"/>
  </w:style>
  <w:style w:type="character" w:customStyle="1" w:styleId="Important1-ImportantBoxCodeChar">
    <w:name w:val="Important1 - ImportantBoxCode Char"/>
    <w:basedOn w:val="P0-ParagraphChar"/>
    <w:link w:val="Important1-ImportantBoxCode"/>
    <w:rsid w:val="00E3012D"/>
    <w:rPr>
      <w:rFonts w:ascii="Consolas" w:eastAsia="Times New Roman" w:hAnsi="Consolas" w:cs="Times New Roman"/>
      <w:color w:val="383A42"/>
      <w:sz w:val="18"/>
      <w:shd w:val="clear" w:color="auto" w:fill="FAFAFA"/>
      <w:lang w:val="en-US"/>
    </w:rPr>
  </w:style>
  <w:style w:type="paragraph" w:customStyle="1" w:styleId="Important1-ImportantBoxConsole">
    <w:name w:val="Important1 - ImportantBoxConsole"/>
    <w:basedOn w:val="I1-InfoBoxConsole"/>
    <w:link w:val="Important1-ImportantBoxConsoleChar"/>
    <w:rsid w:val="00E3012D"/>
  </w:style>
  <w:style w:type="character" w:customStyle="1" w:styleId="Important1-ImportantBoxConsoleChar">
    <w:name w:val="Important1 - ImportantBoxConsole Char"/>
    <w:basedOn w:val="P0-ParagraphChar"/>
    <w:link w:val="Important1-ImportantBoxConsole"/>
    <w:rsid w:val="00E3012D"/>
    <w:rPr>
      <w:rFonts w:ascii="Consolas" w:eastAsia="Times New Roman" w:hAnsi="Consolas" w:cs="Times New Roman"/>
      <w:color w:val="F8F8F2"/>
      <w:sz w:val="18"/>
      <w:shd w:val="clear" w:color="auto" w:fill="282A36"/>
      <w:lang w:val="en-US"/>
    </w:rPr>
  </w:style>
  <w:style w:type="paragraph" w:customStyle="1" w:styleId="Important2-ImportantBoxBullet">
    <w:name w:val="Important2 - ImportantBoxBullet"/>
    <w:basedOn w:val="I2-InfoBoxBullet"/>
    <w:link w:val="Important2-ImportantBoxBulletChar"/>
    <w:rsid w:val="00E3012D"/>
  </w:style>
  <w:style w:type="character" w:customStyle="1" w:styleId="Important2-ImportantBoxBulletChar">
    <w:name w:val="Important2 - ImportantBoxBullet Char"/>
    <w:basedOn w:val="P0-ParagraphChar"/>
    <w:link w:val="Important2-ImportantBoxBullet"/>
    <w:rsid w:val="00E3012D"/>
    <w:rPr>
      <w:rFonts w:ascii="Crimson Pro" w:eastAsia="Times New Roman" w:hAnsi="Crimson Pro" w:cs="Times New Roman"/>
      <w:sz w:val="20"/>
      <w:shd w:val="clear" w:color="auto" w:fill="FFFFFF"/>
      <w:lang w:val="en-US"/>
    </w:rPr>
  </w:style>
  <w:style w:type="paragraph" w:customStyle="1" w:styleId="Important2-ImportantBoxCenter">
    <w:name w:val="Important2 - ImportantBoxCenter"/>
    <w:basedOn w:val="I2-InfoBoxCenter"/>
    <w:link w:val="Important2-ImportantBoxCenterChar"/>
    <w:rsid w:val="00E3012D"/>
  </w:style>
  <w:style w:type="character" w:customStyle="1" w:styleId="Important2-ImportantBoxCenterChar">
    <w:name w:val="Important2 - ImportantBoxCenter Char"/>
    <w:basedOn w:val="P0-ParagraphChar"/>
    <w:link w:val="Important2-ImportantBoxCenter"/>
    <w:rsid w:val="00E3012D"/>
    <w:rPr>
      <w:rFonts w:ascii="Crimson Pro" w:eastAsia="Times New Roman" w:hAnsi="Crimson Pro" w:cs="Times New Roman"/>
      <w:sz w:val="20"/>
      <w:shd w:val="clear" w:color="auto" w:fill="FFFFFF"/>
      <w:lang w:val="en-US"/>
    </w:rPr>
  </w:style>
  <w:style w:type="paragraph" w:customStyle="1" w:styleId="Important2-ImportantBoxFigure">
    <w:name w:val="Important2 - ImportantBoxFigure"/>
    <w:basedOn w:val="I2-InfoBoxFigure"/>
    <w:link w:val="Important2-ImportantBoxFigureChar"/>
    <w:rsid w:val="00E3012D"/>
  </w:style>
  <w:style w:type="character" w:customStyle="1" w:styleId="Important2-ImportantBoxFigureChar">
    <w:name w:val="Important2 - ImportantBoxFigure Char"/>
    <w:basedOn w:val="P0-ParagraphChar"/>
    <w:link w:val="Important2-ImportantBoxFigure"/>
    <w:rsid w:val="00E3012D"/>
    <w:rPr>
      <w:rFonts w:ascii="Crimson Pro" w:eastAsia="Times New Roman" w:hAnsi="Crimson Pro" w:cs="Times New Roman"/>
      <w:sz w:val="16"/>
      <w:shd w:val="clear" w:color="auto" w:fill="FFFFFF"/>
      <w:lang w:val="en-US"/>
    </w:rPr>
  </w:style>
  <w:style w:type="paragraph" w:customStyle="1" w:styleId="Important2-ImportantBoxCaption">
    <w:name w:val="Important2 - ImportantBoxCaption"/>
    <w:basedOn w:val="I2-InfoBoxCaption"/>
    <w:link w:val="Important2-ImportantBoxCaptionChar"/>
    <w:rsid w:val="00E3012D"/>
  </w:style>
  <w:style w:type="character" w:customStyle="1" w:styleId="Important2-ImportantBoxCaptionChar">
    <w:name w:val="Important2 - ImportantBoxCaption Char"/>
    <w:basedOn w:val="P0-ParagraphChar"/>
    <w:link w:val="Important2-ImportantBoxCaption"/>
    <w:rsid w:val="00E3012D"/>
    <w:rPr>
      <w:rFonts w:ascii="Crimson Pro" w:eastAsia="Times New Roman" w:hAnsi="Crimson Pro" w:cs="Times New Roman"/>
      <w:sz w:val="16"/>
      <w:shd w:val="clear" w:color="auto" w:fill="FFFFFF"/>
      <w:lang w:val="en-US"/>
    </w:rPr>
  </w:style>
  <w:style w:type="paragraph" w:customStyle="1" w:styleId="Important2-ImportantBox">
    <w:name w:val="Important2 - ImportantBox"/>
    <w:basedOn w:val="I2-InfoBox"/>
    <w:link w:val="Important2-ImportantBoxChar"/>
    <w:rsid w:val="00E3012D"/>
  </w:style>
  <w:style w:type="character" w:customStyle="1" w:styleId="Important2-ImportantBoxChar">
    <w:name w:val="Important2 - ImportantBox Char"/>
    <w:basedOn w:val="P0-ParagraphChar"/>
    <w:link w:val="Important2-ImportantBox"/>
    <w:rsid w:val="00E3012D"/>
    <w:rPr>
      <w:rFonts w:ascii="Crimson Pro" w:eastAsia="Times New Roman" w:hAnsi="Crimson Pro" w:cs="Times New Roman"/>
      <w:sz w:val="20"/>
      <w:shd w:val="clear" w:color="auto" w:fill="FFFFFF"/>
      <w:lang w:val="en-US"/>
    </w:rPr>
  </w:style>
  <w:style w:type="paragraph" w:customStyle="1" w:styleId="Important2-ImportantBoxNumberedList">
    <w:name w:val="Important2 - ImportantBoxNumberedList"/>
    <w:basedOn w:val="I2-InfoBoxNumberedList"/>
    <w:link w:val="Important2-ImportantBoxNumberedListChar"/>
    <w:rsid w:val="00E3012D"/>
  </w:style>
  <w:style w:type="character" w:customStyle="1" w:styleId="Important2-ImportantBoxNumberedListChar">
    <w:name w:val="Important2 - ImportantBoxNumberedList Char"/>
    <w:basedOn w:val="P0-ParagraphChar"/>
    <w:link w:val="Important2-ImportantBoxNumberedList"/>
    <w:rsid w:val="00E3012D"/>
    <w:rPr>
      <w:rFonts w:ascii="Crimson Pro" w:eastAsia="Times New Roman" w:hAnsi="Crimson Pro" w:cs="Times New Roman"/>
      <w:sz w:val="20"/>
      <w:shd w:val="clear" w:color="auto" w:fill="FFFFFF"/>
      <w:lang w:val="en-US"/>
    </w:rPr>
  </w:style>
  <w:style w:type="paragraph" w:customStyle="1" w:styleId="Important2-ImportantBoxCode">
    <w:name w:val="Important2 - ImportantBoxCode"/>
    <w:basedOn w:val="I2-InfoBoxCode"/>
    <w:link w:val="Important2-ImportantBoxCodeChar"/>
    <w:rsid w:val="00E3012D"/>
  </w:style>
  <w:style w:type="character" w:customStyle="1" w:styleId="Important2-ImportantBoxCodeChar">
    <w:name w:val="Important2 - ImportantBoxCode Char"/>
    <w:basedOn w:val="P0-ParagraphChar"/>
    <w:link w:val="Important2-ImportantBoxCode"/>
    <w:rsid w:val="00E3012D"/>
    <w:rPr>
      <w:rFonts w:ascii="Consolas" w:eastAsia="Times New Roman" w:hAnsi="Consolas" w:cs="Times New Roman"/>
      <w:color w:val="383A42"/>
      <w:sz w:val="18"/>
      <w:shd w:val="clear" w:color="auto" w:fill="FAFAFA"/>
      <w:lang w:val="en-US"/>
    </w:rPr>
  </w:style>
  <w:style w:type="paragraph" w:customStyle="1" w:styleId="Important2-ImportantBoxConsole">
    <w:name w:val="Important2 - ImportantBoxConsole"/>
    <w:basedOn w:val="I2-InfoBoxConsole"/>
    <w:link w:val="Important2-ImportantBoxConsoleChar"/>
    <w:rsid w:val="00E3012D"/>
  </w:style>
  <w:style w:type="character" w:customStyle="1" w:styleId="Important2-ImportantBoxConsoleChar">
    <w:name w:val="Important2 - ImportantBoxConsole Char"/>
    <w:basedOn w:val="P0-ParagraphChar"/>
    <w:link w:val="Important2-ImportantBoxConsole"/>
    <w:rsid w:val="00E3012D"/>
    <w:rPr>
      <w:rFonts w:ascii="Consolas" w:eastAsia="Times New Roman" w:hAnsi="Consolas" w:cs="Times New Roman"/>
      <w:color w:val="F8F8F2"/>
      <w:sz w:val="18"/>
      <w:shd w:val="clear" w:color="auto" w:fill="282A36"/>
      <w:lang w:val="en-US"/>
    </w:rPr>
  </w:style>
  <w:style w:type="paragraph" w:customStyle="1" w:styleId="Caution0-CautionBoxBullet">
    <w:name w:val="Caution0 - CautionBoxBullet"/>
    <w:basedOn w:val="I0-InfoBoxBullet"/>
    <w:link w:val="Caution0-CautionBoxBulletChar"/>
    <w:rsid w:val="00E3012D"/>
  </w:style>
  <w:style w:type="character" w:customStyle="1" w:styleId="Caution0-CautionBoxBulletChar">
    <w:name w:val="Caution0 - CautionBoxBullet Char"/>
    <w:basedOn w:val="P0-ParagraphChar"/>
    <w:link w:val="Caution0-CautionBoxBullet"/>
    <w:rsid w:val="00E3012D"/>
    <w:rPr>
      <w:rFonts w:ascii="Crimson Pro" w:eastAsia="Times New Roman" w:hAnsi="Crimson Pro" w:cs="Times New Roman"/>
      <w:sz w:val="20"/>
      <w:shd w:val="clear" w:color="auto" w:fill="FFFFFF"/>
      <w:lang w:val="en-US"/>
    </w:rPr>
  </w:style>
  <w:style w:type="paragraph" w:customStyle="1" w:styleId="Caution0-CautionBoxCenter">
    <w:name w:val="Caution0 - CautionBoxCenter"/>
    <w:basedOn w:val="I0-InfoBoxCenter"/>
    <w:link w:val="Caution0-CautionBoxCenterChar"/>
    <w:rsid w:val="00E3012D"/>
  </w:style>
  <w:style w:type="character" w:customStyle="1" w:styleId="Caution0-CautionBoxCenterChar">
    <w:name w:val="Caution0 - CautionBoxCenter Char"/>
    <w:basedOn w:val="P0-ParagraphChar"/>
    <w:link w:val="Caution0-CautionBoxCenter"/>
    <w:rsid w:val="00E3012D"/>
    <w:rPr>
      <w:rFonts w:ascii="Crimson Pro" w:eastAsia="Times New Roman" w:hAnsi="Crimson Pro" w:cs="Times New Roman"/>
      <w:sz w:val="20"/>
      <w:shd w:val="clear" w:color="auto" w:fill="FFFFFF"/>
      <w:lang w:val="en-US"/>
    </w:rPr>
  </w:style>
  <w:style w:type="paragraph" w:customStyle="1" w:styleId="Caution0-CautionBoxFigure">
    <w:name w:val="Caution0 - CautionBoxFigure"/>
    <w:basedOn w:val="I0-InfoBoxFigure"/>
    <w:link w:val="Caution0-CautionBoxFigureChar"/>
    <w:rsid w:val="00E3012D"/>
  </w:style>
  <w:style w:type="character" w:customStyle="1" w:styleId="Caution0-CautionBoxFigureChar">
    <w:name w:val="Caution0 - CautionBoxFigure Char"/>
    <w:basedOn w:val="P0-ParagraphChar"/>
    <w:link w:val="Caution0-CautionBoxFigure"/>
    <w:rsid w:val="00E3012D"/>
    <w:rPr>
      <w:rFonts w:ascii="Crimson Pro" w:eastAsia="Times New Roman" w:hAnsi="Crimson Pro" w:cs="Times New Roman"/>
      <w:sz w:val="16"/>
      <w:shd w:val="clear" w:color="auto" w:fill="FFFFFF"/>
      <w:lang w:val="en-US"/>
    </w:rPr>
  </w:style>
  <w:style w:type="paragraph" w:customStyle="1" w:styleId="Caution0-CautionBoxCaption">
    <w:name w:val="Caution0 - CautionBoxCaption"/>
    <w:basedOn w:val="I0-InfoBoxCaption"/>
    <w:link w:val="Caution0-CautionBoxCaptionChar"/>
    <w:rsid w:val="00E3012D"/>
  </w:style>
  <w:style w:type="character" w:customStyle="1" w:styleId="Caution0-CautionBoxCaptionChar">
    <w:name w:val="Caution0 - CautionBoxCaption Char"/>
    <w:basedOn w:val="P0-ParagraphChar"/>
    <w:link w:val="Caution0-CautionBoxCaption"/>
    <w:rsid w:val="00E3012D"/>
    <w:rPr>
      <w:rFonts w:ascii="Crimson Pro" w:eastAsia="Times New Roman" w:hAnsi="Crimson Pro" w:cs="Times New Roman"/>
      <w:sz w:val="16"/>
      <w:shd w:val="clear" w:color="auto" w:fill="FFFFFF"/>
      <w:lang w:val="en-US"/>
    </w:rPr>
  </w:style>
  <w:style w:type="paragraph" w:customStyle="1" w:styleId="Caution0-CautionBox">
    <w:name w:val="Caution0 - CautionBox"/>
    <w:basedOn w:val="I0-InfoBox"/>
    <w:link w:val="Caution0-CautionBoxChar"/>
    <w:rsid w:val="00E3012D"/>
  </w:style>
  <w:style w:type="character" w:customStyle="1" w:styleId="Caution0-CautionBoxChar">
    <w:name w:val="Caution0 - CautionBox Char"/>
    <w:basedOn w:val="P0-ParagraphChar"/>
    <w:link w:val="Caution0-CautionBox"/>
    <w:rsid w:val="00E3012D"/>
    <w:rPr>
      <w:rFonts w:ascii="Crimson Pro" w:eastAsia="Times New Roman" w:hAnsi="Crimson Pro" w:cs="Times New Roman"/>
      <w:sz w:val="20"/>
      <w:shd w:val="clear" w:color="auto" w:fill="FFFFFF"/>
      <w:lang w:val="en-US"/>
    </w:rPr>
  </w:style>
  <w:style w:type="paragraph" w:customStyle="1" w:styleId="Caution0-CautionBoxNumberedList">
    <w:name w:val="Caution0 - CautionBoxNumberedList"/>
    <w:basedOn w:val="I0-InfoBoxNumberedList"/>
    <w:link w:val="Caution0-CautionBoxNumberedListChar"/>
    <w:rsid w:val="00E3012D"/>
  </w:style>
  <w:style w:type="character" w:customStyle="1" w:styleId="Caution0-CautionBoxNumberedListChar">
    <w:name w:val="Caution0 - CautionBoxNumberedList Char"/>
    <w:basedOn w:val="P0-ParagraphChar"/>
    <w:link w:val="Caution0-CautionBoxNumberedList"/>
    <w:rsid w:val="00E3012D"/>
    <w:rPr>
      <w:rFonts w:ascii="Crimson Pro" w:eastAsia="Times New Roman" w:hAnsi="Crimson Pro" w:cs="Times New Roman"/>
      <w:sz w:val="20"/>
      <w:shd w:val="clear" w:color="auto" w:fill="FFFFFF"/>
      <w:lang w:val="en-US"/>
    </w:rPr>
  </w:style>
  <w:style w:type="paragraph" w:customStyle="1" w:styleId="Caution0-CautionBoxCode">
    <w:name w:val="Caution0 - CautionBoxCode"/>
    <w:basedOn w:val="I0-InfoBoxCode"/>
    <w:link w:val="Caution0-CautionBoxCodeChar"/>
    <w:rsid w:val="00E3012D"/>
  </w:style>
  <w:style w:type="character" w:customStyle="1" w:styleId="Caution0-CautionBoxCodeChar">
    <w:name w:val="Caution0 - CautionBoxCode Char"/>
    <w:basedOn w:val="P0-ParagraphChar"/>
    <w:link w:val="Caution0-CautionBoxCode"/>
    <w:rsid w:val="00E3012D"/>
    <w:rPr>
      <w:rFonts w:ascii="Consolas" w:eastAsia="Times New Roman" w:hAnsi="Consolas" w:cs="Times New Roman"/>
      <w:color w:val="383A42"/>
      <w:sz w:val="18"/>
      <w:shd w:val="clear" w:color="auto" w:fill="FAFAFA"/>
      <w:lang w:val="en-US"/>
    </w:rPr>
  </w:style>
  <w:style w:type="paragraph" w:customStyle="1" w:styleId="Caution0-CautionBoxConsole">
    <w:name w:val="Caution0 - CautionBoxConsole"/>
    <w:basedOn w:val="I0-InfoBoxConsole"/>
    <w:link w:val="Caution0-CautionBoxConsoleChar"/>
    <w:rsid w:val="00E3012D"/>
  </w:style>
  <w:style w:type="character" w:customStyle="1" w:styleId="Caution0-CautionBoxConsoleChar">
    <w:name w:val="Caution0 - CautionBoxConsole Char"/>
    <w:basedOn w:val="P0-ParagraphChar"/>
    <w:link w:val="Caution0-CautionBoxConsole"/>
    <w:rsid w:val="00E3012D"/>
    <w:rPr>
      <w:rFonts w:ascii="Consolas" w:eastAsia="Times New Roman" w:hAnsi="Consolas" w:cs="Times New Roman"/>
      <w:color w:val="F8F8F2"/>
      <w:sz w:val="18"/>
      <w:shd w:val="clear" w:color="auto" w:fill="282A36"/>
      <w:lang w:val="en-US"/>
    </w:rPr>
  </w:style>
  <w:style w:type="paragraph" w:customStyle="1" w:styleId="Caution1-CautionBoxBullet">
    <w:name w:val="Caution1 - CautionBoxBullet"/>
    <w:basedOn w:val="I1-InfoBoxBullet"/>
    <w:link w:val="Caution1-CautionBoxBulletChar"/>
    <w:rsid w:val="00E3012D"/>
  </w:style>
  <w:style w:type="character" w:customStyle="1" w:styleId="Caution1-CautionBoxBulletChar">
    <w:name w:val="Caution1 - CautionBoxBullet Char"/>
    <w:basedOn w:val="P0-ParagraphChar"/>
    <w:link w:val="Caution1-CautionBoxBullet"/>
    <w:rsid w:val="00E3012D"/>
    <w:rPr>
      <w:rFonts w:ascii="Crimson Pro" w:eastAsia="Times New Roman" w:hAnsi="Crimson Pro" w:cs="Times New Roman"/>
      <w:sz w:val="20"/>
      <w:shd w:val="clear" w:color="auto" w:fill="FFFFFF"/>
      <w:lang w:val="en-US"/>
    </w:rPr>
  </w:style>
  <w:style w:type="paragraph" w:customStyle="1" w:styleId="Caution1-CautionBoxCenter">
    <w:name w:val="Caution1 - CautionBoxCenter"/>
    <w:basedOn w:val="I1-InfoBoxCenter"/>
    <w:link w:val="Caution1-CautionBoxCenterChar"/>
    <w:rsid w:val="00E3012D"/>
  </w:style>
  <w:style w:type="character" w:customStyle="1" w:styleId="Caution1-CautionBoxCenterChar">
    <w:name w:val="Caution1 - CautionBoxCenter Char"/>
    <w:basedOn w:val="P0-ParagraphChar"/>
    <w:link w:val="Caution1-CautionBoxCenter"/>
    <w:rsid w:val="00E3012D"/>
    <w:rPr>
      <w:rFonts w:ascii="Crimson Pro" w:eastAsia="Times New Roman" w:hAnsi="Crimson Pro" w:cs="Times New Roman"/>
      <w:sz w:val="20"/>
      <w:shd w:val="clear" w:color="auto" w:fill="FFFFFF"/>
      <w:lang w:val="en-US"/>
    </w:rPr>
  </w:style>
  <w:style w:type="paragraph" w:customStyle="1" w:styleId="Caution1-CautionBoxFigure">
    <w:name w:val="Caution1 - CautionBoxFigure"/>
    <w:basedOn w:val="I1-InfoBoxFigure"/>
    <w:link w:val="Caution1-CautionBoxFigureChar"/>
    <w:rsid w:val="00E3012D"/>
  </w:style>
  <w:style w:type="character" w:customStyle="1" w:styleId="Caution1-CautionBoxFigureChar">
    <w:name w:val="Caution1 - CautionBoxFigure Char"/>
    <w:basedOn w:val="P0-ParagraphChar"/>
    <w:link w:val="Caution1-CautionBoxFigure"/>
    <w:rsid w:val="00E3012D"/>
    <w:rPr>
      <w:rFonts w:ascii="Crimson Pro" w:eastAsia="Times New Roman" w:hAnsi="Crimson Pro" w:cs="Times New Roman"/>
      <w:sz w:val="16"/>
      <w:shd w:val="clear" w:color="auto" w:fill="FFFFFF"/>
      <w:lang w:val="en-US"/>
    </w:rPr>
  </w:style>
  <w:style w:type="paragraph" w:customStyle="1" w:styleId="Caution1-CautionBoxCaption">
    <w:name w:val="Caution1 - CautionBoxCaption"/>
    <w:basedOn w:val="I1-InfoBoxCaption"/>
    <w:link w:val="Caution1-CautionBoxCaptionChar"/>
    <w:rsid w:val="00E3012D"/>
  </w:style>
  <w:style w:type="character" w:customStyle="1" w:styleId="Caution1-CautionBoxCaptionChar">
    <w:name w:val="Caution1 - CautionBoxCaption Char"/>
    <w:basedOn w:val="P0-ParagraphChar"/>
    <w:link w:val="Caution1-CautionBoxCaption"/>
    <w:rsid w:val="00E3012D"/>
    <w:rPr>
      <w:rFonts w:ascii="Crimson Pro" w:eastAsia="Times New Roman" w:hAnsi="Crimson Pro" w:cs="Times New Roman"/>
      <w:sz w:val="16"/>
      <w:shd w:val="clear" w:color="auto" w:fill="FFFFFF"/>
      <w:lang w:val="en-US"/>
    </w:rPr>
  </w:style>
  <w:style w:type="paragraph" w:customStyle="1" w:styleId="Caution1-CautionBox">
    <w:name w:val="Caution1 - CautionBox"/>
    <w:basedOn w:val="I1-InfoBox"/>
    <w:link w:val="Caution1-CautionBoxChar"/>
    <w:rsid w:val="00E3012D"/>
  </w:style>
  <w:style w:type="character" w:customStyle="1" w:styleId="Caution1-CautionBoxChar">
    <w:name w:val="Caution1 - CautionBox Char"/>
    <w:basedOn w:val="P0-ParagraphChar"/>
    <w:link w:val="Caution1-CautionBox"/>
    <w:rsid w:val="00E3012D"/>
    <w:rPr>
      <w:rFonts w:ascii="Crimson Pro" w:eastAsia="Times New Roman" w:hAnsi="Crimson Pro" w:cs="Times New Roman"/>
      <w:sz w:val="20"/>
      <w:shd w:val="clear" w:color="auto" w:fill="FFFFFF"/>
      <w:lang w:val="en-US"/>
    </w:rPr>
  </w:style>
  <w:style w:type="paragraph" w:customStyle="1" w:styleId="Caution1-CautionBoxNumberedList">
    <w:name w:val="Caution1 - CautionBoxNumberedList"/>
    <w:basedOn w:val="I1-InfoBoxNumberedList"/>
    <w:link w:val="Caution1-CautionBoxNumberedListChar"/>
    <w:rsid w:val="00E3012D"/>
  </w:style>
  <w:style w:type="character" w:customStyle="1" w:styleId="Caution1-CautionBoxNumberedListChar">
    <w:name w:val="Caution1 - CautionBoxNumberedList Char"/>
    <w:basedOn w:val="P0-ParagraphChar"/>
    <w:link w:val="Caution1-CautionBoxNumberedList"/>
    <w:rsid w:val="00E3012D"/>
    <w:rPr>
      <w:rFonts w:ascii="Crimson Pro" w:eastAsia="Times New Roman" w:hAnsi="Crimson Pro" w:cs="Times New Roman"/>
      <w:sz w:val="20"/>
      <w:shd w:val="clear" w:color="auto" w:fill="FFFFFF"/>
      <w:lang w:val="en-US"/>
    </w:rPr>
  </w:style>
  <w:style w:type="paragraph" w:customStyle="1" w:styleId="Caution1-CautionBoxCode">
    <w:name w:val="Caution1 - CautionBoxCode"/>
    <w:basedOn w:val="I1-InfoBoxCode"/>
    <w:link w:val="Caution1-CautionBoxCodeChar"/>
    <w:rsid w:val="00E3012D"/>
  </w:style>
  <w:style w:type="character" w:customStyle="1" w:styleId="Caution1-CautionBoxCodeChar">
    <w:name w:val="Caution1 - CautionBoxCode Char"/>
    <w:basedOn w:val="P0-ParagraphChar"/>
    <w:link w:val="Caution1-CautionBoxCode"/>
    <w:rsid w:val="00E3012D"/>
    <w:rPr>
      <w:rFonts w:ascii="Consolas" w:eastAsia="Times New Roman" w:hAnsi="Consolas" w:cs="Times New Roman"/>
      <w:color w:val="383A42"/>
      <w:sz w:val="18"/>
      <w:shd w:val="clear" w:color="auto" w:fill="FAFAFA"/>
      <w:lang w:val="en-US"/>
    </w:rPr>
  </w:style>
  <w:style w:type="paragraph" w:customStyle="1" w:styleId="Caution1-CautionBoxConsole">
    <w:name w:val="Caution1 - CautionBoxConsole"/>
    <w:basedOn w:val="I1-InfoBoxConsole"/>
    <w:link w:val="Caution1-CautionBoxConsoleChar"/>
    <w:rsid w:val="00E3012D"/>
  </w:style>
  <w:style w:type="character" w:customStyle="1" w:styleId="Caution1-CautionBoxConsoleChar">
    <w:name w:val="Caution1 - CautionBoxConsole Char"/>
    <w:basedOn w:val="P0-ParagraphChar"/>
    <w:link w:val="Caution1-CautionBoxConsole"/>
    <w:rsid w:val="00E3012D"/>
    <w:rPr>
      <w:rFonts w:ascii="Consolas" w:eastAsia="Times New Roman" w:hAnsi="Consolas" w:cs="Times New Roman"/>
      <w:color w:val="F8F8F2"/>
      <w:sz w:val="18"/>
      <w:shd w:val="clear" w:color="auto" w:fill="282A36"/>
      <w:lang w:val="en-US"/>
    </w:rPr>
  </w:style>
  <w:style w:type="paragraph" w:customStyle="1" w:styleId="Caution2-CautionBoxBullet">
    <w:name w:val="Caution2 - CautionBoxBullet"/>
    <w:basedOn w:val="I2-InfoBoxBullet"/>
    <w:link w:val="Caution2-CautionBoxBulletChar"/>
    <w:rsid w:val="00E3012D"/>
  </w:style>
  <w:style w:type="character" w:customStyle="1" w:styleId="Caution2-CautionBoxBulletChar">
    <w:name w:val="Caution2 - CautionBoxBullet Char"/>
    <w:basedOn w:val="P0-ParagraphChar"/>
    <w:link w:val="Caution2-CautionBoxBullet"/>
    <w:rsid w:val="00E3012D"/>
    <w:rPr>
      <w:rFonts w:ascii="Crimson Pro" w:eastAsia="Times New Roman" w:hAnsi="Crimson Pro" w:cs="Times New Roman"/>
      <w:sz w:val="20"/>
      <w:shd w:val="clear" w:color="auto" w:fill="FFFFFF"/>
      <w:lang w:val="en-US"/>
    </w:rPr>
  </w:style>
  <w:style w:type="paragraph" w:customStyle="1" w:styleId="Caution2-CautionBoxCenter">
    <w:name w:val="Caution2 - CautionBoxCenter"/>
    <w:basedOn w:val="I2-InfoBoxCenter"/>
    <w:link w:val="Caution2-CautionBoxCenterChar"/>
    <w:rsid w:val="00E3012D"/>
  </w:style>
  <w:style w:type="character" w:customStyle="1" w:styleId="Caution2-CautionBoxCenterChar">
    <w:name w:val="Caution2 - CautionBoxCenter Char"/>
    <w:basedOn w:val="P0-ParagraphChar"/>
    <w:link w:val="Caution2-CautionBoxCenter"/>
    <w:rsid w:val="00E3012D"/>
    <w:rPr>
      <w:rFonts w:ascii="Crimson Pro" w:eastAsia="Times New Roman" w:hAnsi="Crimson Pro" w:cs="Times New Roman"/>
      <w:sz w:val="20"/>
      <w:shd w:val="clear" w:color="auto" w:fill="FFFFFF"/>
      <w:lang w:val="en-US"/>
    </w:rPr>
  </w:style>
  <w:style w:type="paragraph" w:customStyle="1" w:styleId="Caution2-CautionBoxFigure">
    <w:name w:val="Caution2 - CautionBoxFigure"/>
    <w:basedOn w:val="I2-InfoBoxFigure"/>
    <w:link w:val="Caution2-CautionBoxFigureChar"/>
    <w:rsid w:val="00E3012D"/>
  </w:style>
  <w:style w:type="character" w:customStyle="1" w:styleId="Caution2-CautionBoxFigureChar">
    <w:name w:val="Caution2 - CautionBoxFigure Char"/>
    <w:basedOn w:val="P0-ParagraphChar"/>
    <w:link w:val="Caution2-CautionBoxFigure"/>
    <w:rsid w:val="00E3012D"/>
    <w:rPr>
      <w:rFonts w:ascii="Crimson Pro" w:eastAsia="Times New Roman" w:hAnsi="Crimson Pro" w:cs="Times New Roman"/>
      <w:sz w:val="16"/>
      <w:shd w:val="clear" w:color="auto" w:fill="FFFFFF"/>
      <w:lang w:val="en-US"/>
    </w:rPr>
  </w:style>
  <w:style w:type="paragraph" w:customStyle="1" w:styleId="Caution2-CautionBoxCaption">
    <w:name w:val="Caution2 - CautionBoxCaption"/>
    <w:basedOn w:val="I2-InfoBoxCaption"/>
    <w:link w:val="Caution2-CautionBoxCaptionChar"/>
    <w:rsid w:val="00E3012D"/>
  </w:style>
  <w:style w:type="character" w:customStyle="1" w:styleId="Caution2-CautionBoxCaptionChar">
    <w:name w:val="Caution2 - CautionBoxCaption Char"/>
    <w:basedOn w:val="P0-ParagraphChar"/>
    <w:link w:val="Caution2-CautionBoxCaption"/>
    <w:rsid w:val="00E3012D"/>
    <w:rPr>
      <w:rFonts w:ascii="Crimson Pro" w:eastAsia="Times New Roman" w:hAnsi="Crimson Pro" w:cs="Times New Roman"/>
      <w:sz w:val="16"/>
      <w:shd w:val="clear" w:color="auto" w:fill="FFFFFF"/>
      <w:lang w:val="en-US"/>
    </w:rPr>
  </w:style>
  <w:style w:type="paragraph" w:customStyle="1" w:styleId="Caution2-CautionBox">
    <w:name w:val="Caution2 - CautionBox"/>
    <w:basedOn w:val="I2-InfoBox"/>
    <w:link w:val="Caution2-CautionBoxChar"/>
    <w:rsid w:val="00E3012D"/>
  </w:style>
  <w:style w:type="character" w:customStyle="1" w:styleId="Caution2-CautionBoxChar">
    <w:name w:val="Caution2 - CautionBox Char"/>
    <w:basedOn w:val="P0-ParagraphChar"/>
    <w:link w:val="Caution2-CautionBox"/>
    <w:rsid w:val="00E3012D"/>
    <w:rPr>
      <w:rFonts w:ascii="Crimson Pro" w:eastAsia="Times New Roman" w:hAnsi="Crimson Pro" w:cs="Times New Roman"/>
      <w:sz w:val="20"/>
      <w:shd w:val="clear" w:color="auto" w:fill="FFFFFF"/>
      <w:lang w:val="en-US"/>
    </w:rPr>
  </w:style>
  <w:style w:type="paragraph" w:customStyle="1" w:styleId="Caution2-CautionBoxNumberedList">
    <w:name w:val="Caution2 - CautionBoxNumberedList"/>
    <w:basedOn w:val="I2-InfoBoxNumberedList"/>
    <w:link w:val="Caution2-CautionBoxNumberedListChar"/>
    <w:rsid w:val="00E3012D"/>
  </w:style>
  <w:style w:type="character" w:customStyle="1" w:styleId="Caution2-CautionBoxNumberedListChar">
    <w:name w:val="Caution2 - CautionBoxNumberedList Char"/>
    <w:basedOn w:val="P0-ParagraphChar"/>
    <w:link w:val="Caution2-CautionBoxNumberedList"/>
    <w:rsid w:val="00E3012D"/>
    <w:rPr>
      <w:rFonts w:ascii="Crimson Pro" w:eastAsia="Times New Roman" w:hAnsi="Crimson Pro" w:cs="Times New Roman"/>
      <w:sz w:val="20"/>
      <w:shd w:val="clear" w:color="auto" w:fill="FFFFFF"/>
      <w:lang w:val="en-US"/>
    </w:rPr>
  </w:style>
  <w:style w:type="paragraph" w:customStyle="1" w:styleId="Caution2-CautionBoxCode">
    <w:name w:val="Caution2 - CautionBoxCode"/>
    <w:basedOn w:val="I2-InfoBoxCode"/>
    <w:link w:val="Caution2-CautionBoxCodeChar"/>
    <w:rsid w:val="00E3012D"/>
  </w:style>
  <w:style w:type="character" w:customStyle="1" w:styleId="Caution2-CautionBoxCodeChar">
    <w:name w:val="Caution2 - CautionBoxCode Char"/>
    <w:basedOn w:val="P0-ParagraphChar"/>
    <w:link w:val="Caution2-CautionBoxCode"/>
    <w:rsid w:val="00E3012D"/>
    <w:rPr>
      <w:rFonts w:ascii="Consolas" w:eastAsia="Times New Roman" w:hAnsi="Consolas" w:cs="Times New Roman"/>
      <w:color w:val="383A42"/>
      <w:sz w:val="18"/>
      <w:shd w:val="clear" w:color="auto" w:fill="FAFAFA"/>
      <w:lang w:val="en-US"/>
    </w:rPr>
  </w:style>
  <w:style w:type="paragraph" w:customStyle="1" w:styleId="Caution2-CautionBoxConsole">
    <w:name w:val="Caution2 - CautionBoxConsole"/>
    <w:basedOn w:val="I2-InfoBoxConsole"/>
    <w:link w:val="Caution2-CautionBoxConsoleChar"/>
    <w:rsid w:val="00E3012D"/>
  </w:style>
  <w:style w:type="character" w:customStyle="1" w:styleId="Caution2-CautionBoxConsoleChar">
    <w:name w:val="Caution2 - CautionBoxConsole Char"/>
    <w:basedOn w:val="P0-ParagraphChar"/>
    <w:link w:val="Caution2-CautionBoxConsole"/>
    <w:rsid w:val="00E3012D"/>
    <w:rPr>
      <w:rFonts w:ascii="Consolas" w:eastAsia="Times New Roman" w:hAnsi="Consolas" w:cs="Times New Roman"/>
      <w:color w:val="F8F8F2"/>
      <w:sz w:val="18"/>
      <w:shd w:val="clear" w:color="auto" w:fill="282A36"/>
      <w:lang w:val="en-US"/>
    </w:rPr>
  </w:style>
  <w:style w:type="paragraph" w:customStyle="1" w:styleId="AIHelper0-AIHelperBoxBullet">
    <w:name w:val="AI Helper0 - AIHelperBoxBullet"/>
    <w:basedOn w:val="I0-InfoBoxBullet"/>
    <w:link w:val="AIHelper0-AIHelperBoxBulletChar"/>
    <w:rsid w:val="00E3012D"/>
  </w:style>
  <w:style w:type="character" w:customStyle="1" w:styleId="AIHelper0-AIHelperBoxBulletChar">
    <w:name w:val="AI Helper0 - AIHelperBoxBullet Char"/>
    <w:basedOn w:val="P0-ParagraphChar"/>
    <w:link w:val="AIHelper0-AIHelperBoxBullet"/>
    <w:rsid w:val="00E3012D"/>
    <w:rPr>
      <w:rFonts w:ascii="Crimson Pro" w:eastAsia="Times New Roman" w:hAnsi="Crimson Pro" w:cs="Times New Roman"/>
      <w:sz w:val="20"/>
      <w:shd w:val="clear" w:color="auto" w:fill="FFFFFF"/>
      <w:lang w:val="en-US"/>
    </w:rPr>
  </w:style>
  <w:style w:type="paragraph" w:customStyle="1" w:styleId="AIHelper0-AIHelperBoxCenter">
    <w:name w:val="AI Helper0 - AIHelperBoxCenter"/>
    <w:basedOn w:val="I0-InfoBoxCenter"/>
    <w:link w:val="AIHelper0-AIHelperBoxCenterChar"/>
    <w:rsid w:val="00E3012D"/>
  </w:style>
  <w:style w:type="character" w:customStyle="1" w:styleId="AIHelper0-AIHelperBoxCenterChar">
    <w:name w:val="AI Helper0 - AIHelperBoxCenter Char"/>
    <w:basedOn w:val="P0-ParagraphChar"/>
    <w:link w:val="AIHelper0-AIHelperBoxCenter"/>
    <w:rsid w:val="00E3012D"/>
    <w:rPr>
      <w:rFonts w:ascii="Crimson Pro" w:eastAsia="Times New Roman" w:hAnsi="Crimson Pro" w:cs="Times New Roman"/>
      <w:sz w:val="20"/>
      <w:shd w:val="clear" w:color="auto" w:fill="FFFFFF"/>
      <w:lang w:val="en-US"/>
    </w:rPr>
  </w:style>
  <w:style w:type="paragraph" w:customStyle="1" w:styleId="AIHelper0-AIHelperBoxFigure">
    <w:name w:val="AI Helper0 - AIHelperBoxFigure"/>
    <w:basedOn w:val="I0-InfoBoxFigure"/>
    <w:link w:val="AIHelper0-AIHelperBoxFigureChar"/>
    <w:rsid w:val="00E3012D"/>
  </w:style>
  <w:style w:type="character" w:customStyle="1" w:styleId="AIHelper0-AIHelperBoxFigureChar">
    <w:name w:val="AI Helper0 - AIHelperBoxFigure Char"/>
    <w:basedOn w:val="P0-ParagraphChar"/>
    <w:link w:val="AIHelper0-AIHelperBoxFigure"/>
    <w:rsid w:val="00E3012D"/>
    <w:rPr>
      <w:rFonts w:ascii="Crimson Pro" w:eastAsia="Times New Roman" w:hAnsi="Crimson Pro" w:cs="Times New Roman"/>
      <w:sz w:val="16"/>
      <w:shd w:val="clear" w:color="auto" w:fill="FFFFFF"/>
      <w:lang w:val="en-US"/>
    </w:rPr>
  </w:style>
  <w:style w:type="paragraph" w:customStyle="1" w:styleId="AIHelper0-AIHelperBoxCaption">
    <w:name w:val="AI Helper0 - AIHelperBoxCaption"/>
    <w:basedOn w:val="I0-InfoBoxCaption"/>
    <w:link w:val="AIHelper0-AIHelperBoxCaptionChar"/>
    <w:rsid w:val="00E3012D"/>
  </w:style>
  <w:style w:type="character" w:customStyle="1" w:styleId="AIHelper0-AIHelperBoxCaptionChar">
    <w:name w:val="AI Helper0 - AIHelperBoxCaption Char"/>
    <w:basedOn w:val="P0-ParagraphChar"/>
    <w:link w:val="AIHelper0-AIHelperBoxCaption"/>
    <w:rsid w:val="00E3012D"/>
    <w:rPr>
      <w:rFonts w:ascii="Crimson Pro" w:eastAsia="Times New Roman" w:hAnsi="Crimson Pro" w:cs="Times New Roman"/>
      <w:sz w:val="16"/>
      <w:shd w:val="clear" w:color="auto" w:fill="FFFFFF"/>
      <w:lang w:val="en-US"/>
    </w:rPr>
  </w:style>
  <w:style w:type="paragraph" w:customStyle="1" w:styleId="AIHelper0-AIHelperBox">
    <w:name w:val="AI Helper0 - AIHelperBox"/>
    <w:basedOn w:val="I0-InfoBox"/>
    <w:link w:val="AIHelper0-AIHelperBoxChar"/>
    <w:rsid w:val="00E3012D"/>
  </w:style>
  <w:style w:type="character" w:customStyle="1" w:styleId="AIHelper0-AIHelperBoxChar">
    <w:name w:val="AI Helper0 - AIHelperBox Char"/>
    <w:basedOn w:val="P0-ParagraphChar"/>
    <w:link w:val="AIHelper0-AIHelperBox"/>
    <w:rsid w:val="00E3012D"/>
    <w:rPr>
      <w:rFonts w:ascii="Crimson Pro" w:eastAsia="Times New Roman" w:hAnsi="Crimson Pro" w:cs="Times New Roman"/>
      <w:sz w:val="20"/>
      <w:shd w:val="clear" w:color="auto" w:fill="FFFFFF"/>
      <w:lang w:val="en-US"/>
    </w:rPr>
  </w:style>
  <w:style w:type="paragraph" w:customStyle="1" w:styleId="AIHelper0-AIHelperBoxNumberedList">
    <w:name w:val="AI Helper0 - AIHelperBoxNumberedList"/>
    <w:basedOn w:val="I0-InfoBoxNumberedList"/>
    <w:link w:val="AIHelper0-AIHelperBoxNumberedListChar"/>
    <w:rsid w:val="00E3012D"/>
  </w:style>
  <w:style w:type="character" w:customStyle="1" w:styleId="AIHelper0-AIHelperBoxNumberedListChar">
    <w:name w:val="AI Helper0 - AIHelperBoxNumberedList Char"/>
    <w:basedOn w:val="P0-ParagraphChar"/>
    <w:link w:val="AIHelper0-AIHelperBoxNumberedList"/>
    <w:rsid w:val="00E3012D"/>
    <w:rPr>
      <w:rFonts w:ascii="Crimson Pro" w:eastAsia="Times New Roman" w:hAnsi="Crimson Pro" w:cs="Times New Roman"/>
      <w:sz w:val="20"/>
      <w:shd w:val="clear" w:color="auto" w:fill="FFFFFF"/>
      <w:lang w:val="en-US"/>
    </w:rPr>
  </w:style>
  <w:style w:type="paragraph" w:customStyle="1" w:styleId="AIHelper0-AIHelperBoxCode">
    <w:name w:val="AI Helper0 - AIHelperBoxCode"/>
    <w:basedOn w:val="I0-InfoBoxCode"/>
    <w:link w:val="AIHelper0-AIHelperBoxCodeChar"/>
    <w:rsid w:val="00E3012D"/>
  </w:style>
  <w:style w:type="character" w:customStyle="1" w:styleId="AIHelper0-AIHelperBoxCodeChar">
    <w:name w:val="AI Helper0 - AIHelperBoxCode Char"/>
    <w:basedOn w:val="P0-ParagraphChar"/>
    <w:link w:val="AIHelper0-AIHelperBoxCode"/>
    <w:rsid w:val="00E3012D"/>
    <w:rPr>
      <w:rFonts w:ascii="Consolas" w:eastAsia="Times New Roman" w:hAnsi="Consolas" w:cs="Times New Roman"/>
      <w:color w:val="383A42"/>
      <w:sz w:val="18"/>
      <w:shd w:val="clear" w:color="auto" w:fill="FAFAFA"/>
      <w:lang w:val="en-US"/>
    </w:rPr>
  </w:style>
  <w:style w:type="paragraph" w:customStyle="1" w:styleId="AIHelper0-AIHelperBoxConsole">
    <w:name w:val="AI Helper0 - AIHelperBoxConsole"/>
    <w:basedOn w:val="I0-InfoBoxConsole"/>
    <w:link w:val="AIHelper0-AIHelperBoxConsoleChar"/>
    <w:rsid w:val="00E3012D"/>
  </w:style>
  <w:style w:type="character" w:customStyle="1" w:styleId="AIHelper0-AIHelperBoxConsoleChar">
    <w:name w:val="AI Helper0 - AIHelperBoxConsole Char"/>
    <w:basedOn w:val="P0-ParagraphChar"/>
    <w:link w:val="AIHelper0-AIHelperBoxConsole"/>
    <w:rsid w:val="00E3012D"/>
    <w:rPr>
      <w:rFonts w:ascii="Consolas" w:eastAsia="Times New Roman" w:hAnsi="Consolas" w:cs="Times New Roman"/>
      <w:color w:val="F8F8F2"/>
      <w:sz w:val="18"/>
      <w:shd w:val="clear" w:color="auto" w:fill="282A36"/>
      <w:lang w:val="en-US"/>
    </w:rPr>
  </w:style>
  <w:style w:type="paragraph" w:customStyle="1" w:styleId="AIHelper1-AIHelperBoxBullet">
    <w:name w:val="AI Helper1 - AIHelperBoxBullet"/>
    <w:basedOn w:val="I1-InfoBoxBullet"/>
    <w:link w:val="AIHelper1-AIHelperBoxBulletChar"/>
    <w:rsid w:val="00E3012D"/>
  </w:style>
  <w:style w:type="character" w:customStyle="1" w:styleId="AIHelper1-AIHelperBoxBulletChar">
    <w:name w:val="AI Helper1 - AIHelperBoxBullet Char"/>
    <w:basedOn w:val="P0-ParagraphChar"/>
    <w:link w:val="AIHelper1-AIHelperBoxBullet"/>
    <w:rsid w:val="00E3012D"/>
    <w:rPr>
      <w:rFonts w:ascii="Crimson Pro" w:eastAsia="Times New Roman" w:hAnsi="Crimson Pro" w:cs="Times New Roman"/>
      <w:sz w:val="20"/>
      <w:shd w:val="clear" w:color="auto" w:fill="FFFFFF"/>
      <w:lang w:val="en-US"/>
    </w:rPr>
  </w:style>
  <w:style w:type="paragraph" w:customStyle="1" w:styleId="AIHelper1-AIHelperBoxCenter">
    <w:name w:val="AI Helper1 - AIHelperBoxCenter"/>
    <w:basedOn w:val="I1-InfoBoxCenter"/>
    <w:link w:val="AIHelper1-AIHelperBoxCenterChar"/>
    <w:rsid w:val="00E3012D"/>
  </w:style>
  <w:style w:type="character" w:customStyle="1" w:styleId="AIHelper1-AIHelperBoxCenterChar">
    <w:name w:val="AI Helper1 - AIHelperBoxCenter Char"/>
    <w:basedOn w:val="P0-ParagraphChar"/>
    <w:link w:val="AIHelper1-AIHelperBoxCenter"/>
    <w:rsid w:val="00E3012D"/>
    <w:rPr>
      <w:rFonts w:ascii="Crimson Pro" w:eastAsia="Times New Roman" w:hAnsi="Crimson Pro" w:cs="Times New Roman"/>
      <w:sz w:val="20"/>
      <w:shd w:val="clear" w:color="auto" w:fill="FFFFFF"/>
      <w:lang w:val="en-US"/>
    </w:rPr>
  </w:style>
  <w:style w:type="paragraph" w:customStyle="1" w:styleId="AIHelper1-AIHelperBoxFigure">
    <w:name w:val="AI Helper1 - AIHelperBoxFigure"/>
    <w:basedOn w:val="I1-InfoBoxFigure"/>
    <w:link w:val="AIHelper1-AIHelperBoxFigureChar"/>
    <w:rsid w:val="00E3012D"/>
  </w:style>
  <w:style w:type="character" w:customStyle="1" w:styleId="AIHelper1-AIHelperBoxFigureChar">
    <w:name w:val="AI Helper1 - AIHelperBoxFigure Char"/>
    <w:basedOn w:val="P0-ParagraphChar"/>
    <w:link w:val="AIHelper1-AIHelperBoxFigure"/>
    <w:rsid w:val="00E3012D"/>
    <w:rPr>
      <w:rFonts w:ascii="Crimson Pro" w:eastAsia="Times New Roman" w:hAnsi="Crimson Pro" w:cs="Times New Roman"/>
      <w:sz w:val="16"/>
      <w:shd w:val="clear" w:color="auto" w:fill="FFFFFF"/>
      <w:lang w:val="en-US"/>
    </w:rPr>
  </w:style>
  <w:style w:type="paragraph" w:customStyle="1" w:styleId="AIHelper1-AIHelperBoxCaption">
    <w:name w:val="AI Helper1 - AIHelperBoxCaption"/>
    <w:basedOn w:val="I1-InfoBoxCaption"/>
    <w:link w:val="AIHelper1-AIHelperBoxCaptionChar"/>
    <w:rsid w:val="00E3012D"/>
  </w:style>
  <w:style w:type="character" w:customStyle="1" w:styleId="AIHelper1-AIHelperBoxCaptionChar">
    <w:name w:val="AI Helper1 - AIHelperBoxCaption Char"/>
    <w:basedOn w:val="P0-ParagraphChar"/>
    <w:link w:val="AIHelper1-AIHelperBoxCaption"/>
    <w:rsid w:val="00E3012D"/>
    <w:rPr>
      <w:rFonts w:ascii="Crimson Pro" w:eastAsia="Times New Roman" w:hAnsi="Crimson Pro" w:cs="Times New Roman"/>
      <w:sz w:val="16"/>
      <w:shd w:val="clear" w:color="auto" w:fill="FFFFFF"/>
      <w:lang w:val="en-US"/>
    </w:rPr>
  </w:style>
  <w:style w:type="paragraph" w:customStyle="1" w:styleId="AIHelper1-AIHelperBox">
    <w:name w:val="AI Helper1 - AIHelperBox"/>
    <w:basedOn w:val="I1-InfoBox"/>
    <w:link w:val="AIHelper1-AIHelperBoxChar"/>
    <w:rsid w:val="00E3012D"/>
  </w:style>
  <w:style w:type="character" w:customStyle="1" w:styleId="AIHelper1-AIHelperBoxChar">
    <w:name w:val="AI Helper1 - AIHelperBox Char"/>
    <w:basedOn w:val="P0-ParagraphChar"/>
    <w:link w:val="AIHelper1-AIHelperBox"/>
    <w:rsid w:val="00E3012D"/>
    <w:rPr>
      <w:rFonts w:ascii="Crimson Pro" w:eastAsia="Times New Roman" w:hAnsi="Crimson Pro" w:cs="Times New Roman"/>
      <w:sz w:val="20"/>
      <w:shd w:val="clear" w:color="auto" w:fill="FFFFFF"/>
      <w:lang w:val="en-US"/>
    </w:rPr>
  </w:style>
  <w:style w:type="paragraph" w:customStyle="1" w:styleId="AIHelper1-AIHelperBoxNumberedList">
    <w:name w:val="AI Helper1 - AIHelperBoxNumberedList"/>
    <w:basedOn w:val="I1-InfoBoxNumberedList"/>
    <w:link w:val="AIHelper1-AIHelperBoxNumberedListChar"/>
    <w:rsid w:val="00E3012D"/>
  </w:style>
  <w:style w:type="character" w:customStyle="1" w:styleId="AIHelper1-AIHelperBoxNumberedListChar">
    <w:name w:val="AI Helper1 - AIHelperBoxNumberedList Char"/>
    <w:basedOn w:val="P0-ParagraphChar"/>
    <w:link w:val="AIHelper1-AIHelperBoxNumberedList"/>
    <w:rsid w:val="00E3012D"/>
    <w:rPr>
      <w:rFonts w:ascii="Crimson Pro" w:eastAsia="Times New Roman" w:hAnsi="Crimson Pro" w:cs="Times New Roman"/>
      <w:sz w:val="20"/>
      <w:shd w:val="clear" w:color="auto" w:fill="FFFFFF"/>
      <w:lang w:val="en-US"/>
    </w:rPr>
  </w:style>
  <w:style w:type="paragraph" w:customStyle="1" w:styleId="AIHelper1-AIHelperBoxCode">
    <w:name w:val="AI Helper1 - AIHelperBoxCode"/>
    <w:basedOn w:val="I1-InfoBoxCode"/>
    <w:link w:val="AIHelper1-AIHelperBoxCodeChar"/>
    <w:rsid w:val="00E3012D"/>
  </w:style>
  <w:style w:type="character" w:customStyle="1" w:styleId="AIHelper1-AIHelperBoxCodeChar">
    <w:name w:val="AI Helper1 - AIHelperBoxCode Char"/>
    <w:basedOn w:val="P0-ParagraphChar"/>
    <w:link w:val="AIHelper1-AIHelperBoxCode"/>
    <w:rsid w:val="00E3012D"/>
    <w:rPr>
      <w:rFonts w:ascii="Consolas" w:eastAsia="Times New Roman" w:hAnsi="Consolas" w:cs="Times New Roman"/>
      <w:color w:val="383A42"/>
      <w:sz w:val="18"/>
      <w:shd w:val="clear" w:color="auto" w:fill="FAFAFA"/>
      <w:lang w:val="en-US"/>
    </w:rPr>
  </w:style>
  <w:style w:type="paragraph" w:customStyle="1" w:styleId="AIHelper1-AIHelperBoxConsole">
    <w:name w:val="AI Helper1 - AIHelperBoxConsole"/>
    <w:basedOn w:val="I1-InfoBoxConsole"/>
    <w:link w:val="AIHelper1-AIHelperBoxConsoleChar"/>
    <w:rsid w:val="00E3012D"/>
  </w:style>
  <w:style w:type="character" w:customStyle="1" w:styleId="AIHelper1-AIHelperBoxConsoleChar">
    <w:name w:val="AI Helper1 - AIHelperBoxConsole Char"/>
    <w:basedOn w:val="P0-ParagraphChar"/>
    <w:link w:val="AIHelper1-AIHelperBoxConsole"/>
    <w:rsid w:val="00E3012D"/>
    <w:rPr>
      <w:rFonts w:ascii="Consolas" w:eastAsia="Times New Roman" w:hAnsi="Consolas" w:cs="Times New Roman"/>
      <w:color w:val="F8F8F2"/>
      <w:sz w:val="18"/>
      <w:shd w:val="clear" w:color="auto" w:fill="282A36"/>
      <w:lang w:val="en-US"/>
    </w:rPr>
  </w:style>
  <w:style w:type="paragraph" w:customStyle="1" w:styleId="AIHelper2-AIHelperBoxBullet">
    <w:name w:val="AI Helper2 - AIHelperBoxBullet"/>
    <w:basedOn w:val="I2-InfoBoxBullet"/>
    <w:link w:val="AIHelper2-AIHelperBoxBulletChar"/>
    <w:rsid w:val="00E3012D"/>
  </w:style>
  <w:style w:type="character" w:customStyle="1" w:styleId="AIHelper2-AIHelperBoxBulletChar">
    <w:name w:val="AI Helper2 - AIHelperBoxBullet Char"/>
    <w:basedOn w:val="P0-ParagraphChar"/>
    <w:link w:val="AIHelper2-AIHelperBoxBullet"/>
    <w:rsid w:val="00E3012D"/>
    <w:rPr>
      <w:rFonts w:ascii="Crimson Pro" w:eastAsia="Times New Roman" w:hAnsi="Crimson Pro" w:cs="Times New Roman"/>
      <w:sz w:val="20"/>
      <w:shd w:val="clear" w:color="auto" w:fill="FFFFFF"/>
      <w:lang w:val="en-US"/>
    </w:rPr>
  </w:style>
  <w:style w:type="paragraph" w:customStyle="1" w:styleId="AIHelper2-AIHelperBoxCenter">
    <w:name w:val="AI Helper2 - AIHelperBoxCenter"/>
    <w:basedOn w:val="I2-InfoBoxCenter"/>
    <w:link w:val="AIHelper2-AIHelperBoxCenterChar"/>
    <w:rsid w:val="00E3012D"/>
  </w:style>
  <w:style w:type="character" w:customStyle="1" w:styleId="AIHelper2-AIHelperBoxCenterChar">
    <w:name w:val="AI Helper2 - AIHelperBoxCenter Char"/>
    <w:basedOn w:val="P0-ParagraphChar"/>
    <w:link w:val="AIHelper2-AIHelperBoxCenter"/>
    <w:rsid w:val="00E3012D"/>
    <w:rPr>
      <w:rFonts w:ascii="Crimson Pro" w:eastAsia="Times New Roman" w:hAnsi="Crimson Pro" w:cs="Times New Roman"/>
      <w:sz w:val="20"/>
      <w:shd w:val="clear" w:color="auto" w:fill="FFFFFF"/>
      <w:lang w:val="en-US"/>
    </w:rPr>
  </w:style>
  <w:style w:type="paragraph" w:customStyle="1" w:styleId="AIHelper2-AIHelperBoxFigure">
    <w:name w:val="AI Helper2 - AIHelperBoxFigure"/>
    <w:basedOn w:val="I2-InfoBoxFigure"/>
    <w:link w:val="AIHelper2-AIHelperBoxFigureChar"/>
    <w:rsid w:val="00E3012D"/>
  </w:style>
  <w:style w:type="character" w:customStyle="1" w:styleId="AIHelper2-AIHelperBoxFigureChar">
    <w:name w:val="AI Helper2 - AIHelperBoxFigure Char"/>
    <w:basedOn w:val="P0-ParagraphChar"/>
    <w:link w:val="AIHelper2-AIHelperBoxFigure"/>
    <w:rsid w:val="00E3012D"/>
    <w:rPr>
      <w:rFonts w:ascii="Crimson Pro" w:eastAsia="Times New Roman" w:hAnsi="Crimson Pro" w:cs="Times New Roman"/>
      <w:sz w:val="16"/>
      <w:shd w:val="clear" w:color="auto" w:fill="FFFFFF"/>
      <w:lang w:val="en-US"/>
    </w:rPr>
  </w:style>
  <w:style w:type="paragraph" w:customStyle="1" w:styleId="AIHelper2-AIHelperBoxCaption">
    <w:name w:val="AI Helper2 - AIHelperBoxCaption"/>
    <w:basedOn w:val="I2-InfoBoxCaption"/>
    <w:link w:val="AIHelper2-AIHelperBoxCaptionChar"/>
    <w:rsid w:val="00E3012D"/>
  </w:style>
  <w:style w:type="character" w:customStyle="1" w:styleId="AIHelper2-AIHelperBoxCaptionChar">
    <w:name w:val="AI Helper2 - AIHelperBoxCaption Char"/>
    <w:basedOn w:val="P0-ParagraphChar"/>
    <w:link w:val="AIHelper2-AIHelperBoxCaption"/>
    <w:rsid w:val="00E3012D"/>
    <w:rPr>
      <w:rFonts w:ascii="Crimson Pro" w:eastAsia="Times New Roman" w:hAnsi="Crimson Pro" w:cs="Times New Roman"/>
      <w:sz w:val="16"/>
      <w:shd w:val="clear" w:color="auto" w:fill="FFFFFF"/>
      <w:lang w:val="en-US"/>
    </w:rPr>
  </w:style>
  <w:style w:type="paragraph" w:customStyle="1" w:styleId="AIHelper2-AIHelperBox">
    <w:name w:val="AI Helper2 - AIHelperBox"/>
    <w:basedOn w:val="I2-InfoBox"/>
    <w:link w:val="AIHelper2-AIHelperBoxChar"/>
    <w:rsid w:val="00E3012D"/>
  </w:style>
  <w:style w:type="character" w:customStyle="1" w:styleId="AIHelper2-AIHelperBoxChar">
    <w:name w:val="AI Helper2 - AIHelperBox Char"/>
    <w:basedOn w:val="P0-ParagraphChar"/>
    <w:link w:val="AIHelper2-AIHelperBox"/>
    <w:rsid w:val="00E3012D"/>
    <w:rPr>
      <w:rFonts w:ascii="Crimson Pro" w:eastAsia="Times New Roman" w:hAnsi="Crimson Pro" w:cs="Times New Roman"/>
      <w:sz w:val="20"/>
      <w:shd w:val="clear" w:color="auto" w:fill="FFFFFF"/>
      <w:lang w:val="en-US"/>
    </w:rPr>
  </w:style>
  <w:style w:type="paragraph" w:customStyle="1" w:styleId="AIHelper2-AIHelperBoxNumberedList">
    <w:name w:val="AI Helper2 - AIHelperBoxNumberedList"/>
    <w:basedOn w:val="I2-InfoBoxNumberedList"/>
    <w:link w:val="AIHelper2-AIHelperBoxNumberedListChar"/>
    <w:rsid w:val="00E3012D"/>
  </w:style>
  <w:style w:type="character" w:customStyle="1" w:styleId="AIHelper2-AIHelperBoxNumberedListChar">
    <w:name w:val="AI Helper2 - AIHelperBoxNumberedList Char"/>
    <w:basedOn w:val="P0-ParagraphChar"/>
    <w:link w:val="AIHelper2-AIHelperBoxNumberedList"/>
    <w:rsid w:val="00E3012D"/>
    <w:rPr>
      <w:rFonts w:ascii="Crimson Pro" w:eastAsia="Times New Roman" w:hAnsi="Crimson Pro" w:cs="Times New Roman"/>
      <w:sz w:val="20"/>
      <w:shd w:val="clear" w:color="auto" w:fill="FFFFFF"/>
      <w:lang w:val="en-US"/>
    </w:rPr>
  </w:style>
  <w:style w:type="paragraph" w:customStyle="1" w:styleId="AIHelper2-AIHelperBoxCode">
    <w:name w:val="AI Helper2 - AIHelperBoxCode"/>
    <w:basedOn w:val="I2-InfoBoxCode"/>
    <w:link w:val="AIHelper2-AIHelperBoxCodeChar"/>
    <w:rsid w:val="00E3012D"/>
  </w:style>
  <w:style w:type="character" w:customStyle="1" w:styleId="AIHelper2-AIHelperBoxCodeChar">
    <w:name w:val="AI Helper2 - AIHelperBoxCode Char"/>
    <w:basedOn w:val="P0-ParagraphChar"/>
    <w:link w:val="AIHelper2-AIHelperBoxCode"/>
    <w:rsid w:val="00E3012D"/>
    <w:rPr>
      <w:rFonts w:ascii="Consolas" w:eastAsia="Times New Roman" w:hAnsi="Consolas" w:cs="Times New Roman"/>
      <w:color w:val="383A42"/>
      <w:sz w:val="18"/>
      <w:shd w:val="clear" w:color="auto" w:fill="FAFAFA"/>
      <w:lang w:val="en-US"/>
    </w:rPr>
  </w:style>
  <w:style w:type="paragraph" w:customStyle="1" w:styleId="AIHelper2-AIHelperBoxConsole">
    <w:name w:val="AI Helper2 - AIHelperBoxConsole"/>
    <w:basedOn w:val="I2-InfoBoxConsole"/>
    <w:link w:val="AIHelper2-AIHelperBoxConsoleChar"/>
    <w:rsid w:val="00E3012D"/>
  </w:style>
  <w:style w:type="character" w:customStyle="1" w:styleId="AIHelper2-AIHelperBoxConsoleChar">
    <w:name w:val="AI Helper2 - AIHelperBoxConsole Char"/>
    <w:basedOn w:val="P0-ParagraphChar"/>
    <w:link w:val="AIHelper2-AIHelperBoxConsole"/>
    <w:rsid w:val="00E3012D"/>
    <w:rPr>
      <w:rFonts w:ascii="Consolas" w:eastAsia="Times New Roman" w:hAnsi="Consolas" w:cs="Times New Roman"/>
      <w:color w:val="F8F8F2"/>
      <w:sz w:val="18"/>
      <w:shd w:val="clear" w:color="auto" w:fill="282A36"/>
      <w:lang w:val="en-US"/>
    </w:rPr>
  </w:style>
  <w:style w:type="paragraph" w:customStyle="1" w:styleId="L1-AlphabetCapital">
    <w:name w:val="L1 - AlphabetCapital"/>
    <w:basedOn w:val="L1-Alphabet"/>
    <w:qFormat/>
    <w:rsid w:val="00E3012D"/>
    <w:pPr>
      <w:numPr>
        <w:numId w:val="29"/>
      </w:numPr>
    </w:pPr>
  </w:style>
  <w:style w:type="paragraph" w:customStyle="1" w:styleId="L2-AlphabetCapital">
    <w:name w:val="L2 - AlphabetCapital"/>
    <w:basedOn w:val="L2-Alphabet"/>
    <w:qFormat/>
    <w:rsid w:val="00E3012D"/>
    <w:pPr>
      <w:numPr>
        <w:numId w:val="30"/>
      </w:numPr>
    </w:pPr>
  </w:style>
  <w:style w:type="paragraph" w:customStyle="1" w:styleId="L3-AlphabetCapital">
    <w:name w:val="L3 - AlphabetCapital"/>
    <w:basedOn w:val="L3-Alphabet"/>
    <w:qFormat/>
    <w:rsid w:val="00E3012D"/>
    <w:pPr>
      <w:numPr>
        <w:numId w:val="3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ubhraMayuri\AppData\Roaming\Microsoft\Templates\Packt_Editorial_Template_Auto_Layou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9i5LRy9lefOLYYZb+Ztcv7ce/g==">CgMxLjA4AHIhMUhQYkZWbmJCZkxtOGpZRTBDZmFnLUc2MXpGSXliTVpM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Packt_Editorial_Template_Auto_Layout</Template>
  <TotalTime>1</TotalTime>
  <Pages>42</Pages>
  <Words>15476</Words>
  <Characters>88218</Characters>
  <Application>Microsoft Office Word</Application>
  <DocSecurity>0</DocSecurity>
  <Lines>735</Lines>
  <Paragraphs>206</Paragraphs>
  <ScaleCrop>false</ScaleCrop>
  <Company/>
  <LinksUpToDate>false</LinksUpToDate>
  <CharactersWithSpaces>103488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Shubhra Mayuri</cp:lastModifiedBy>
  <cp:revision>2</cp:revision>
  <dcterms:created xsi:type="dcterms:W3CDTF">2026-10-21T10:26:00Z</dcterms:created>
  <dcterms:modified xsi:type="dcterms:W3CDTF">2026-10-21T10:27:00Z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0x010100F28CD1E3B10FD647B2C00F8D5CAE40C5</vt:lpwstr>
  </property>
</Properties>
</file>