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D515B" w14:textId="77777777" w:rsidR="00245204" w:rsidRPr="00D069A2" w:rsidRDefault="00000000" w:rsidP="00D069A2">
      <w:pPr>
        <w:pStyle w:val="HS-ChapterTitle"/>
        <w:rPr>
          <w:color w:val="auto"/>
        </w:rPr>
      </w:pPr>
      <w:r w:rsidRPr="00D069A2">
        <w:rPr>
          <w:rFonts w:eastAsia="Cambria"/>
          <w:color w:val="auto"/>
        </w:rPr>
        <w:t>ASCR-11: Agentic Security Service-Level Agreement</w:t>
      </w:r>
    </w:p>
    <w:p w14:paraId="5DF451A9" w14:textId="489BBE33" w:rsidR="00245204" w:rsidRPr="00D069A2" w:rsidRDefault="00000000" w:rsidP="00D069A2">
      <w:pPr>
        <w:pStyle w:val="Subtitle"/>
        <w:rPr>
          <w:color w:val="auto"/>
        </w:rPr>
      </w:pPr>
      <w:r w:rsidRPr="00D069A2">
        <w:rPr>
          <w:rFonts w:ascii="Cambria" w:eastAsia="Cambria" w:hAnsi="Cambria" w:cs="Cambria"/>
          <w:i/>
          <w:iCs/>
          <w:color w:val="auto"/>
        </w:rPr>
        <w:t>Contractual Exhibit and Practitioner Operating Instrument</w:t>
      </w:r>
    </w:p>
    <w:p w14:paraId="00EDAA6C" w14:textId="77777777" w:rsidR="00245204" w:rsidRPr="00D069A2" w:rsidRDefault="00000000" w:rsidP="00D069A2">
      <w:pPr>
        <w:pStyle w:val="HS-Heading1"/>
      </w:pPr>
      <w:r w:rsidRPr="00D069A2">
        <w:t>ASCR-11 definition</w:t>
      </w:r>
    </w:p>
    <w:tbl>
      <w:tblPr>
        <w:tblStyle w:val="a1"/>
        <w:tblW w:w="93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85"/>
        <w:gridCol w:w="7615"/>
      </w:tblGrid>
      <w:tr w:rsidR="00245204" w:rsidRPr="00D069A2" w14:paraId="3327D609" w14:textId="77777777" w:rsidTr="00D069A2">
        <w:trPr>
          <w:cnfStyle w:val="100000000000" w:firstRow="1" w:lastRow="0" w:firstColumn="0" w:lastColumn="0" w:oddVBand="0" w:evenVBand="0" w:oddHBand="0" w:evenHBand="0" w:firstRowFirstColumn="0" w:firstRowLastColumn="0" w:lastRowFirstColumn="0" w:lastRowLastColumn="0"/>
          <w:cantSplit/>
        </w:trPr>
        <w:tc>
          <w:tcPr>
            <w:tcW w:w="1685" w:type="dxa"/>
            <w:tcBorders>
              <w:bottom w:val="none" w:sz="0" w:space="0" w:color="auto"/>
            </w:tcBorders>
            <w:tcMar>
              <w:top w:w="72" w:type="dxa"/>
              <w:bottom w:w="72" w:type="dxa"/>
            </w:tcMar>
            <w:vAlign w:val="top"/>
          </w:tcPr>
          <w:p w14:paraId="38AFA589" w14:textId="77777777" w:rsidR="00245204" w:rsidRPr="00D069A2" w:rsidRDefault="00000000" w:rsidP="00D069A2">
            <w:pPr>
              <w:pStyle w:val="T0-Table"/>
              <w:rPr>
                <w:rStyle w:val="CS-Keyword"/>
              </w:rPr>
            </w:pPr>
            <w:r w:rsidRPr="00D069A2">
              <w:rPr>
                <w:rStyle w:val="CS-Keyword"/>
              </w:rPr>
              <w:t>Artifact Type</w:t>
            </w:r>
          </w:p>
        </w:tc>
        <w:tc>
          <w:tcPr>
            <w:tcW w:w="7615" w:type="dxa"/>
            <w:tcBorders>
              <w:bottom w:val="none" w:sz="0" w:space="0" w:color="auto"/>
            </w:tcBorders>
            <w:tcMar>
              <w:top w:w="72" w:type="dxa"/>
              <w:bottom w:w="72" w:type="dxa"/>
            </w:tcMar>
            <w:vAlign w:val="top"/>
          </w:tcPr>
          <w:p w14:paraId="456E4A5E" w14:textId="77777777" w:rsidR="00245204" w:rsidRPr="00D069A2" w:rsidRDefault="00000000" w:rsidP="00D069A2">
            <w:pPr>
              <w:pStyle w:val="T0-Table"/>
            </w:pPr>
            <w:r w:rsidRPr="00D069A2">
              <w:t>Contractual Exhibit and Bilateral Governance Instrument</w:t>
            </w:r>
          </w:p>
        </w:tc>
      </w:tr>
      <w:tr w:rsidR="00245204" w:rsidRPr="00D069A2" w14:paraId="13A1E87E" w14:textId="77777777" w:rsidTr="00D069A2">
        <w:trPr>
          <w:cantSplit/>
        </w:trPr>
        <w:tc>
          <w:tcPr>
            <w:tcW w:w="1685" w:type="dxa"/>
            <w:tcMar>
              <w:top w:w="72" w:type="dxa"/>
              <w:bottom w:w="72" w:type="dxa"/>
            </w:tcMar>
          </w:tcPr>
          <w:p w14:paraId="1A4AE19A" w14:textId="77777777" w:rsidR="00245204" w:rsidRPr="00D069A2" w:rsidRDefault="00000000" w:rsidP="00D069A2">
            <w:pPr>
              <w:pStyle w:val="T0-Table"/>
              <w:rPr>
                <w:rStyle w:val="CS-Keyword"/>
              </w:rPr>
            </w:pPr>
            <w:r w:rsidRPr="00D069A2">
              <w:rPr>
                <w:rStyle w:val="CS-Keyword"/>
              </w:rPr>
              <w:t>Primary Use</w:t>
            </w:r>
          </w:p>
        </w:tc>
        <w:tc>
          <w:tcPr>
            <w:tcW w:w="7615" w:type="dxa"/>
            <w:tcMar>
              <w:top w:w="72" w:type="dxa"/>
              <w:bottom w:w="72" w:type="dxa"/>
            </w:tcMar>
          </w:tcPr>
          <w:p w14:paraId="45BD8B9D" w14:textId="77777777" w:rsidR="00245204" w:rsidRPr="00D069A2" w:rsidRDefault="00000000" w:rsidP="00D069A2">
            <w:pPr>
              <w:pStyle w:val="T0-Table"/>
            </w:pPr>
            <w:r w:rsidRPr="00D069A2">
              <w:t>Embedding technical service obligations, vendor and operator governance requirements, and the applicable contractual service-level and regulatory-support obligations into enforceable contractual commitments before any production agentic deployment is authorized</w:t>
            </w:r>
          </w:p>
        </w:tc>
      </w:tr>
      <w:tr w:rsidR="00245204" w:rsidRPr="00D069A2" w14:paraId="3025A24B" w14:textId="77777777" w:rsidTr="00D069A2">
        <w:trPr>
          <w:cantSplit/>
        </w:trPr>
        <w:tc>
          <w:tcPr>
            <w:tcW w:w="1685" w:type="dxa"/>
            <w:tcMar>
              <w:top w:w="72" w:type="dxa"/>
              <w:bottom w:w="72" w:type="dxa"/>
            </w:tcMar>
          </w:tcPr>
          <w:p w14:paraId="4560F72D" w14:textId="77777777" w:rsidR="00245204" w:rsidRPr="00D069A2" w:rsidRDefault="00000000" w:rsidP="00D069A2">
            <w:pPr>
              <w:pStyle w:val="T0-Table"/>
              <w:rPr>
                <w:rStyle w:val="CS-Keyword"/>
              </w:rPr>
            </w:pPr>
            <w:r w:rsidRPr="00D069A2">
              <w:rPr>
                <w:rStyle w:val="CS-Keyword"/>
              </w:rPr>
              <w:t>Secondary Use</w:t>
            </w:r>
          </w:p>
        </w:tc>
        <w:tc>
          <w:tcPr>
            <w:tcW w:w="7615" w:type="dxa"/>
            <w:tcMar>
              <w:top w:w="72" w:type="dxa"/>
              <w:bottom w:w="72" w:type="dxa"/>
            </w:tcMar>
          </w:tcPr>
          <w:p w14:paraId="33F7452D" w14:textId="77777777" w:rsidR="00245204" w:rsidRPr="00D069A2" w:rsidRDefault="00000000" w:rsidP="00D069A2">
            <w:pPr>
              <w:pStyle w:val="T0-Table"/>
            </w:pPr>
            <w:r w:rsidRPr="00D069A2">
              <w:t>Regulatory evidence of supply chain security governance; evidence supporting product-liability and contractual risk-allocation analysis under the EU Revised Product Liability Directive (RPLD), where applicable; pre-procurement vendor qualification instrument; consulting engagement contractual deliverable</w:t>
            </w:r>
          </w:p>
        </w:tc>
      </w:tr>
      <w:tr w:rsidR="00245204" w:rsidRPr="00D069A2" w14:paraId="363A36E2" w14:textId="77777777" w:rsidTr="00D069A2">
        <w:trPr>
          <w:cantSplit/>
        </w:trPr>
        <w:tc>
          <w:tcPr>
            <w:tcW w:w="1685" w:type="dxa"/>
            <w:tcMar>
              <w:top w:w="72" w:type="dxa"/>
              <w:bottom w:w="72" w:type="dxa"/>
            </w:tcMar>
          </w:tcPr>
          <w:p w14:paraId="2ECFF402" w14:textId="77777777" w:rsidR="00245204" w:rsidRPr="00D069A2" w:rsidRDefault="00000000" w:rsidP="00D069A2">
            <w:pPr>
              <w:pStyle w:val="T0-Table"/>
              <w:rPr>
                <w:rStyle w:val="CS-Keyword"/>
              </w:rPr>
            </w:pPr>
            <w:r w:rsidRPr="00D069A2">
              <w:rPr>
                <w:rStyle w:val="CS-Keyword"/>
              </w:rPr>
              <w:t>Operational Phase</w:t>
            </w:r>
          </w:p>
        </w:tc>
        <w:tc>
          <w:tcPr>
            <w:tcW w:w="7615" w:type="dxa"/>
            <w:tcMar>
              <w:top w:w="72" w:type="dxa"/>
              <w:bottom w:w="72" w:type="dxa"/>
            </w:tcMar>
          </w:tcPr>
          <w:p w14:paraId="7AD0C59E" w14:textId="77777777" w:rsidR="00245204" w:rsidRPr="00D069A2" w:rsidRDefault="00000000" w:rsidP="00D069A2">
            <w:pPr>
              <w:pStyle w:val="T0-Table"/>
            </w:pPr>
            <w:r w:rsidRPr="00D069A2">
              <w:t xml:space="preserve">Pre-deployment · Ongoing operations · </w:t>
            </w:r>
            <w:proofErr w:type="gramStart"/>
            <w:r w:rsidRPr="00D069A2">
              <w:t>Post-incident</w:t>
            </w:r>
            <w:proofErr w:type="gramEnd"/>
          </w:p>
        </w:tc>
      </w:tr>
      <w:tr w:rsidR="00245204" w:rsidRPr="00D069A2" w14:paraId="63727FDF" w14:textId="77777777" w:rsidTr="00D069A2">
        <w:trPr>
          <w:cantSplit/>
        </w:trPr>
        <w:tc>
          <w:tcPr>
            <w:tcW w:w="1685" w:type="dxa"/>
            <w:tcMar>
              <w:top w:w="72" w:type="dxa"/>
              <w:bottom w:w="72" w:type="dxa"/>
            </w:tcMar>
          </w:tcPr>
          <w:p w14:paraId="725858EF" w14:textId="77777777" w:rsidR="00245204" w:rsidRPr="00D069A2" w:rsidRDefault="00000000" w:rsidP="00D069A2">
            <w:pPr>
              <w:pStyle w:val="T0-Table"/>
              <w:rPr>
                <w:rStyle w:val="CS-Keyword"/>
              </w:rPr>
            </w:pPr>
            <w:r w:rsidRPr="00D069A2">
              <w:rPr>
                <w:rStyle w:val="CS-Keyword"/>
              </w:rPr>
              <w:t>User Role</w:t>
            </w:r>
          </w:p>
        </w:tc>
        <w:tc>
          <w:tcPr>
            <w:tcW w:w="7615" w:type="dxa"/>
            <w:tcMar>
              <w:top w:w="72" w:type="dxa"/>
              <w:bottom w:w="72" w:type="dxa"/>
            </w:tcMar>
          </w:tcPr>
          <w:p w14:paraId="4258CB0D" w14:textId="77777777" w:rsidR="00245204" w:rsidRPr="00D069A2" w:rsidRDefault="00000000" w:rsidP="00D069A2">
            <w:pPr>
              <w:pStyle w:val="T0-Table"/>
            </w:pPr>
            <w:r w:rsidRPr="00D069A2">
              <w:t>Legal counsel, regulatory/compliance officer, CISO, procurement, security operations, OT engineering, AI/ML engineering</w:t>
            </w:r>
          </w:p>
        </w:tc>
      </w:tr>
      <w:tr w:rsidR="00245204" w:rsidRPr="00D069A2" w14:paraId="09A195C9" w14:textId="77777777" w:rsidTr="00D069A2">
        <w:trPr>
          <w:cantSplit/>
        </w:trPr>
        <w:tc>
          <w:tcPr>
            <w:tcW w:w="1685" w:type="dxa"/>
            <w:tcMar>
              <w:top w:w="72" w:type="dxa"/>
              <w:bottom w:w="72" w:type="dxa"/>
            </w:tcMar>
          </w:tcPr>
          <w:p w14:paraId="3AA07929" w14:textId="77777777" w:rsidR="00245204" w:rsidRPr="00D069A2" w:rsidRDefault="00000000" w:rsidP="00D069A2">
            <w:pPr>
              <w:pStyle w:val="T0-Table"/>
              <w:rPr>
                <w:rStyle w:val="CS-Keyword"/>
              </w:rPr>
            </w:pPr>
            <w:r w:rsidRPr="00D069A2">
              <w:rPr>
                <w:rStyle w:val="CS-Keyword"/>
              </w:rPr>
              <w:t>Update Cadence</w:t>
            </w:r>
          </w:p>
        </w:tc>
        <w:tc>
          <w:tcPr>
            <w:tcW w:w="7615" w:type="dxa"/>
            <w:tcMar>
              <w:top w:w="72" w:type="dxa"/>
              <w:bottom w:w="72" w:type="dxa"/>
            </w:tcMar>
          </w:tcPr>
          <w:p w14:paraId="3954E9FE" w14:textId="77777777" w:rsidR="00245204" w:rsidRPr="00D069A2" w:rsidRDefault="00000000" w:rsidP="00D069A2">
            <w:pPr>
              <w:pStyle w:val="T0-Table"/>
            </w:pPr>
            <w:r w:rsidRPr="00D069A2">
              <w:t>Annual review at minimum; following any material change to the applicable regulatory framework, confirmed incident involving a Physical Consequence Action with vendor-component attribution, or significant expansion of vendor-supplied system scope</w:t>
            </w:r>
          </w:p>
        </w:tc>
      </w:tr>
      <w:tr w:rsidR="00245204" w:rsidRPr="00D069A2" w14:paraId="34929137" w14:textId="77777777" w:rsidTr="00D069A2">
        <w:trPr>
          <w:cantSplit/>
        </w:trPr>
        <w:tc>
          <w:tcPr>
            <w:tcW w:w="1685" w:type="dxa"/>
            <w:tcMar>
              <w:top w:w="72" w:type="dxa"/>
              <w:bottom w:w="72" w:type="dxa"/>
            </w:tcMar>
          </w:tcPr>
          <w:p w14:paraId="16FBF1B3" w14:textId="77777777" w:rsidR="00245204" w:rsidRPr="00D069A2" w:rsidRDefault="00000000" w:rsidP="00D069A2">
            <w:pPr>
              <w:pStyle w:val="T0-Table"/>
              <w:rPr>
                <w:rStyle w:val="CS-Keyword"/>
              </w:rPr>
            </w:pPr>
            <w:r w:rsidRPr="00D069A2">
              <w:rPr>
                <w:rStyle w:val="CS-Keyword"/>
              </w:rPr>
              <w:t>Update Triggers</w:t>
            </w:r>
          </w:p>
        </w:tc>
        <w:tc>
          <w:tcPr>
            <w:tcW w:w="7615" w:type="dxa"/>
            <w:tcMar>
              <w:top w:w="72" w:type="dxa"/>
              <w:bottom w:w="72" w:type="dxa"/>
            </w:tcMar>
          </w:tcPr>
          <w:p w14:paraId="5A7423E9" w14:textId="77777777" w:rsidR="00245204" w:rsidRPr="00D069A2" w:rsidRDefault="00000000" w:rsidP="00D069A2">
            <w:pPr>
              <w:pStyle w:val="T0-Table"/>
            </w:pPr>
            <w:r w:rsidRPr="00D069A2">
              <w:t xml:space="preserve">Confirmed or suspected Objective Integrity Violation with vendor-component attribution · Material change to EU AI Act, NIS2, DORA, or RPLD obligations. A change is material if it alters any obligation mapped in Section 11.8. · New vendor or subcontractor introduced into the agentic supply chain · Sustained SLO breach meeting the negotiated Material Breach criterion in the Master Agreement or applicable schedule · Any </w:t>
            </w:r>
            <w:proofErr w:type="spellStart"/>
            <w:r w:rsidRPr="00D069A2">
              <w:t>LoRA</w:t>
            </w:r>
            <w:proofErr w:type="spellEnd"/>
            <w:r w:rsidRPr="00D069A2">
              <w:t xml:space="preserve"> Update that produces a material change in the Schedule A Semantic Drift baseline. Materiality is determined through the deployment-approved ASCR-10 calibration/change review using the applicable baseline, consequence profile, and governed semantic-drift method. A fixed percentage trigger applies only where it has been explicitly approved as a deployment-specific threshold.</w:t>
            </w:r>
          </w:p>
        </w:tc>
      </w:tr>
      <w:tr w:rsidR="00245204" w:rsidRPr="00D069A2" w14:paraId="21295FE7" w14:textId="77777777" w:rsidTr="00D069A2">
        <w:trPr>
          <w:cantSplit/>
        </w:trPr>
        <w:tc>
          <w:tcPr>
            <w:tcW w:w="1685" w:type="dxa"/>
            <w:tcMar>
              <w:top w:w="72" w:type="dxa"/>
              <w:bottom w:w="72" w:type="dxa"/>
            </w:tcMar>
          </w:tcPr>
          <w:p w14:paraId="75D9B036" w14:textId="77777777" w:rsidR="00245204" w:rsidRPr="00D069A2" w:rsidRDefault="00000000" w:rsidP="00D069A2">
            <w:pPr>
              <w:pStyle w:val="T0-Table"/>
              <w:rPr>
                <w:rStyle w:val="CS-Keyword"/>
              </w:rPr>
            </w:pPr>
            <w:r w:rsidRPr="00D069A2">
              <w:rPr>
                <w:rStyle w:val="CS-Keyword"/>
              </w:rPr>
              <w:lastRenderedPageBreak/>
              <w:t>Cross-References</w:t>
            </w:r>
          </w:p>
        </w:tc>
        <w:tc>
          <w:tcPr>
            <w:tcW w:w="7615" w:type="dxa"/>
            <w:tcMar>
              <w:top w:w="72" w:type="dxa"/>
              <w:bottom w:w="72" w:type="dxa"/>
            </w:tcMar>
          </w:tcPr>
          <w:p w14:paraId="3B4A0187" w14:textId="77777777" w:rsidR="00245204" w:rsidRPr="00D069A2" w:rsidRDefault="00000000" w:rsidP="00D069A2">
            <w:pPr>
              <w:pStyle w:val="T0-Table"/>
            </w:pPr>
            <w:r w:rsidRPr="00D069A2">
              <w:t>Chapter 9 (regulatory obligations and bilateral liability allocation) · Chapter 2 (convergence domain governance) · ASCR-01 (control-maturity assessment and ASCR Prioritization Tier — contextual input to Section 11.3 attestation cadence) · ASCR-03 (program charter — authority structure and circuit-breaker release chain) · ASCR-04 Section 3.6 (Kinetic Quarantine Protocol — KQP trigger definitions K-1 through K-4 and TKQ performance obligations) · ASCR-06 (verification evidence for governed enforcement behavior) · ASCR-07 (Decision Lineage Record schema — evidence basis for liability attribution) · ASCR-08 (incident response protocol — activation sequence referenced in Section 11.10) · ASCR-09 Sections 5.2 and 5.3 (ASCR-09-KQ-01 and ASCR-09-KQ-02 — KQP infrastructure-validation scenarios and technical execution) · ASCR-10 (change management protocol — AI-BOM currency, shadow-mode commissioning, and change authorization) · ASCR-12 (governance scorecard — SLO performance tracking) · ASCR-16 (cloud-to-edge trust chain — application-signing-key binding, lineage-token and boundary-envelope verification, attestation-profile, replay-protection, and verifier semantics referenced in Section 11.3) · ASCR-17 (authoritative Vendor Qualification Evidence and signed qualification record referenced by the governing contract or procurement record where applicable) · companion ASCR-11 OE01 supplemental schedules and tables workbook · Chapter 7 (identity-continuity SLO metric model) · Chapter 10 (Point-in-Time and Jurisdictional Scope Statement and Blueprint adoption guidance) · Unified Operational Vocabulary (canonical terminology and measurement semantics)</w:t>
            </w:r>
          </w:p>
        </w:tc>
      </w:tr>
      <w:tr w:rsidR="00245204" w:rsidRPr="00D069A2" w14:paraId="3AAFD45A" w14:textId="77777777" w:rsidTr="00D069A2">
        <w:trPr>
          <w:cantSplit/>
        </w:trPr>
        <w:tc>
          <w:tcPr>
            <w:tcW w:w="1685" w:type="dxa"/>
            <w:tcMar>
              <w:top w:w="72" w:type="dxa"/>
              <w:bottom w:w="72" w:type="dxa"/>
            </w:tcMar>
          </w:tcPr>
          <w:p w14:paraId="4B50DBD0" w14:textId="77777777" w:rsidR="00245204" w:rsidRPr="00D069A2" w:rsidRDefault="00000000" w:rsidP="00D069A2">
            <w:pPr>
              <w:pStyle w:val="T0-Table"/>
              <w:rPr>
                <w:rStyle w:val="CS-Keyword"/>
              </w:rPr>
            </w:pPr>
            <w:r w:rsidRPr="00D069A2">
              <w:rPr>
                <w:rStyle w:val="CS-Keyword"/>
              </w:rPr>
              <w:t>Regulatory Relevance</w:t>
            </w:r>
          </w:p>
        </w:tc>
        <w:tc>
          <w:tcPr>
            <w:tcW w:w="7615" w:type="dxa"/>
            <w:tcMar>
              <w:top w:w="72" w:type="dxa"/>
              <w:bottom w:w="72" w:type="dxa"/>
            </w:tcMar>
          </w:tcPr>
          <w:p w14:paraId="780D8B8F" w14:textId="77777777" w:rsidR="00245204" w:rsidRPr="00D069A2" w:rsidRDefault="00000000" w:rsidP="00D069A2">
            <w:pPr>
              <w:pStyle w:val="T0-Table"/>
            </w:pPr>
            <w:r w:rsidRPr="00D069A2">
              <w:rPr>
                <w:rFonts w:ascii="Cambria" w:eastAsia="Cambria" w:hAnsi="Cambria" w:cs="Cambria"/>
                <w:szCs w:val="20"/>
              </w:rPr>
              <w:t>EU AI Act · EU Revised Product Liability Directive · GDPR / applicable data-protection law · NIS2 · DORA, where applicable · IEC 62443 series · NIST AI RMF · NIST SP 800-53 Rev. 5 · NIST SP 800-161 Rev. 1 · NIST SP 800-61 Rev. 3, where applicable. Clause-level mappings and provision numbers are maintained in Section 11.8 and the companion regulatory-crosswalk worksheet and shall be re-verified against the law and standards in force at execution.</w:t>
            </w:r>
          </w:p>
        </w:tc>
      </w:tr>
      <w:tr w:rsidR="00245204" w:rsidRPr="00D069A2" w14:paraId="745CA23E" w14:textId="77777777" w:rsidTr="00D069A2">
        <w:trPr>
          <w:cantSplit/>
        </w:trPr>
        <w:tc>
          <w:tcPr>
            <w:tcW w:w="1685" w:type="dxa"/>
            <w:tcMar>
              <w:top w:w="72" w:type="dxa"/>
              <w:bottom w:w="72" w:type="dxa"/>
            </w:tcMar>
          </w:tcPr>
          <w:p w14:paraId="06724DA7" w14:textId="77777777" w:rsidR="00245204" w:rsidRPr="00D069A2" w:rsidRDefault="00000000" w:rsidP="00D069A2">
            <w:pPr>
              <w:pStyle w:val="T0-Table"/>
              <w:rPr>
                <w:rStyle w:val="CS-Keyword"/>
              </w:rPr>
            </w:pPr>
            <w:r w:rsidRPr="00D069A2">
              <w:rPr>
                <w:rStyle w:val="CS-Keyword"/>
              </w:rPr>
              <w:t>Version</w:t>
            </w:r>
          </w:p>
        </w:tc>
        <w:tc>
          <w:tcPr>
            <w:tcW w:w="7615" w:type="dxa"/>
            <w:tcMar>
              <w:top w:w="72" w:type="dxa"/>
              <w:bottom w:w="72" w:type="dxa"/>
            </w:tcMar>
          </w:tcPr>
          <w:p w14:paraId="6A19A1AF" w14:textId="77777777" w:rsidR="00245204" w:rsidRPr="00D069A2" w:rsidRDefault="00000000" w:rsidP="00D069A2">
            <w:pPr>
              <w:pStyle w:val="T0-Table"/>
            </w:pPr>
            <w:r w:rsidRPr="00D069A2">
              <w:rPr>
                <w:rFonts w:ascii="Cambria" w:eastAsia="Cambria" w:hAnsi="Cambria" w:cs="Cambria"/>
                <w:szCs w:val="20"/>
              </w:rPr>
              <w:t>1.0 — June 2026</w:t>
            </w:r>
          </w:p>
        </w:tc>
      </w:tr>
    </w:tbl>
    <w:p w14:paraId="20C92567" w14:textId="77777777" w:rsidR="00245204" w:rsidRPr="00D069A2" w:rsidRDefault="00245204" w:rsidP="00A05123">
      <w:pPr>
        <w:pStyle w:val="P0-Paragraph"/>
      </w:pPr>
    </w:p>
    <w:p w14:paraId="5FACA414" w14:textId="77777777" w:rsidR="00245204" w:rsidRPr="00D069A2" w:rsidRDefault="00000000" w:rsidP="00D069A2">
      <w:pPr>
        <w:pStyle w:val="HS-Heading1"/>
      </w:pPr>
      <w:bookmarkStart w:id="0" w:name="_heading=h.gbnx53ynn3yf" w:colFirst="0" w:colLast="0"/>
      <w:bookmarkEnd w:id="0"/>
      <w:r w:rsidRPr="00D069A2">
        <w:t>ASCR-11 operational toolkit: supporting specifications and operational extensions</w:t>
      </w:r>
    </w:p>
    <w:p w14:paraId="7D1F6DED" w14:textId="77777777" w:rsidR="00245204" w:rsidRPr="00D069A2" w:rsidRDefault="00000000" w:rsidP="00D069A2">
      <w:pPr>
        <w:pStyle w:val="HS-Heading2"/>
      </w:pPr>
      <w:bookmarkStart w:id="1" w:name="_heading=h.qxfkewbckysr" w:colFirst="0" w:colLast="0"/>
      <w:bookmarkEnd w:id="1"/>
      <w:r w:rsidRPr="00D069A2">
        <w:t>Purpose and scope</w:t>
      </w:r>
    </w:p>
    <w:p w14:paraId="39C9150F" w14:textId="77777777" w:rsidR="00245204" w:rsidRPr="00D069A2" w:rsidRDefault="00000000" w:rsidP="00A05123">
      <w:pPr>
        <w:pStyle w:val="P0-Paragraph"/>
      </w:pPr>
      <w:r w:rsidRPr="00D069A2">
        <w:rPr>
          <w:rFonts w:eastAsia="Cambria"/>
        </w:rPr>
        <w:t>ASCR-11 provides a model contractual exhibit for organizations procuring agentic systems and supporting infrastructure for autonomous supply chain environments. ASCR-11 governs systems composed of:</w:t>
      </w:r>
    </w:p>
    <w:p w14:paraId="7239B2F1" w14:textId="63348CF6" w:rsidR="00245204" w:rsidRPr="00D069A2" w:rsidRDefault="00000000" w:rsidP="00D069A2">
      <w:pPr>
        <w:pStyle w:val="L1-Bullet"/>
      </w:pPr>
      <w:r w:rsidRPr="00D069A2">
        <w:rPr>
          <w:rFonts w:eastAsia="Cambria"/>
        </w:rPr>
        <w:t>An Agentic System runtime</w:t>
      </w:r>
    </w:p>
    <w:p w14:paraId="2A92C73B" w14:textId="77A3D523" w:rsidR="00245204" w:rsidRPr="00D069A2" w:rsidRDefault="00000000" w:rsidP="00D069A2">
      <w:pPr>
        <w:pStyle w:val="L1-Bullet"/>
      </w:pPr>
      <w:r w:rsidRPr="00D069A2">
        <w:rPr>
          <w:rFonts w:eastAsia="Cambria"/>
        </w:rPr>
        <w:t>A model update pipeline</w:t>
      </w:r>
    </w:p>
    <w:p w14:paraId="5BF1E9B0" w14:textId="341A4206" w:rsidR="00245204" w:rsidRPr="00D069A2" w:rsidRDefault="00000000" w:rsidP="00D069A2">
      <w:pPr>
        <w:pStyle w:val="L1-Bullet"/>
      </w:pPr>
      <w:r w:rsidRPr="00D069A2">
        <w:rPr>
          <w:rFonts w:eastAsia="Cambria"/>
        </w:rPr>
        <w:t>An actuation layer interfacing with physical or digital infrastructure, and</w:t>
      </w:r>
    </w:p>
    <w:p w14:paraId="6A9EFB2C" w14:textId="77777777" w:rsidR="00245204" w:rsidRPr="00D069A2" w:rsidRDefault="00000000" w:rsidP="00D069A2">
      <w:pPr>
        <w:pStyle w:val="L1-Bullet"/>
      </w:pPr>
      <w:r w:rsidRPr="00D069A2">
        <w:rPr>
          <w:rFonts w:eastAsia="Cambria"/>
        </w:rPr>
        <w:t>A logging and attestation subsystem used for forensic reconstruction.</w:t>
      </w:r>
    </w:p>
    <w:p w14:paraId="7016B8F3" w14:textId="77777777" w:rsidR="00245204" w:rsidRPr="00D069A2" w:rsidRDefault="00000000" w:rsidP="00A05123">
      <w:pPr>
        <w:pStyle w:val="P0-Paragraph"/>
      </w:pPr>
      <w:r w:rsidRPr="00D069A2">
        <w:rPr>
          <w:rFonts w:eastAsia="Cambria"/>
        </w:rPr>
        <w:t xml:space="preserve">A conventional SLA does not address behavioral drift introduced by post-deployment model adaptation. For example, a vendor deploys a </w:t>
      </w:r>
      <w:proofErr w:type="spellStart"/>
      <w:r w:rsidRPr="00D069A2">
        <w:rPr>
          <w:rFonts w:eastAsia="Cambria"/>
        </w:rPr>
        <w:t>LoRA</w:t>
      </w:r>
      <w:proofErr w:type="spellEnd"/>
      <w:r w:rsidRPr="00D069A2">
        <w:rPr>
          <w:rFonts w:eastAsia="Cambria"/>
        </w:rPr>
        <w:t xml:space="preserve"> update to a robotic picking system on </w:t>
      </w:r>
      <w:proofErr w:type="gramStart"/>
      <w:r w:rsidRPr="00D069A2">
        <w:rPr>
          <w:rFonts w:eastAsia="Cambria"/>
        </w:rPr>
        <w:t>a Tuesday</w:t>
      </w:r>
      <w:proofErr w:type="gramEnd"/>
      <w:r w:rsidRPr="00D069A2">
        <w:rPr>
          <w:rFonts w:eastAsia="Cambria"/>
        </w:rPr>
        <w:t xml:space="preserve"> night. By Wednesday </w:t>
      </w:r>
      <w:r w:rsidRPr="00D069A2">
        <w:rPr>
          <w:rFonts w:eastAsia="Cambria"/>
        </w:rPr>
        <w:lastRenderedPageBreak/>
        <w:t>morning, the system is misclassifying object grip parameters by 12%. No malice, just a training data edge case. The conventional SLA has an uptime clause. It has nothing about behavioral change notification, nothing about pre-deployment robustness assessment, nothing connecting the vendor’s weight artifact to the physical consequence that occurred at 03:14 on the warehouse floor. ASCR-11 exists to close that gap. It extends conventional service-level agreements by introducing obligations specific to non-deterministic execution: objective integrity, execution boundary enforcement, hardware-anchored identity, decision lineage auditability, and physical consequence attribution.</w:t>
      </w:r>
    </w:p>
    <w:p w14:paraId="32C226AF" w14:textId="77777777" w:rsidR="00245204" w:rsidRPr="00D069A2" w:rsidRDefault="00000000" w:rsidP="00A05123">
      <w:pPr>
        <w:pStyle w:val="P0-Paragraph"/>
      </w:pPr>
      <w:r w:rsidRPr="00D069A2">
        <w:t>ASCR-11 is a jurisdiction-neutral instrument. Applicable clauses identify regulatory obligations and control objectives that the clause is designed to support or address through a crosswalk notation [Regulatory References] at the clause level. A crosswalk entry does not by itself establish regulatory applicability, compliance, legal sufficiency, or evidentiary sufficiency; those determinations depend on the executed clause language, implementation evidence, governing law, and deployment context. Organizations operating under additional regulatory regimes may extend the crosswalk table in Section 11.8 without modifying clause language. The instrument is designed for stability: contractual obligations remain constant as technical implementations evolve. How obligations are fulfilled is governed by the operational artifacts in Chapters 6–8; what obligations exist between parties is governed by this instrument.</w:t>
      </w:r>
    </w:p>
    <w:p w14:paraId="5D52CA55" w14:textId="77777777" w:rsidR="00245204" w:rsidRPr="00D069A2" w:rsidRDefault="00000000" w:rsidP="00A05123">
      <w:pPr>
        <w:pStyle w:val="P0-Paragraph"/>
      </w:pPr>
      <w:r w:rsidRPr="00D069A2">
        <w:t xml:space="preserve">The model clause language uses bracketed variables throughout. Parties complete bracketed fields during negotiation. Default values are deployment starting points </w:t>
      </w:r>
      <w:proofErr w:type="gramStart"/>
      <w:r w:rsidRPr="00D069A2">
        <w:t>calibrated</w:t>
      </w:r>
      <w:proofErr w:type="gramEnd"/>
      <w:r w:rsidRPr="00D069A2">
        <w:t xml:space="preserve"> from applicable legal, technical, operational, evidentiary, and risk considerations. Unless a clause expressly states otherwise, a default is not represented as a statutory minimum or universal technical floor and must be validated for the deployment before execution.</w:t>
      </w:r>
    </w:p>
    <w:p w14:paraId="4C291903" w14:textId="77777777" w:rsidR="00245204" w:rsidRPr="00D069A2" w:rsidRDefault="00000000" w:rsidP="00D069A2">
      <w:pPr>
        <w:pStyle w:val="HS-Heading2"/>
      </w:pPr>
      <w:bookmarkStart w:id="2" w:name="_heading=h.1fivxdvm8aea" w:colFirst="0" w:colLast="0"/>
      <w:bookmarkEnd w:id="2"/>
      <w:r w:rsidRPr="00D069A2">
        <w:t xml:space="preserve">Before you </w:t>
      </w:r>
      <w:proofErr w:type="gramStart"/>
      <w:r w:rsidRPr="00D069A2">
        <w:t>operationalize</w:t>
      </w:r>
      <w:proofErr w:type="gramEnd"/>
      <w:r w:rsidRPr="00D069A2">
        <w:t xml:space="preserve"> this instrument</w:t>
      </w:r>
    </w:p>
    <w:p w14:paraId="5FB164C6" w14:textId="77777777" w:rsidR="00245204" w:rsidRPr="00D069A2" w:rsidRDefault="00000000" w:rsidP="00A05123">
      <w:pPr>
        <w:pStyle w:val="P0-Paragraph"/>
      </w:pPr>
      <w:r w:rsidRPr="00D069A2">
        <w:t>This instrument is a jurisdiction-neutral starting template, Version 1.0 — June 2026. Regulatory citations in this release were re-verified as of 28 September 2026. The fixed artifact version date is not a substitute for execution-date legal review: regulatory citations, numeric thresholds, and defaults must be re-verified before reliance — see Chapter 10 for the full Point-in-Time and Jurisdictional Scope Statement and localization methodology.</w:t>
      </w:r>
    </w:p>
    <w:p w14:paraId="3373F438" w14:textId="77777777" w:rsidR="00245204" w:rsidRPr="00D069A2" w:rsidRDefault="00000000" w:rsidP="00D069A2">
      <w:pPr>
        <w:pStyle w:val="L1-Bullet"/>
      </w:pPr>
      <w:r w:rsidRPr="00D069A2">
        <w:t>Confirm the Section 11.2 Training Data Integrity burden-shifting provision is enforceable under the governing law you select; if not, substitute the named-addendum mechanism described in that section.</w:t>
      </w:r>
    </w:p>
    <w:p w14:paraId="026CDE97" w14:textId="77777777" w:rsidR="00245204" w:rsidRPr="00D069A2" w:rsidRDefault="00000000" w:rsidP="00D069A2">
      <w:pPr>
        <w:pStyle w:val="L1-Bullet"/>
      </w:pPr>
      <w:r w:rsidRPr="00D069A2">
        <w:t>The Section 11.4 retention default uses the EU RPLD 10-year expiry period as its ordinary calibration. Where latent personal injury may invoke the 25-year expiry period in RPLD Article 17(2), retain the relevant evidence for that longer period. Outside the EU, substitute the applicable statutory limitation and long-stop periods before execution.</w:t>
      </w:r>
    </w:p>
    <w:p w14:paraId="25A3FCF5" w14:textId="77777777" w:rsidR="00245204" w:rsidRPr="00D069A2" w:rsidRDefault="00000000" w:rsidP="00D069A2">
      <w:pPr>
        <w:pStyle w:val="L1-Bullet"/>
      </w:pPr>
      <w:r w:rsidRPr="00D069A2">
        <w:t>Verify all EU AI Act / NIS2 / DORA / NIST articles and control citations in Section 11.8 against the consolidated text in force at time of use.</w:t>
      </w:r>
    </w:p>
    <w:p w14:paraId="1F2BFC07" w14:textId="77777777" w:rsidR="00245204" w:rsidRPr="00D069A2" w:rsidRDefault="00000000" w:rsidP="00D069A2">
      <w:pPr>
        <w:pStyle w:val="L1-Bullet"/>
      </w:pPr>
      <w:r w:rsidRPr="00D069A2">
        <w:t>Confirm data protection/privacy obligations separately: Decision Lineage Records may contain personal data, and this instrument does not address lawful basis for logging, data subject rights, or cross-border transfer mechanics for the Section 11.4 retention and audit-export provisions.</w:t>
      </w:r>
    </w:p>
    <w:p w14:paraId="75706BC9" w14:textId="77777777" w:rsidR="00245204" w:rsidRPr="00D069A2" w:rsidRDefault="00000000" w:rsidP="00D069A2">
      <w:pPr>
        <w:pStyle w:val="L1-Bullet"/>
      </w:pPr>
      <w:r w:rsidRPr="00D069A2">
        <w:lastRenderedPageBreak/>
        <w:t>The clause language is model language, not legal advice. Have qualified counsel in the governing jurisdiction review the executed text, including every bracketed value and every countersigned schedule, before signature.</w:t>
      </w:r>
    </w:p>
    <w:p w14:paraId="74E3F6A7" w14:textId="77777777" w:rsidR="00245204" w:rsidRPr="00D069A2" w:rsidRDefault="00000000" w:rsidP="00D069A2">
      <w:pPr>
        <w:pStyle w:val="HS-Heading2"/>
      </w:pPr>
      <w:r w:rsidRPr="00D069A2">
        <w:t>What you must define before execution</w:t>
      </w:r>
    </w:p>
    <w:p w14:paraId="687A4F97" w14:textId="77777777" w:rsidR="00245204" w:rsidRPr="00D069A2" w:rsidRDefault="00000000" w:rsidP="00A05123">
      <w:pPr>
        <w:pStyle w:val="P0-Paragraph"/>
      </w:pPr>
      <w:r w:rsidRPr="00D069A2">
        <w:t>Complete every item below before execution. Bracketed [DEFAULT: …] values are starting points and must be confirmed or replaced; [NEGOTIATED …] values have no default. Schedule values become enforceable only once completed in the companion workbook and countersigned in accordance with the Schedule execution and countersignature instructions in Section 11.9.</w:t>
      </w:r>
    </w:p>
    <w:tbl>
      <w:tblPr>
        <w:tblStyle w:val="a2"/>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920"/>
        <w:gridCol w:w="2055"/>
        <w:gridCol w:w="2385"/>
      </w:tblGrid>
      <w:tr w:rsidR="00245204" w:rsidRPr="00D069A2" w14:paraId="4713C52B" w14:textId="77777777" w:rsidTr="00D069A2">
        <w:trPr>
          <w:tblHeader/>
          <w:jc w:val="center"/>
        </w:trPr>
        <w:tc>
          <w:tcPr>
            <w:tcW w:w="4920" w:type="dxa"/>
            <w:shd w:val="clear" w:color="auto" w:fill="1F3864"/>
            <w:tcMar>
              <w:top w:w="60" w:type="dxa"/>
              <w:bottom w:w="60" w:type="dxa"/>
            </w:tcMar>
          </w:tcPr>
          <w:p w14:paraId="374C357D" w14:textId="77777777" w:rsidR="00245204" w:rsidRPr="00D069A2" w:rsidRDefault="00000000" w:rsidP="00D069A2">
            <w:pPr>
              <w:pStyle w:val="T0-Table"/>
              <w:rPr>
                <w:rStyle w:val="CS-Keyword"/>
              </w:rPr>
            </w:pPr>
            <w:proofErr w:type="gramStart"/>
            <w:r w:rsidRPr="00D069A2">
              <w:rPr>
                <w:rStyle w:val="CS-Keyword"/>
              </w:rPr>
              <w:t>Practitioner</w:t>
            </w:r>
            <w:proofErr w:type="gramEnd"/>
            <w:r w:rsidRPr="00D069A2">
              <w:rPr>
                <w:rStyle w:val="CS-Keyword"/>
              </w:rPr>
              <w:t xml:space="preserve"> must define</w:t>
            </w:r>
          </w:p>
        </w:tc>
        <w:tc>
          <w:tcPr>
            <w:tcW w:w="2055" w:type="dxa"/>
            <w:shd w:val="clear" w:color="auto" w:fill="1F3864"/>
            <w:tcMar>
              <w:top w:w="60" w:type="dxa"/>
              <w:bottom w:w="60" w:type="dxa"/>
            </w:tcMar>
          </w:tcPr>
          <w:p w14:paraId="01ACC9E4" w14:textId="77777777" w:rsidR="00245204" w:rsidRPr="00D069A2" w:rsidRDefault="00000000" w:rsidP="00D069A2">
            <w:pPr>
              <w:pStyle w:val="T0-Table"/>
              <w:rPr>
                <w:rStyle w:val="CS-Keyword"/>
              </w:rPr>
            </w:pPr>
            <w:r w:rsidRPr="00D069A2">
              <w:rPr>
                <w:rStyle w:val="CS-Keyword"/>
              </w:rPr>
              <w:t>Governed / recorded in</w:t>
            </w:r>
          </w:p>
        </w:tc>
        <w:tc>
          <w:tcPr>
            <w:tcW w:w="2385" w:type="dxa"/>
            <w:shd w:val="clear" w:color="auto" w:fill="1F3864"/>
            <w:tcMar>
              <w:top w:w="60" w:type="dxa"/>
              <w:bottom w:w="60" w:type="dxa"/>
            </w:tcMar>
          </w:tcPr>
          <w:p w14:paraId="5CC9DC42" w14:textId="77777777" w:rsidR="00245204" w:rsidRPr="00D069A2" w:rsidRDefault="00000000" w:rsidP="00D069A2">
            <w:pPr>
              <w:pStyle w:val="T0-Table"/>
              <w:rPr>
                <w:rStyle w:val="CS-Keyword"/>
              </w:rPr>
            </w:pPr>
            <w:r w:rsidRPr="00D069A2">
              <w:rPr>
                <w:rStyle w:val="CS-Keyword"/>
              </w:rPr>
              <w:t>Owner (per Section 11.11)</w:t>
            </w:r>
          </w:p>
        </w:tc>
      </w:tr>
      <w:tr w:rsidR="00245204" w:rsidRPr="00D069A2" w14:paraId="332C4943" w14:textId="77777777" w:rsidTr="00D069A2">
        <w:trPr>
          <w:jc w:val="center"/>
        </w:trPr>
        <w:tc>
          <w:tcPr>
            <w:tcW w:w="4920" w:type="dxa"/>
            <w:shd w:val="clear" w:color="auto" w:fill="FFFFFF"/>
            <w:tcMar>
              <w:top w:w="60" w:type="dxa"/>
              <w:bottom w:w="60" w:type="dxa"/>
            </w:tcMar>
          </w:tcPr>
          <w:p w14:paraId="5C7FD065" w14:textId="77777777" w:rsidR="00245204" w:rsidRPr="00D069A2" w:rsidRDefault="00000000" w:rsidP="00D069A2">
            <w:pPr>
              <w:pStyle w:val="T0-Table"/>
            </w:pPr>
            <w:r w:rsidRPr="00D069A2">
              <w:t>Party names and governing jurisdiction: [VENDOR LEGAL NAME], [OPERATOR LEGAL NAME], [GOVERNING JURISDICTION]</w:t>
            </w:r>
          </w:p>
        </w:tc>
        <w:tc>
          <w:tcPr>
            <w:tcW w:w="2055" w:type="dxa"/>
            <w:shd w:val="clear" w:color="auto" w:fill="FFFFFF"/>
            <w:tcMar>
              <w:top w:w="60" w:type="dxa"/>
              <w:bottom w:w="60" w:type="dxa"/>
            </w:tcMar>
          </w:tcPr>
          <w:p w14:paraId="2E6AA15D" w14:textId="77777777" w:rsidR="00245204" w:rsidRPr="00D069A2" w:rsidRDefault="00000000" w:rsidP="00D069A2">
            <w:pPr>
              <w:pStyle w:val="T0-Table"/>
            </w:pPr>
            <w:r w:rsidRPr="00D069A2">
              <w:t>Definitions; Percentile measurement (time-period convention)</w:t>
            </w:r>
          </w:p>
        </w:tc>
        <w:tc>
          <w:tcPr>
            <w:tcW w:w="2385" w:type="dxa"/>
            <w:shd w:val="clear" w:color="auto" w:fill="FFFFFF"/>
            <w:tcMar>
              <w:top w:w="60" w:type="dxa"/>
              <w:bottom w:w="60" w:type="dxa"/>
            </w:tcMar>
          </w:tcPr>
          <w:p w14:paraId="4BBD2B20" w14:textId="77777777" w:rsidR="00245204" w:rsidRPr="00D069A2" w:rsidRDefault="00000000" w:rsidP="00D069A2">
            <w:pPr>
              <w:pStyle w:val="T0-Table"/>
            </w:pPr>
            <w:r w:rsidRPr="00D069A2">
              <w:t>Legal</w:t>
            </w:r>
          </w:p>
        </w:tc>
      </w:tr>
      <w:tr w:rsidR="00245204" w:rsidRPr="00D069A2" w14:paraId="5199EC77" w14:textId="77777777" w:rsidTr="00D069A2">
        <w:trPr>
          <w:jc w:val="center"/>
        </w:trPr>
        <w:tc>
          <w:tcPr>
            <w:tcW w:w="4920" w:type="dxa"/>
            <w:shd w:val="clear" w:color="auto" w:fill="D9E2F3"/>
            <w:tcMar>
              <w:top w:w="60" w:type="dxa"/>
              <w:bottom w:w="60" w:type="dxa"/>
            </w:tcMar>
          </w:tcPr>
          <w:p w14:paraId="450352A0" w14:textId="77777777" w:rsidR="00245204" w:rsidRPr="00D069A2" w:rsidRDefault="00000000" w:rsidP="00D069A2">
            <w:pPr>
              <w:pStyle w:val="T0-Table"/>
            </w:pPr>
            <w:r w:rsidRPr="00D069A2">
              <w:t xml:space="preserve">Referenced ASCR artifact titles, versions, and dates (at minimum ASCR-04 Section 3.6 TKQ thresholds, ASCR-07 </w:t>
            </w:r>
            <w:proofErr w:type="spellStart"/>
            <w:r w:rsidRPr="00D069A2">
              <w:t>divergence_score</w:t>
            </w:r>
            <w:proofErr w:type="spellEnd"/>
            <w:r w:rsidRPr="00D069A2">
              <w:t xml:space="preserve"> method, ASCR-10 physical-consequence classification)</w:t>
            </w:r>
          </w:p>
        </w:tc>
        <w:tc>
          <w:tcPr>
            <w:tcW w:w="2055" w:type="dxa"/>
            <w:shd w:val="clear" w:color="auto" w:fill="D9E2F3"/>
            <w:tcMar>
              <w:top w:w="60" w:type="dxa"/>
              <w:bottom w:w="60" w:type="dxa"/>
            </w:tcMar>
          </w:tcPr>
          <w:p w14:paraId="2B85A250" w14:textId="77777777" w:rsidR="00245204" w:rsidRPr="00D069A2" w:rsidRDefault="00000000" w:rsidP="00D069A2">
            <w:pPr>
              <w:pStyle w:val="T0-Table"/>
            </w:pPr>
            <w:r w:rsidRPr="00D069A2">
              <w:t>Architectural reconciliation (Referenced ASCR Version Control)</w:t>
            </w:r>
          </w:p>
        </w:tc>
        <w:tc>
          <w:tcPr>
            <w:tcW w:w="2385" w:type="dxa"/>
            <w:shd w:val="clear" w:color="auto" w:fill="D9E2F3"/>
            <w:tcMar>
              <w:top w:w="60" w:type="dxa"/>
              <w:bottom w:w="60" w:type="dxa"/>
            </w:tcMar>
          </w:tcPr>
          <w:p w14:paraId="40B096E7" w14:textId="77777777" w:rsidR="00245204" w:rsidRPr="00D069A2" w:rsidRDefault="00000000" w:rsidP="00D069A2">
            <w:pPr>
              <w:pStyle w:val="T0-Table"/>
            </w:pPr>
            <w:r w:rsidRPr="00D069A2">
              <w:t>Legal; Risk</w:t>
            </w:r>
          </w:p>
        </w:tc>
      </w:tr>
      <w:tr w:rsidR="00245204" w:rsidRPr="00D069A2" w14:paraId="443EAE53" w14:textId="77777777" w:rsidTr="00D069A2">
        <w:trPr>
          <w:jc w:val="center"/>
        </w:trPr>
        <w:tc>
          <w:tcPr>
            <w:tcW w:w="4920" w:type="dxa"/>
            <w:shd w:val="clear" w:color="auto" w:fill="FFFFFF"/>
            <w:tcMar>
              <w:top w:w="60" w:type="dxa"/>
              <w:bottom w:w="60" w:type="dxa"/>
            </w:tcMar>
          </w:tcPr>
          <w:p w14:paraId="19117530" w14:textId="77777777" w:rsidR="00245204" w:rsidRPr="00D069A2" w:rsidRDefault="00000000" w:rsidP="00D069A2">
            <w:pPr>
              <w:pStyle w:val="T0-Table"/>
            </w:pPr>
            <w:r w:rsidRPr="00D069A2">
              <w:t xml:space="preserve">Measurement settings: clock-synchronization allowance [DEFAULT: ±100 </w:t>
            </w:r>
            <w:proofErr w:type="spellStart"/>
            <w:r w:rsidRPr="00D069A2">
              <w:t>ms</w:t>
            </w:r>
            <w:proofErr w:type="spellEnd"/>
            <w:r w:rsidRPr="00D069A2">
              <w:t>], sub-second latency measurement-uncertainty allowance [DEFAULT: 10% of the applicable contractual latency threshold], percentile window [DEFAULT: 30-day], and minimum observation volume for each percentile metric</w:t>
            </w:r>
          </w:p>
        </w:tc>
        <w:tc>
          <w:tcPr>
            <w:tcW w:w="2055" w:type="dxa"/>
            <w:shd w:val="clear" w:color="auto" w:fill="FFFFFF"/>
            <w:tcMar>
              <w:top w:w="60" w:type="dxa"/>
              <w:bottom w:w="60" w:type="dxa"/>
            </w:tcMar>
          </w:tcPr>
          <w:p w14:paraId="4DC971C0" w14:textId="77777777" w:rsidR="00245204" w:rsidRPr="00D069A2" w:rsidRDefault="00000000" w:rsidP="00D069A2">
            <w:pPr>
              <w:pStyle w:val="T0-Table"/>
            </w:pPr>
            <w:r w:rsidRPr="00D069A2">
              <w:t>Percentile measurement and SLA evaluation methodology</w:t>
            </w:r>
          </w:p>
        </w:tc>
        <w:tc>
          <w:tcPr>
            <w:tcW w:w="2385" w:type="dxa"/>
            <w:shd w:val="clear" w:color="auto" w:fill="FFFFFF"/>
            <w:tcMar>
              <w:top w:w="60" w:type="dxa"/>
              <w:bottom w:w="60" w:type="dxa"/>
            </w:tcMar>
          </w:tcPr>
          <w:p w14:paraId="441DBF3F" w14:textId="77777777" w:rsidR="00245204" w:rsidRPr="00D069A2" w:rsidRDefault="00000000" w:rsidP="00D069A2">
            <w:pPr>
              <w:pStyle w:val="T0-Table"/>
            </w:pPr>
            <w:r w:rsidRPr="00D069A2">
              <w:t>Security/IR; OT Engineering</w:t>
            </w:r>
          </w:p>
        </w:tc>
      </w:tr>
      <w:tr w:rsidR="00245204" w:rsidRPr="00D069A2" w14:paraId="48ACB480" w14:textId="77777777" w:rsidTr="00D069A2">
        <w:trPr>
          <w:jc w:val="center"/>
        </w:trPr>
        <w:tc>
          <w:tcPr>
            <w:tcW w:w="4920" w:type="dxa"/>
            <w:shd w:val="clear" w:color="auto" w:fill="D9E2F3"/>
            <w:tcMar>
              <w:top w:w="60" w:type="dxa"/>
              <w:bottom w:w="60" w:type="dxa"/>
            </w:tcMar>
          </w:tcPr>
          <w:p w14:paraId="33B28935" w14:textId="77777777" w:rsidR="00245204" w:rsidRPr="00D069A2" w:rsidRDefault="00000000" w:rsidP="00D069A2">
            <w:pPr>
              <w:pStyle w:val="T0-Table"/>
            </w:pPr>
            <w:r w:rsidRPr="00D069A2">
              <w:t>Change and documentation windows: Behavioral Boundary Specification update [DEFAULT: 14 calendar days], rollback [DEFAULT: 4 hours], Robustness Assessment Report lead time [DEFAULT: 5 business days], AI-BOM update [DEFAULT: 48 hours], firmware notice [DEFAULT: 14 calendar days]</w:t>
            </w:r>
          </w:p>
        </w:tc>
        <w:tc>
          <w:tcPr>
            <w:tcW w:w="2055" w:type="dxa"/>
            <w:shd w:val="clear" w:color="auto" w:fill="D9E2F3"/>
            <w:tcMar>
              <w:top w:w="60" w:type="dxa"/>
              <w:bottom w:w="60" w:type="dxa"/>
            </w:tcMar>
          </w:tcPr>
          <w:p w14:paraId="63469509" w14:textId="77777777" w:rsidR="00245204" w:rsidRPr="00D069A2" w:rsidRDefault="00000000" w:rsidP="00D069A2">
            <w:pPr>
              <w:pStyle w:val="T0-Table"/>
            </w:pPr>
            <w:r w:rsidRPr="00D069A2">
              <w:t>Sections 11.1, 11.2, 11.3.3.1</w:t>
            </w:r>
          </w:p>
        </w:tc>
        <w:tc>
          <w:tcPr>
            <w:tcW w:w="2385" w:type="dxa"/>
            <w:shd w:val="clear" w:color="auto" w:fill="D9E2F3"/>
            <w:tcMar>
              <w:top w:w="60" w:type="dxa"/>
              <w:bottom w:w="60" w:type="dxa"/>
            </w:tcMar>
          </w:tcPr>
          <w:p w14:paraId="25D071DB" w14:textId="77777777" w:rsidR="00245204" w:rsidRPr="00D069A2" w:rsidRDefault="00000000" w:rsidP="00D069A2">
            <w:pPr>
              <w:pStyle w:val="T0-Table"/>
            </w:pPr>
            <w:r w:rsidRPr="00D069A2">
              <w:t>AI/ML Engineering; Procurement</w:t>
            </w:r>
          </w:p>
        </w:tc>
      </w:tr>
      <w:tr w:rsidR="00245204" w:rsidRPr="00D069A2" w14:paraId="6A9C24C8" w14:textId="77777777" w:rsidTr="00D069A2">
        <w:trPr>
          <w:jc w:val="center"/>
        </w:trPr>
        <w:tc>
          <w:tcPr>
            <w:tcW w:w="4920" w:type="dxa"/>
            <w:shd w:val="clear" w:color="auto" w:fill="FFFFFF"/>
            <w:tcMar>
              <w:top w:w="60" w:type="dxa"/>
              <w:bottom w:w="60" w:type="dxa"/>
            </w:tcMar>
          </w:tcPr>
          <w:p w14:paraId="24957974" w14:textId="77777777" w:rsidR="00245204" w:rsidRPr="00D069A2" w:rsidRDefault="00000000" w:rsidP="00D069A2">
            <w:pPr>
              <w:pStyle w:val="T0-Table"/>
            </w:pPr>
            <w:r w:rsidRPr="00D069A2">
              <w:t>Pipeline and training data: pipeline audit-log retention [DEFAULT: minimum 24 months]; training-data attestation turnaround [DEFAULT: 72 hours]; enforceability of the burden-shifting provision or its named-addendum substitute; AI-BOM export/serialization format</w:t>
            </w:r>
          </w:p>
        </w:tc>
        <w:tc>
          <w:tcPr>
            <w:tcW w:w="2055" w:type="dxa"/>
            <w:shd w:val="clear" w:color="auto" w:fill="FFFFFF"/>
            <w:tcMar>
              <w:top w:w="60" w:type="dxa"/>
              <w:bottom w:w="60" w:type="dxa"/>
            </w:tcMar>
          </w:tcPr>
          <w:p w14:paraId="156120A6" w14:textId="77777777" w:rsidR="00245204" w:rsidRPr="00D069A2" w:rsidRDefault="00000000" w:rsidP="00D069A2">
            <w:pPr>
              <w:pStyle w:val="T0-Table"/>
            </w:pPr>
            <w:r w:rsidRPr="00D069A2">
              <w:t>Section 11.2; selected AI-BOM export/serialization format recorded in the Section 11.9 execution-evidence reference or incorporated technical annex</w:t>
            </w:r>
          </w:p>
        </w:tc>
        <w:tc>
          <w:tcPr>
            <w:tcW w:w="2385" w:type="dxa"/>
            <w:shd w:val="clear" w:color="auto" w:fill="FFFFFF"/>
            <w:tcMar>
              <w:top w:w="60" w:type="dxa"/>
              <w:bottom w:w="60" w:type="dxa"/>
            </w:tcMar>
          </w:tcPr>
          <w:p w14:paraId="4A2E3B0C" w14:textId="77777777" w:rsidR="00245204" w:rsidRPr="00D069A2" w:rsidRDefault="00000000" w:rsidP="00D069A2">
            <w:pPr>
              <w:pStyle w:val="T0-Table"/>
            </w:pPr>
            <w:r w:rsidRPr="00D069A2">
              <w:t>AI/ML Engineering; Legal</w:t>
            </w:r>
          </w:p>
        </w:tc>
      </w:tr>
      <w:tr w:rsidR="00245204" w:rsidRPr="00D069A2" w14:paraId="60D83616" w14:textId="77777777" w:rsidTr="00D069A2">
        <w:trPr>
          <w:jc w:val="center"/>
        </w:trPr>
        <w:tc>
          <w:tcPr>
            <w:tcW w:w="4920" w:type="dxa"/>
            <w:shd w:val="clear" w:color="auto" w:fill="D9E2F3"/>
            <w:tcMar>
              <w:top w:w="60" w:type="dxa"/>
              <w:bottom w:w="60" w:type="dxa"/>
            </w:tcMar>
          </w:tcPr>
          <w:p w14:paraId="033BFC4E" w14:textId="77777777" w:rsidR="00245204" w:rsidRPr="00D069A2" w:rsidRDefault="00000000" w:rsidP="00D069A2">
            <w:pPr>
              <w:pStyle w:val="T0-Table"/>
            </w:pPr>
            <w:r w:rsidRPr="00D069A2">
              <w:lastRenderedPageBreak/>
              <w:t>Attestation: active and idle intervals [DEFAULT: 1 hour] / [DEFAULT: 24 hours]; Critical/High-tier active interval [DEFAULT: 15 minutes]; failure notice [DEFAULT: 15 minutes]; aggregate compliance KPI [DEFAULT: 99.5%]; approved attestation measurement/reference profile</w:t>
            </w:r>
          </w:p>
        </w:tc>
        <w:tc>
          <w:tcPr>
            <w:tcW w:w="2055" w:type="dxa"/>
            <w:shd w:val="clear" w:color="auto" w:fill="D9E2F3"/>
            <w:tcMar>
              <w:top w:w="60" w:type="dxa"/>
              <w:bottom w:w="60" w:type="dxa"/>
            </w:tcMar>
          </w:tcPr>
          <w:p w14:paraId="2F4AE22D" w14:textId="77777777" w:rsidR="00245204" w:rsidRPr="00D069A2" w:rsidRDefault="00000000" w:rsidP="00D069A2">
            <w:pPr>
              <w:pStyle w:val="T0-Table"/>
            </w:pPr>
            <w:r w:rsidRPr="00D069A2">
              <w:t>Sections 11.3 and 11.10; deployment-approved attestation measurement/reference profile and its governed evidence reference</w:t>
            </w:r>
          </w:p>
        </w:tc>
        <w:tc>
          <w:tcPr>
            <w:tcW w:w="2385" w:type="dxa"/>
            <w:shd w:val="clear" w:color="auto" w:fill="D9E2F3"/>
            <w:tcMar>
              <w:top w:w="60" w:type="dxa"/>
              <w:bottom w:w="60" w:type="dxa"/>
            </w:tcMar>
          </w:tcPr>
          <w:p w14:paraId="66D3A7C6" w14:textId="77777777" w:rsidR="00245204" w:rsidRPr="00D069A2" w:rsidRDefault="00000000" w:rsidP="00D069A2">
            <w:pPr>
              <w:pStyle w:val="T0-Table"/>
            </w:pPr>
            <w:r w:rsidRPr="00D069A2">
              <w:t>Security/IR; OT Engineering</w:t>
            </w:r>
          </w:p>
        </w:tc>
      </w:tr>
      <w:tr w:rsidR="00245204" w:rsidRPr="00D069A2" w14:paraId="762F1DBA" w14:textId="77777777" w:rsidTr="00D069A2">
        <w:trPr>
          <w:jc w:val="center"/>
        </w:trPr>
        <w:tc>
          <w:tcPr>
            <w:tcW w:w="4920" w:type="dxa"/>
            <w:shd w:val="clear" w:color="auto" w:fill="FFFFFF"/>
            <w:tcMar>
              <w:top w:w="60" w:type="dxa"/>
              <w:bottom w:w="60" w:type="dxa"/>
            </w:tcMar>
          </w:tcPr>
          <w:p w14:paraId="619FDE0E" w14:textId="77777777" w:rsidR="00245204" w:rsidRPr="00D069A2" w:rsidRDefault="00000000" w:rsidP="00D069A2">
            <w:pPr>
              <w:pStyle w:val="T0-Table"/>
            </w:pPr>
            <w:r w:rsidRPr="00D069A2">
              <w:t>KQP security-side enforcement / safety handoff: P99.9 and P99.99 TKQ thresholds per asset class; statistical validation plan; transport-jitter baseline [DEFAULT: 72 hours]; deployment-approved safety/control handoff interface, acceptance/confirmation signal, physical Safe-State confirmation source, and maximum demand-to-acceptance latency derived from the validated hazard and safety/control analysis; safe-state delivery [DEFAULT: ≤ 200 milliseconds] and Phase 2 initiation budget; spurious K-2 rate [DEFAULT: 0.1%]; [MINIMUM ROTATION EVENTS]; SVID-ROTATION-BUFFER-SECONDS and SVID-LIFETIME</w:t>
            </w:r>
          </w:p>
        </w:tc>
        <w:tc>
          <w:tcPr>
            <w:tcW w:w="2055" w:type="dxa"/>
            <w:shd w:val="clear" w:color="auto" w:fill="FFFFFF"/>
            <w:tcMar>
              <w:top w:w="60" w:type="dxa"/>
              <w:bottom w:w="60" w:type="dxa"/>
            </w:tcMar>
          </w:tcPr>
          <w:p w14:paraId="4D16A6C9" w14:textId="77777777" w:rsidR="00245204" w:rsidRPr="00D069A2" w:rsidRDefault="00000000" w:rsidP="00D069A2">
            <w:pPr>
              <w:pStyle w:val="T0-Table"/>
            </w:pPr>
            <w:r w:rsidRPr="00D069A2">
              <w:t>Sections 11.3.1 to 11.3.3; ASCR-04 OE01 KQP TKQ Thresholds and Deployment Parameters; ASCR-10 commissioning and statistical-validation evidence</w:t>
            </w:r>
          </w:p>
        </w:tc>
        <w:tc>
          <w:tcPr>
            <w:tcW w:w="2385" w:type="dxa"/>
            <w:shd w:val="clear" w:color="auto" w:fill="FFFFFF"/>
            <w:tcMar>
              <w:top w:w="60" w:type="dxa"/>
              <w:bottom w:w="60" w:type="dxa"/>
            </w:tcMar>
          </w:tcPr>
          <w:p w14:paraId="790955D7" w14:textId="77777777" w:rsidR="00245204" w:rsidRPr="00D069A2" w:rsidRDefault="00000000" w:rsidP="00D069A2">
            <w:pPr>
              <w:pStyle w:val="T0-Table"/>
            </w:pPr>
            <w:r w:rsidRPr="00D069A2">
              <w:t>OT Engineering; Security/IR</w:t>
            </w:r>
          </w:p>
        </w:tc>
      </w:tr>
      <w:tr w:rsidR="00245204" w:rsidRPr="00D069A2" w14:paraId="45476E43" w14:textId="77777777" w:rsidTr="00D069A2">
        <w:trPr>
          <w:jc w:val="center"/>
        </w:trPr>
        <w:tc>
          <w:tcPr>
            <w:tcW w:w="4920" w:type="dxa"/>
            <w:shd w:val="clear" w:color="auto" w:fill="D9E2F3"/>
            <w:tcMar>
              <w:top w:w="60" w:type="dxa"/>
              <w:bottom w:w="60" w:type="dxa"/>
            </w:tcMar>
          </w:tcPr>
          <w:p w14:paraId="089455E5" w14:textId="77777777" w:rsidR="00245204" w:rsidRPr="00D069A2" w:rsidRDefault="00000000" w:rsidP="00D069A2">
            <w:pPr>
              <w:pStyle w:val="T0-Table"/>
            </w:pPr>
            <w:r w:rsidRPr="00D069A2">
              <w:t>Cloud-edge trust chain, where applicable: Pipeline ownership; ASCR-16 artifact version; authorized pipeline workload identity; application-key registry reference; cryptographic-transition profile reference and required signature mode; Vendor key-lifecycle, change-notification, and evidence-delivery obligation references; effective date; Operator approval; Vendor acknowledgement; governed exceptions</w:t>
            </w:r>
          </w:p>
        </w:tc>
        <w:tc>
          <w:tcPr>
            <w:tcW w:w="2055" w:type="dxa"/>
            <w:shd w:val="clear" w:color="auto" w:fill="D9E2F3"/>
            <w:tcMar>
              <w:top w:w="60" w:type="dxa"/>
              <w:bottom w:w="60" w:type="dxa"/>
            </w:tcMar>
          </w:tcPr>
          <w:p w14:paraId="3DAFE644" w14:textId="77777777" w:rsidR="00245204" w:rsidRPr="00D069A2" w:rsidRDefault="00000000" w:rsidP="00D069A2">
            <w:pPr>
              <w:pStyle w:val="T0-Table"/>
            </w:pPr>
            <w:r w:rsidRPr="00D069A2">
              <w:t>Section 11.3; workbook 11.3 Cloud-Edge Governance</w:t>
            </w:r>
          </w:p>
        </w:tc>
        <w:tc>
          <w:tcPr>
            <w:tcW w:w="2385" w:type="dxa"/>
            <w:shd w:val="clear" w:color="auto" w:fill="D9E2F3"/>
            <w:tcMar>
              <w:top w:w="60" w:type="dxa"/>
              <w:bottom w:w="60" w:type="dxa"/>
            </w:tcMar>
          </w:tcPr>
          <w:p w14:paraId="2021A1C3" w14:textId="77777777" w:rsidR="00245204" w:rsidRPr="00D069A2" w:rsidRDefault="00000000" w:rsidP="00D069A2">
            <w:pPr>
              <w:pStyle w:val="T0-Table"/>
            </w:pPr>
            <w:r w:rsidRPr="00D069A2">
              <w:t>Security/IR; AI/ML Engineering; Legal</w:t>
            </w:r>
          </w:p>
        </w:tc>
      </w:tr>
      <w:tr w:rsidR="00245204" w:rsidRPr="00D069A2" w14:paraId="0B18672F" w14:textId="77777777" w:rsidTr="00D069A2">
        <w:trPr>
          <w:jc w:val="center"/>
        </w:trPr>
        <w:tc>
          <w:tcPr>
            <w:tcW w:w="4920" w:type="dxa"/>
            <w:shd w:val="clear" w:color="auto" w:fill="FFFFFF"/>
            <w:tcMar>
              <w:top w:w="60" w:type="dxa"/>
              <w:bottom w:w="60" w:type="dxa"/>
            </w:tcMar>
          </w:tcPr>
          <w:p w14:paraId="605DD18F" w14:textId="77777777" w:rsidR="00245204" w:rsidRPr="00D069A2" w:rsidRDefault="00000000" w:rsidP="00D069A2">
            <w:pPr>
              <w:pStyle w:val="T0-Table"/>
            </w:pPr>
            <w:r w:rsidRPr="00D069A2">
              <w:t>Decision lineage and audit: export turnaround [DEFAULT: 4 hours] / [DEFAULT: 48 hours]; no-charge exports per quarter; retention [DEFAULT: 36 months] / [DEFAULT: 10 years] / [DEFAULT: 25 years]; forensic contact [DEFAULT: 2 hours]; Vendor incident analysis [DEFAULT: 24 hours]; OT-boundary actuation-linkage method; data processing agreement; Decision Lineage Record export/serialization format</w:t>
            </w:r>
          </w:p>
        </w:tc>
        <w:tc>
          <w:tcPr>
            <w:tcW w:w="2055" w:type="dxa"/>
            <w:shd w:val="clear" w:color="auto" w:fill="FFFFFF"/>
            <w:tcMar>
              <w:top w:w="60" w:type="dxa"/>
              <w:bottom w:w="60" w:type="dxa"/>
            </w:tcMar>
          </w:tcPr>
          <w:p w14:paraId="0A3D5742" w14:textId="77777777" w:rsidR="00245204" w:rsidRPr="00D069A2" w:rsidRDefault="00000000" w:rsidP="00D069A2">
            <w:pPr>
              <w:pStyle w:val="T0-Table"/>
            </w:pPr>
            <w:r w:rsidRPr="00D069A2">
              <w:t>Section 11.4; current ASCR-07 schema; selected Decision Lineage Record export/serialization format recorded in the Section 11.9 execution-evidence reference or incorporated technical annex</w:t>
            </w:r>
          </w:p>
        </w:tc>
        <w:tc>
          <w:tcPr>
            <w:tcW w:w="2385" w:type="dxa"/>
            <w:shd w:val="clear" w:color="auto" w:fill="FFFFFF"/>
            <w:tcMar>
              <w:top w:w="60" w:type="dxa"/>
              <w:bottom w:w="60" w:type="dxa"/>
            </w:tcMar>
          </w:tcPr>
          <w:p w14:paraId="6E493F90" w14:textId="77777777" w:rsidR="00245204" w:rsidRPr="00D069A2" w:rsidRDefault="00000000" w:rsidP="00D069A2">
            <w:pPr>
              <w:pStyle w:val="T0-Table"/>
            </w:pPr>
            <w:r w:rsidRPr="00D069A2">
              <w:t>Legal; Security/IR</w:t>
            </w:r>
          </w:p>
        </w:tc>
      </w:tr>
      <w:tr w:rsidR="00245204" w:rsidRPr="00D069A2" w14:paraId="7838E74C" w14:textId="77777777" w:rsidTr="00D069A2">
        <w:trPr>
          <w:jc w:val="center"/>
        </w:trPr>
        <w:tc>
          <w:tcPr>
            <w:tcW w:w="4920" w:type="dxa"/>
            <w:shd w:val="clear" w:color="auto" w:fill="D9E2F3"/>
            <w:tcMar>
              <w:top w:w="60" w:type="dxa"/>
              <w:bottom w:w="60" w:type="dxa"/>
            </w:tcMar>
          </w:tcPr>
          <w:p w14:paraId="423B30E5" w14:textId="77777777" w:rsidR="00245204" w:rsidRPr="00D069A2" w:rsidRDefault="00000000" w:rsidP="00D069A2">
            <w:pPr>
              <w:pStyle w:val="T0-Table"/>
            </w:pPr>
            <w:r w:rsidRPr="00D069A2">
              <w:lastRenderedPageBreak/>
              <w:t>Notification: Tier 1 / 2 / 3 windows [DEFAULT: within 30 minutes] / [DEFAULT: within 4 hours] / [DEFAULT: within 24 hours]; regulatory-support delivery [DEFAULT: 6 hours] / [DEFAULT: 12 hours]</w:t>
            </w:r>
          </w:p>
        </w:tc>
        <w:tc>
          <w:tcPr>
            <w:tcW w:w="2055" w:type="dxa"/>
            <w:shd w:val="clear" w:color="auto" w:fill="D9E2F3"/>
            <w:tcMar>
              <w:top w:w="60" w:type="dxa"/>
              <w:bottom w:w="60" w:type="dxa"/>
            </w:tcMar>
          </w:tcPr>
          <w:p w14:paraId="73CF8B38" w14:textId="77777777" w:rsidR="00245204" w:rsidRPr="00D069A2" w:rsidRDefault="00000000" w:rsidP="00D069A2">
            <w:pPr>
              <w:pStyle w:val="T0-Table"/>
            </w:pPr>
            <w:r w:rsidRPr="00D069A2">
              <w:t>Section 11.5; Schedule C</w:t>
            </w:r>
          </w:p>
        </w:tc>
        <w:tc>
          <w:tcPr>
            <w:tcW w:w="2385" w:type="dxa"/>
            <w:shd w:val="clear" w:color="auto" w:fill="D9E2F3"/>
            <w:tcMar>
              <w:top w:w="60" w:type="dxa"/>
              <w:bottom w:w="60" w:type="dxa"/>
            </w:tcMar>
          </w:tcPr>
          <w:p w14:paraId="7C1CCEDD" w14:textId="77777777" w:rsidR="00245204" w:rsidRPr="00D069A2" w:rsidRDefault="00000000" w:rsidP="00D069A2">
            <w:pPr>
              <w:pStyle w:val="T0-Table"/>
            </w:pPr>
            <w:r w:rsidRPr="00D069A2">
              <w:t>Security/IR; Regulatory/Compliance</w:t>
            </w:r>
          </w:p>
        </w:tc>
      </w:tr>
      <w:tr w:rsidR="00245204" w:rsidRPr="00D069A2" w14:paraId="1A50DCE7" w14:textId="77777777" w:rsidTr="00D069A2">
        <w:trPr>
          <w:jc w:val="center"/>
        </w:trPr>
        <w:tc>
          <w:tcPr>
            <w:tcW w:w="4920" w:type="dxa"/>
            <w:shd w:val="clear" w:color="auto" w:fill="FFFFFF"/>
            <w:tcMar>
              <w:top w:w="60" w:type="dxa"/>
              <w:bottom w:w="60" w:type="dxa"/>
            </w:tcMar>
          </w:tcPr>
          <w:p w14:paraId="3A0E47EB" w14:textId="77777777" w:rsidR="00245204" w:rsidRPr="00D069A2" w:rsidRDefault="00000000" w:rsidP="00D069A2">
            <w:pPr>
              <w:pStyle w:val="T0-Table"/>
            </w:pPr>
            <w:r w:rsidRPr="00D069A2">
              <w:t>Reporting: Monthly Security Report delivery [DEFAULT: 5 business days]; annual-assessment independence route</w:t>
            </w:r>
          </w:p>
        </w:tc>
        <w:tc>
          <w:tcPr>
            <w:tcW w:w="2055" w:type="dxa"/>
            <w:shd w:val="clear" w:color="auto" w:fill="FFFFFF"/>
            <w:tcMar>
              <w:top w:w="60" w:type="dxa"/>
              <w:bottom w:w="60" w:type="dxa"/>
            </w:tcMar>
          </w:tcPr>
          <w:p w14:paraId="50E9DF35" w14:textId="77777777" w:rsidR="00245204" w:rsidRPr="00D069A2" w:rsidRDefault="00000000" w:rsidP="00D069A2">
            <w:pPr>
              <w:pStyle w:val="T0-Table"/>
            </w:pPr>
            <w:r w:rsidRPr="00D069A2">
              <w:t>Section 11.6</w:t>
            </w:r>
          </w:p>
        </w:tc>
        <w:tc>
          <w:tcPr>
            <w:tcW w:w="2385" w:type="dxa"/>
            <w:shd w:val="clear" w:color="auto" w:fill="FFFFFF"/>
            <w:tcMar>
              <w:top w:w="60" w:type="dxa"/>
              <w:bottom w:w="60" w:type="dxa"/>
            </w:tcMar>
          </w:tcPr>
          <w:p w14:paraId="3724D01E" w14:textId="77777777" w:rsidR="00245204" w:rsidRPr="00D069A2" w:rsidRDefault="00000000" w:rsidP="00D069A2">
            <w:pPr>
              <w:pStyle w:val="T0-Table"/>
            </w:pPr>
            <w:r w:rsidRPr="00D069A2">
              <w:t>Regulatory/Compliance; Risk</w:t>
            </w:r>
          </w:p>
        </w:tc>
      </w:tr>
      <w:tr w:rsidR="00245204" w:rsidRPr="00D069A2" w14:paraId="40E16FB3" w14:textId="77777777" w:rsidTr="00D069A2">
        <w:trPr>
          <w:jc w:val="center"/>
        </w:trPr>
        <w:tc>
          <w:tcPr>
            <w:tcW w:w="4920" w:type="dxa"/>
            <w:shd w:val="clear" w:color="auto" w:fill="D9E2F3"/>
            <w:tcMar>
              <w:top w:w="60" w:type="dxa"/>
              <w:bottom w:w="60" w:type="dxa"/>
            </w:tcMar>
          </w:tcPr>
          <w:p w14:paraId="2B3740C4" w14:textId="77777777" w:rsidR="00245204" w:rsidRPr="00D069A2" w:rsidRDefault="00000000" w:rsidP="00D069A2">
            <w:pPr>
              <w:pStyle w:val="T0-Table"/>
            </w:pPr>
            <w:r w:rsidRPr="00D069A2">
              <w:t>Liability, insurance, exit, and termination: [NEGOTIATED CAP]; [NEGOTIATED AMOUNT] (two policies); [NEGOTIATED POST-TERMINATION PERIOD]; cancellation notice [DEFAULT: 30 days]; DORA exit transition [DEFAULT: 90 days]; termination export [DEFAULT: 30 days], transition assistance [DEFAULT: 90 days], deletion certification [DEFAULT: 60 days]</w:t>
            </w:r>
          </w:p>
        </w:tc>
        <w:tc>
          <w:tcPr>
            <w:tcW w:w="2055" w:type="dxa"/>
            <w:shd w:val="clear" w:color="auto" w:fill="D9E2F3"/>
            <w:tcMar>
              <w:top w:w="60" w:type="dxa"/>
              <w:bottom w:w="60" w:type="dxa"/>
            </w:tcMar>
          </w:tcPr>
          <w:p w14:paraId="01BC778C" w14:textId="77777777" w:rsidR="00245204" w:rsidRPr="00D069A2" w:rsidRDefault="00000000" w:rsidP="00D069A2">
            <w:pPr>
              <w:pStyle w:val="T0-Table"/>
            </w:pPr>
            <w:r w:rsidRPr="00D069A2">
              <w:t>Sections 11.7, 11.12</w:t>
            </w:r>
          </w:p>
        </w:tc>
        <w:tc>
          <w:tcPr>
            <w:tcW w:w="2385" w:type="dxa"/>
            <w:shd w:val="clear" w:color="auto" w:fill="D9E2F3"/>
            <w:tcMar>
              <w:top w:w="60" w:type="dxa"/>
              <w:bottom w:w="60" w:type="dxa"/>
            </w:tcMar>
          </w:tcPr>
          <w:p w14:paraId="3642EF41" w14:textId="77777777" w:rsidR="00245204" w:rsidRPr="00D069A2" w:rsidRDefault="00000000" w:rsidP="00D069A2">
            <w:pPr>
              <w:pStyle w:val="T0-Table"/>
            </w:pPr>
            <w:r w:rsidRPr="00D069A2">
              <w:t>Legal; Procurement; Risk</w:t>
            </w:r>
          </w:p>
        </w:tc>
      </w:tr>
      <w:tr w:rsidR="00245204" w:rsidRPr="00D069A2" w14:paraId="772FF57A" w14:textId="77777777" w:rsidTr="00D069A2">
        <w:trPr>
          <w:jc w:val="center"/>
        </w:trPr>
        <w:tc>
          <w:tcPr>
            <w:tcW w:w="4920" w:type="dxa"/>
            <w:shd w:val="clear" w:color="auto" w:fill="FFFFFF"/>
            <w:tcMar>
              <w:top w:w="60" w:type="dxa"/>
              <w:bottom w:w="60" w:type="dxa"/>
            </w:tcMar>
          </w:tcPr>
          <w:p w14:paraId="238703C4" w14:textId="77777777" w:rsidR="00245204" w:rsidRPr="00D069A2" w:rsidRDefault="00000000" w:rsidP="00D069A2">
            <w:pPr>
              <w:pStyle w:val="T0-Table"/>
            </w:pPr>
            <w:r w:rsidRPr="00D069A2">
              <w:t>Schedule A: SOFT_ALERT and HARD_BLOCK values per parameter; [EMBEDDING MODEL IDENTIFIER]; [ANCHOR_THRESHOLD: X cosine distance]; measurement-configuration block including minimum observation volume where applicable, approved statistical treatment, actuation-latency baseline, control-loop interval, and commissioned nominal grip force (</w:t>
            </w:r>
            <w:proofErr w:type="spellStart"/>
            <w:r w:rsidRPr="00D069A2">
              <w:t>kN</w:t>
            </w:r>
            <w:proofErr w:type="spellEnd"/>
            <w:r w:rsidRPr="00D069A2">
              <w:t>) per governed object class; embedding model version; embedding dimensionality; distance convention; reference-set composition; rolling-window size [DEFAULT: 50 valid inference calls]</w:t>
            </w:r>
          </w:p>
        </w:tc>
        <w:tc>
          <w:tcPr>
            <w:tcW w:w="2055" w:type="dxa"/>
            <w:shd w:val="clear" w:color="auto" w:fill="FFFFFF"/>
            <w:tcMar>
              <w:top w:w="60" w:type="dxa"/>
              <w:bottom w:w="60" w:type="dxa"/>
            </w:tcMar>
          </w:tcPr>
          <w:p w14:paraId="0DA83299" w14:textId="77777777" w:rsidR="00245204" w:rsidRPr="00D069A2" w:rsidRDefault="00000000" w:rsidP="00D069A2">
            <w:pPr>
              <w:pStyle w:val="T0-Table"/>
            </w:pPr>
            <w:r w:rsidRPr="00D069A2">
              <w:t>Section 11.9; workbook Schedule A</w:t>
            </w:r>
          </w:p>
        </w:tc>
        <w:tc>
          <w:tcPr>
            <w:tcW w:w="2385" w:type="dxa"/>
            <w:shd w:val="clear" w:color="auto" w:fill="FFFFFF"/>
            <w:tcMar>
              <w:top w:w="60" w:type="dxa"/>
              <w:bottom w:w="60" w:type="dxa"/>
            </w:tcMar>
          </w:tcPr>
          <w:p w14:paraId="08A9DA7F" w14:textId="77777777" w:rsidR="00245204" w:rsidRPr="00D069A2" w:rsidRDefault="00000000" w:rsidP="00D069A2">
            <w:pPr>
              <w:pStyle w:val="T0-Table"/>
            </w:pPr>
            <w:r w:rsidRPr="00D069A2">
              <w:t>AI/ML Engineering; OT Engineering; Legal</w:t>
            </w:r>
          </w:p>
        </w:tc>
      </w:tr>
      <w:tr w:rsidR="00245204" w:rsidRPr="00D069A2" w14:paraId="176E3683" w14:textId="77777777" w:rsidTr="00D069A2">
        <w:trPr>
          <w:jc w:val="center"/>
        </w:trPr>
        <w:tc>
          <w:tcPr>
            <w:tcW w:w="4920" w:type="dxa"/>
            <w:shd w:val="clear" w:color="auto" w:fill="D9E2F3"/>
            <w:tcMar>
              <w:top w:w="60" w:type="dxa"/>
              <w:bottom w:w="60" w:type="dxa"/>
            </w:tcMar>
          </w:tcPr>
          <w:p w14:paraId="05E94422" w14:textId="77777777" w:rsidR="00245204" w:rsidRPr="00D069A2" w:rsidRDefault="00000000" w:rsidP="00D069A2">
            <w:pPr>
              <w:pStyle w:val="T0-Table"/>
            </w:pPr>
            <w:r w:rsidRPr="00D069A2">
              <w:t>Schedule B facility-specific triggers; Schedule C channels and contacts in both directions; Schedule D effective identity-continuity SLO values and governed measurement window/basis</w:t>
            </w:r>
          </w:p>
        </w:tc>
        <w:tc>
          <w:tcPr>
            <w:tcW w:w="2055" w:type="dxa"/>
            <w:shd w:val="clear" w:color="auto" w:fill="D9E2F3"/>
            <w:tcMar>
              <w:top w:w="60" w:type="dxa"/>
              <w:bottom w:w="60" w:type="dxa"/>
            </w:tcMar>
          </w:tcPr>
          <w:p w14:paraId="60E774BC" w14:textId="77777777" w:rsidR="00245204" w:rsidRPr="00D069A2" w:rsidRDefault="00000000" w:rsidP="00D069A2">
            <w:pPr>
              <w:pStyle w:val="T0-Table"/>
            </w:pPr>
            <w:r w:rsidRPr="00D069A2">
              <w:t>Section 11.9; workbook Schedules B, C, D</w:t>
            </w:r>
          </w:p>
        </w:tc>
        <w:tc>
          <w:tcPr>
            <w:tcW w:w="2385" w:type="dxa"/>
            <w:shd w:val="clear" w:color="auto" w:fill="D9E2F3"/>
            <w:tcMar>
              <w:top w:w="60" w:type="dxa"/>
              <w:bottom w:w="60" w:type="dxa"/>
            </w:tcMar>
          </w:tcPr>
          <w:p w14:paraId="2A764CD4" w14:textId="77777777" w:rsidR="00245204" w:rsidRPr="00D069A2" w:rsidRDefault="00000000" w:rsidP="00D069A2">
            <w:pPr>
              <w:pStyle w:val="T0-Table"/>
            </w:pPr>
            <w:r w:rsidRPr="00D069A2">
              <w:t>Security/IR; OT Engineering; Legal</w:t>
            </w:r>
          </w:p>
        </w:tc>
      </w:tr>
      <w:tr w:rsidR="00245204" w:rsidRPr="00D069A2" w14:paraId="6B728CF5" w14:textId="77777777" w:rsidTr="00D069A2">
        <w:trPr>
          <w:jc w:val="center"/>
        </w:trPr>
        <w:tc>
          <w:tcPr>
            <w:tcW w:w="4920" w:type="dxa"/>
            <w:shd w:val="clear" w:color="auto" w:fill="FFFFFF"/>
            <w:tcMar>
              <w:top w:w="60" w:type="dxa"/>
              <w:bottom w:w="60" w:type="dxa"/>
            </w:tcMar>
          </w:tcPr>
          <w:p w14:paraId="7A2DFCBA" w14:textId="77777777" w:rsidR="00245204" w:rsidRPr="00D069A2" w:rsidRDefault="00000000" w:rsidP="00D069A2">
            <w:pPr>
              <w:pStyle w:val="T0-Table"/>
            </w:pPr>
            <w:r w:rsidRPr="00D069A2">
              <w:t>Regulatory applicability: EU AI Act Article 6 classification and applicable date; DORA Article 30 applicability; any added crosswalk regime columns (complete before execution)</w:t>
            </w:r>
          </w:p>
        </w:tc>
        <w:tc>
          <w:tcPr>
            <w:tcW w:w="2055" w:type="dxa"/>
            <w:shd w:val="clear" w:color="auto" w:fill="FFFFFF"/>
            <w:tcMar>
              <w:top w:w="60" w:type="dxa"/>
              <w:bottom w:w="60" w:type="dxa"/>
            </w:tcMar>
          </w:tcPr>
          <w:p w14:paraId="5145742A" w14:textId="77777777" w:rsidR="00245204" w:rsidRPr="00D069A2" w:rsidRDefault="00000000" w:rsidP="00D069A2">
            <w:pPr>
              <w:pStyle w:val="T0-Table"/>
            </w:pPr>
            <w:r w:rsidRPr="00D069A2">
              <w:t>Sections 11.7, 11.8, 11.10</w:t>
            </w:r>
          </w:p>
        </w:tc>
        <w:tc>
          <w:tcPr>
            <w:tcW w:w="2385" w:type="dxa"/>
            <w:shd w:val="clear" w:color="auto" w:fill="FFFFFF"/>
            <w:tcMar>
              <w:top w:w="60" w:type="dxa"/>
              <w:bottom w:w="60" w:type="dxa"/>
            </w:tcMar>
          </w:tcPr>
          <w:p w14:paraId="70864E30" w14:textId="77777777" w:rsidR="00245204" w:rsidRPr="00D069A2" w:rsidRDefault="00000000" w:rsidP="00D069A2">
            <w:pPr>
              <w:pStyle w:val="T0-Table"/>
            </w:pPr>
            <w:r w:rsidRPr="00D069A2">
              <w:t>Regulatory/Compliance; Legal</w:t>
            </w:r>
          </w:p>
        </w:tc>
      </w:tr>
    </w:tbl>
    <w:p w14:paraId="24968738" w14:textId="77777777" w:rsidR="00245204" w:rsidRPr="00D069A2" w:rsidRDefault="00000000" w:rsidP="00D069A2">
      <w:pPr>
        <w:pStyle w:val="HS-Heading2"/>
      </w:pPr>
      <w:bookmarkStart w:id="3" w:name="_heading=h.mn557ygf73pm" w:colFirst="0" w:colLast="0"/>
      <w:bookmarkEnd w:id="3"/>
      <w:r w:rsidRPr="00D069A2">
        <w:t>Artifact structure and usage</w:t>
      </w:r>
    </w:p>
    <w:p w14:paraId="3DCE3EB1" w14:textId="77777777" w:rsidR="00245204" w:rsidRPr="00D069A2" w:rsidRDefault="00000000" w:rsidP="00A05123">
      <w:pPr>
        <w:pStyle w:val="P0-Paragraph"/>
      </w:pPr>
      <w:r w:rsidRPr="00D069A2">
        <w:rPr>
          <w:rFonts w:eastAsia="Cambria"/>
        </w:rPr>
        <w:t xml:space="preserve">This instrument is a two-file package: this document (the contractual exhibit and clause language) and ASCR-11-OE01-Supplemental-Schedules-and-Tables.xlsx (the fillable, filterable, and </w:t>
      </w:r>
      <w:proofErr w:type="gramStart"/>
      <w:r w:rsidRPr="00D069A2">
        <w:rPr>
          <w:rFonts w:eastAsia="Cambria"/>
        </w:rPr>
        <w:t>periodically-updated</w:t>
      </w:r>
      <w:proofErr w:type="gramEnd"/>
      <w:r w:rsidRPr="00D069A2">
        <w:rPr>
          <w:rFonts w:eastAsia="Cambria"/>
        </w:rPr>
        <w:t xml:space="preserve"> reference tables). The workbook contains nine sheets:</w:t>
      </w:r>
    </w:p>
    <w:tbl>
      <w:tblPr>
        <w:tblStyle w:val="a3"/>
        <w:tblW w:w="94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25"/>
        <w:gridCol w:w="1810"/>
        <w:gridCol w:w="5585"/>
      </w:tblGrid>
      <w:tr w:rsidR="00245204" w:rsidRPr="00D069A2" w14:paraId="1A9A2F6A" w14:textId="77777777" w:rsidTr="00D069A2">
        <w:trPr>
          <w:cnfStyle w:val="100000000000" w:firstRow="1" w:lastRow="0" w:firstColumn="0" w:lastColumn="0" w:oddVBand="0" w:evenVBand="0" w:oddHBand="0" w:evenHBand="0" w:firstRowFirstColumn="0" w:firstRowLastColumn="0" w:lastRowFirstColumn="0" w:lastRowLastColumn="0"/>
          <w:cantSplit/>
          <w:tblHeader/>
        </w:trPr>
        <w:tc>
          <w:tcPr>
            <w:tcW w:w="2025" w:type="dxa"/>
            <w:tcBorders>
              <w:bottom w:val="none" w:sz="0" w:space="0" w:color="auto"/>
            </w:tcBorders>
            <w:shd w:val="clear" w:color="auto" w:fill="1F3864"/>
            <w:tcMar>
              <w:top w:w="72" w:type="dxa"/>
              <w:bottom w:w="72" w:type="dxa"/>
            </w:tcMar>
            <w:vAlign w:val="top"/>
          </w:tcPr>
          <w:p w14:paraId="2C47F3DA" w14:textId="77777777" w:rsidR="00245204" w:rsidRPr="00D069A2" w:rsidRDefault="00000000" w:rsidP="00D069A2">
            <w:pPr>
              <w:pStyle w:val="T0-Table"/>
              <w:rPr>
                <w:rStyle w:val="CS-Keyword"/>
              </w:rPr>
            </w:pPr>
            <w:r w:rsidRPr="00D069A2">
              <w:rPr>
                <w:rStyle w:val="CS-Keyword"/>
              </w:rPr>
              <w:lastRenderedPageBreak/>
              <w:t>Workbook Sheet</w:t>
            </w:r>
          </w:p>
        </w:tc>
        <w:tc>
          <w:tcPr>
            <w:tcW w:w="1810" w:type="dxa"/>
            <w:tcBorders>
              <w:bottom w:val="none" w:sz="0" w:space="0" w:color="auto"/>
            </w:tcBorders>
            <w:shd w:val="clear" w:color="auto" w:fill="1F3864"/>
            <w:tcMar>
              <w:top w:w="72" w:type="dxa"/>
              <w:bottom w:w="72" w:type="dxa"/>
            </w:tcMar>
            <w:vAlign w:val="top"/>
          </w:tcPr>
          <w:p w14:paraId="5F62CD15" w14:textId="77777777" w:rsidR="00245204" w:rsidRPr="00D069A2" w:rsidRDefault="00000000" w:rsidP="00D069A2">
            <w:pPr>
              <w:pStyle w:val="T0-Table"/>
              <w:rPr>
                <w:rStyle w:val="CS-Keyword"/>
              </w:rPr>
            </w:pPr>
            <w:r w:rsidRPr="00D069A2">
              <w:rPr>
                <w:rStyle w:val="CS-Keyword"/>
              </w:rPr>
              <w:t>Corresponds to</w:t>
            </w:r>
          </w:p>
        </w:tc>
        <w:tc>
          <w:tcPr>
            <w:tcW w:w="5585" w:type="dxa"/>
            <w:tcBorders>
              <w:bottom w:val="none" w:sz="0" w:space="0" w:color="auto"/>
            </w:tcBorders>
            <w:shd w:val="clear" w:color="auto" w:fill="1F3864"/>
            <w:tcMar>
              <w:top w:w="72" w:type="dxa"/>
              <w:bottom w:w="72" w:type="dxa"/>
            </w:tcMar>
            <w:vAlign w:val="top"/>
          </w:tcPr>
          <w:p w14:paraId="6C628521" w14:textId="77777777" w:rsidR="00245204" w:rsidRPr="00D069A2" w:rsidRDefault="00000000" w:rsidP="00D069A2">
            <w:pPr>
              <w:pStyle w:val="T0-Table"/>
              <w:rPr>
                <w:rStyle w:val="CS-Keyword"/>
              </w:rPr>
            </w:pPr>
            <w:r w:rsidRPr="00D069A2">
              <w:rPr>
                <w:rStyle w:val="CS-Keyword"/>
              </w:rPr>
              <w:t>Content</w:t>
            </w:r>
          </w:p>
        </w:tc>
      </w:tr>
      <w:tr w:rsidR="00245204" w:rsidRPr="00D069A2" w14:paraId="2D5C1791" w14:textId="77777777" w:rsidTr="00D069A2">
        <w:trPr>
          <w:cantSplit/>
        </w:trPr>
        <w:tc>
          <w:tcPr>
            <w:tcW w:w="2025" w:type="dxa"/>
            <w:shd w:val="clear" w:color="auto" w:fill="FFFFFF"/>
          </w:tcPr>
          <w:p w14:paraId="2819A2B1" w14:textId="77777777" w:rsidR="00245204" w:rsidRPr="00D069A2" w:rsidRDefault="00000000" w:rsidP="00D069A2">
            <w:pPr>
              <w:pStyle w:val="T0-Table"/>
            </w:pPr>
            <w:r w:rsidRPr="00D069A2">
              <w:t>Read Me</w:t>
            </w:r>
          </w:p>
        </w:tc>
        <w:tc>
          <w:tcPr>
            <w:tcW w:w="1810" w:type="dxa"/>
            <w:shd w:val="clear" w:color="auto" w:fill="FFFFFF"/>
          </w:tcPr>
          <w:p w14:paraId="7A832814" w14:textId="77777777" w:rsidR="00245204" w:rsidRPr="00D069A2" w:rsidRDefault="00000000" w:rsidP="00D069A2">
            <w:pPr>
              <w:pStyle w:val="T0-Table"/>
            </w:pPr>
            <w:r w:rsidRPr="00D069A2">
              <w:t>—</w:t>
            </w:r>
          </w:p>
        </w:tc>
        <w:tc>
          <w:tcPr>
            <w:tcW w:w="5585" w:type="dxa"/>
            <w:shd w:val="clear" w:color="auto" w:fill="FFFFFF"/>
          </w:tcPr>
          <w:p w14:paraId="14A587EC" w14:textId="77777777" w:rsidR="00245204" w:rsidRPr="00D069A2" w:rsidRDefault="00000000" w:rsidP="00D069A2">
            <w:pPr>
              <w:pStyle w:val="T0-Table"/>
            </w:pPr>
            <w:r w:rsidRPr="00D069A2">
              <w:t>Workbook metadata, scope, precedence, change control, and worksheet directory</w:t>
            </w:r>
          </w:p>
        </w:tc>
      </w:tr>
      <w:tr w:rsidR="00245204" w:rsidRPr="00D069A2" w14:paraId="4EACE7E8" w14:textId="77777777" w:rsidTr="00D069A2">
        <w:trPr>
          <w:cantSplit/>
        </w:trPr>
        <w:tc>
          <w:tcPr>
            <w:tcW w:w="2025" w:type="dxa"/>
            <w:shd w:val="clear" w:color="auto" w:fill="D9E2F3"/>
            <w:tcMar>
              <w:top w:w="72" w:type="dxa"/>
              <w:bottom w:w="72" w:type="dxa"/>
            </w:tcMar>
          </w:tcPr>
          <w:p w14:paraId="4100DD4F" w14:textId="77777777" w:rsidR="00245204" w:rsidRPr="00D069A2" w:rsidRDefault="00000000" w:rsidP="00D069A2">
            <w:pPr>
              <w:pStyle w:val="T0-Table"/>
            </w:pPr>
            <w:r w:rsidRPr="00D069A2">
              <w:t>Index</w:t>
            </w:r>
          </w:p>
        </w:tc>
        <w:tc>
          <w:tcPr>
            <w:tcW w:w="1810" w:type="dxa"/>
            <w:shd w:val="clear" w:color="auto" w:fill="D9E2F3"/>
            <w:tcMar>
              <w:top w:w="72" w:type="dxa"/>
              <w:bottom w:w="72" w:type="dxa"/>
            </w:tcMar>
          </w:tcPr>
          <w:p w14:paraId="5936EC0D" w14:textId="77777777" w:rsidR="00245204" w:rsidRPr="00D069A2" w:rsidRDefault="00000000" w:rsidP="00D069A2">
            <w:pPr>
              <w:pStyle w:val="T0-Table"/>
            </w:pPr>
            <w:r w:rsidRPr="00D069A2">
              <w:t>—</w:t>
            </w:r>
          </w:p>
        </w:tc>
        <w:tc>
          <w:tcPr>
            <w:tcW w:w="5585" w:type="dxa"/>
            <w:shd w:val="clear" w:color="auto" w:fill="D9E2F3"/>
            <w:tcMar>
              <w:top w:w="72" w:type="dxa"/>
              <w:bottom w:w="72" w:type="dxa"/>
            </w:tcMar>
          </w:tcPr>
          <w:p w14:paraId="2B0A8C16" w14:textId="77777777" w:rsidR="00245204" w:rsidRPr="00D069A2" w:rsidRDefault="00000000" w:rsidP="00D069A2">
            <w:pPr>
              <w:pStyle w:val="T0-Table"/>
            </w:pPr>
            <w:r w:rsidRPr="00D069A2">
              <w:t>Workbook purpose, governance note, sheet directory, and Schedule A-D execution/countersignature register</w:t>
            </w:r>
          </w:p>
        </w:tc>
      </w:tr>
      <w:tr w:rsidR="00245204" w:rsidRPr="00D069A2" w14:paraId="1F0C6AEC" w14:textId="77777777" w:rsidTr="00D069A2">
        <w:trPr>
          <w:cantSplit/>
        </w:trPr>
        <w:tc>
          <w:tcPr>
            <w:tcW w:w="2025" w:type="dxa"/>
            <w:shd w:val="clear" w:color="auto" w:fill="FFFFFF"/>
            <w:tcMar>
              <w:top w:w="72" w:type="dxa"/>
              <w:bottom w:w="72" w:type="dxa"/>
            </w:tcMar>
          </w:tcPr>
          <w:p w14:paraId="5A4986CC" w14:textId="77777777" w:rsidR="00245204" w:rsidRPr="00D069A2" w:rsidRDefault="00000000" w:rsidP="00D069A2">
            <w:pPr>
              <w:pStyle w:val="T0-Table"/>
            </w:pPr>
            <w:r w:rsidRPr="00D069A2">
              <w:t>Schedule A</w:t>
            </w:r>
          </w:p>
        </w:tc>
        <w:tc>
          <w:tcPr>
            <w:tcW w:w="1810" w:type="dxa"/>
            <w:shd w:val="clear" w:color="auto" w:fill="FFFFFF"/>
            <w:tcMar>
              <w:top w:w="72" w:type="dxa"/>
              <w:bottom w:w="72" w:type="dxa"/>
            </w:tcMar>
          </w:tcPr>
          <w:p w14:paraId="51C51FF1" w14:textId="77777777" w:rsidR="00245204" w:rsidRPr="00D069A2" w:rsidRDefault="00000000" w:rsidP="00D069A2">
            <w:pPr>
              <w:pStyle w:val="T0-Table"/>
            </w:pPr>
            <w:r w:rsidRPr="00D069A2">
              <w:t>Section 11.9</w:t>
            </w:r>
          </w:p>
        </w:tc>
        <w:tc>
          <w:tcPr>
            <w:tcW w:w="5585" w:type="dxa"/>
            <w:shd w:val="clear" w:color="auto" w:fill="FFFFFF"/>
            <w:tcMar>
              <w:top w:w="72" w:type="dxa"/>
              <w:bottom w:w="72" w:type="dxa"/>
            </w:tcMar>
          </w:tcPr>
          <w:p w14:paraId="1267469B" w14:textId="77777777" w:rsidR="00245204" w:rsidRPr="00D069A2" w:rsidRDefault="00000000" w:rsidP="00D069A2">
            <w:pPr>
              <w:pStyle w:val="T0-Table"/>
            </w:pPr>
            <w:r w:rsidRPr="00D069A2">
              <w:t>Governed threshold parameters, units, frequency, exceedance consequence, and measurement configuration</w:t>
            </w:r>
          </w:p>
        </w:tc>
      </w:tr>
      <w:tr w:rsidR="00245204" w:rsidRPr="00D069A2" w14:paraId="62E30D55" w14:textId="77777777" w:rsidTr="00D069A2">
        <w:trPr>
          <w:cantSplit/>
        </w:trPr>
        <w:tc>
          <w:tcPr>
            <w:tcW w:w="2025" w:type="dxa"/>
            <w:shd w:val="clear" w:color="auto" w:fill="D9E2F3"/>
            <w:tcMar>
              <w:top w:w="72" w:type="dxa"/>
              <w:bottom w:w="72" w:type="dxa"/>
            </w:tcMar>
          </w:tcPr>
          <w:p w14:paraId="3A6EA591" w14:textId="77777777" w:rsidR="00245204" w:rsidRPr="00D069A2" w:rsidRDefault="00000000" w:rsidP="00D069A2">
            <w:pPr>
              <w:pStyle w:val="T0-Table"/>
            </w:pPr>
            <w:r w:rsidRPr="00D069A2">
              <w:t>Schedule B</w:t>
            </w:r>
          </w:p>
        </w:tc>
        <w:tc>
          <w:tcPr>
            <w:tcW w:w="1810" w:type="dxa"/>
            <w:shd w:val="clear" w:color="auto" w:fill="D9E2F3"/>
            <w:tcMar>
              <w:top w:w="72" w:type="dxa"/>
              <w:bottom w:w="72" w:type="dxa"/>
            </w:tcMar>
          </w:tcPr>
          <w:p w14:paraId="41D2909B" w14:textId="77777777" w:rsidR="00245204" w:rsidRPr="00D069A2" w:rsidRDefault="00000000" w:rsidP="00D069A2">
            <w:pPr>
              <w:pStyle w:val="T0-Table"/>
            </w:pPr>
            <w:r w:rsidRPr="00D069A2">
              <w:t>Section 11.9</w:t>
            </w:r>
          </w:p>
        </w:tc>
        <w:tc>
          <w:tcPr>
            <w:tcW w:w="5585" w:type="dxa"/>
            <w:shd w:val="clear" w:color="auto" w:fill="D9E2F3"/>
            <w:tcMar>
              <w:top w:w="72" w:type="dxa"/>
              <w:bottom w:w="72" w:type="dxa"/>
            </w:tcMar>
          </w:tcPr>
          <w:p w14:paraId="4602577C" w14:textId="77777777" w:rsidR="00245204" w:rsidRPr="00D069A2" w:rsidRDefault="00000000" w:rsidP="00D069A2">
            <w:pPr>
              <w:pStyle w:val="T0-Table"/>
            </w:pPr>
            <w:r w:rsidRPr="00D069A2">
              <w:t>Safe-State trigger conditions, with cross-reference and facility-specific addition columns</w:t>
            </w:r>
          </w:p>
        </w:tc>
      </w:tr>
      <w:tr w:rsidR="00245204" w:rsidRPr="00D069A2" w14:paraId="5B7068FF" w14:textId="77777777" w:rsidTr="00D069A2">
        <w:trPr>
          <w:cantSplit/>
        </w:trPr>
        <w:tc>
          <w:tcPr>
            <w:tcW w:w="2025" w:type="dxa"/>
            <w:shd w:val="clear" w:color="auto" w:fill="FFFFFF"/>
            <w:tcMar>
              <w:top w:w="72" w:type="dxa"/>
              <w:bottom w:w="72" w:type="dxa"/>
            </w:tcMar>
          </w:tcPr>
          <w:p w14:paraId="3B835530" w14:textId="77777777" w:rsidR="00245204" w:rsidRPr="00D069A2" w:rsidRDefault="00000000" w:rsidP="00D069A2">
            <w:pPr>
              <w:pStyle w:val="T0-Table"/>
            </w:pPr>
            <w:r w:rsidRPr="00D069A2">
              <w:t>Schedule C</w:t>
            </w:r>
          </w:p>
        </w:tc>
        <w:tc>
          <w:tcPr>
            <w:tcW w:w="1810" w:type="dxa"/>
            <w:shd w:val="clear" w:color="auto" w:fill="FFFFFF"/>
            <w:tcMar>
              <w:top w:w="72" w:type="dxa"/>
              <w:bottom w:w="72" w:type="dxa"/>
            </w:tcMar>
          </w:tcPr>
          <w:p w14:paraId="3867EE13" w14:textId="77777777" w:rsidR="00245204" w:rsidRPr="00D069A2" w:rsidRDefault="00000000" w:rsidP="00D069A2">
            <w:pPr>
              <w:pStyle w:val="T0-Table"/>
            </w:pPr>
            <w:r w:rsidRPr="00D069A2">
              <w:t>Section 11.9</w:t>
            </w:r>
          </w:p>
        </w:tc>
        <w:tc>
          <w:tcPr>
            <w:tcW w:w="5585" w:type="dxa"/>
            <w:shd w:val="clear" w:color="auto" w:fill="FFFFFF"/>
            <w:tcMar>
              <w:top w:w="72" w:type="dxa"/>
              <w:bottom w:w="72" w:type="dxa"/>
            </w:tcMar>
          </w:tcPr>
          <w:p w14:paraId="06252E5D" w14:textId="77777777" w:rsidR="00245204" w:rsidRPr="00D069A2" w:rsidRDefault="00000000" w:rsidP="00D069A2">
            <w:pPr>
              <w:pStyle w:val="T0-Table"/>
            </w:pPr>
            <w:r w:rsidRPr="00D069A2">
              <w:t>Secure communication channels by notification tier</w:t>
            </w:r>
          </w:p>
        </w:tc>
      </w:tr>
      <w:tr w:rsidR="00245204" w:rsidRPr="00D069A2" w14:paraId="7CC7E5F6" w14:textId="77777777" w:rsidTr="00D069A2">
        <w:trPr>
          <w:cantSplit/>
        </w:trPr>
        <w:tc>
          <w:tcPr>
            <w:tcW w:w="2025" w:type="dxa"/>
            <w:shd w:val="clear" w:color="auto" w:fill="D9E2F3"/>
            <w:tcMar>
              <w:top w:w="72" w:type="dxa"/>
              <w:bottom w:w="72" w:type="dxa"/>
            </w:tcMar>
          </w:tcPr>
          <w:p w14:paraId="0278D5DB" w14:textId="77777777" w:rsidR="00245204" w:rsidRPr="00D069A2" w:rsidRDefault="00000000" w:rsidP="00D069A2">
            <w:pPr>
              <w:pStyle w:val="T0-Table"/>
            </w:pPr>
            <w:r w:rsidRPr="00D069A2">
              <w:t>11.3 Cloud-Edge Governance</w:t>
            </w:r>
          </w:p>
        </w:tc>
        <w:tc>
          <w:tcPr>
            <w:tcW w:w="1810" w:type="dxa"/>
            <w:shd w:val="clear" w:color="auto" w:fill="D9E2F3"/>
            <w:tcMar>
              <w:top w:w="72" w:type="dxa"/>
              <w:bottom w:w="72" w:type="dxa"/>
            </w:tcMar>
          </w:tcPr>
          <w:p w14:paraId="70B0F684" w14:textId="77777777" w:rsidR="00245204" w:rsidRPr="00D069A2" w:rsidRDefault="00000000" w:rsidP="00D069A2">
            <w:pPr>
              <w:pStyle w:val="T0-Table"/>
            </w:pPr>
            <w:r w:rsidRPr="00D069A2">
              <w:t>Section 11.3</w:t>
            </w:r>
          </w:p>
        </w:tc>
        <w:tc>
          <w:tcPr>
            <w:tcW w:w="5585" w:type="dxa"/>
            <w:shd w:val="clear" w:color="auto" w:fill="D9E2F3"/>
            <w:tcMar>
              <w:top w:w="72" w:type="dxa"/>
              <w:bottom w:w="72" w:type="dxa"/>
            </w:tcMar>
          </w:tcPr>
          <w:p w14:paraId="4FEE1C7E" w14:textId="77777777" w:rsidR="00245204" w:rsidRPr="00D069A2" w:rsidRDefault="00000000" w:rsidP="00D069A2">
            <w:pPr>
              <w:pStyle w:val="T0-Table"/>
            </w:pPr>
            <w:r w:rsidRPr="00D069A2">
              <w:t>Governed references for ASCR-16 application-signing-key registration, pipeline identity, cryptographic-transition profile, Vendor lifecycle/change obligations, and evidence delivery</w:t>
            </w:r>
          </w:p>
        </w:tc>
      </w:tr>
      <w:tr w:rsidR="00245204" w:rsidRPr="00D069A2" w14:paraId="56060EC1" w14:textId="77777777" w:rsidTr="00D069A2">
        <w:trPr>
          <w:cantSplit/>
        </w:trPr>
        <w:tc>
          <w:tcPr>
            <w:tcW w:w="2025" w:type="dxa"/>
            <w:shd w:val="clear" w:color="auto" w:fill="D9E2F3"/>
            <w:tcMar>
              <w:top w:w="72" w:type="dxa"/>
              <w:bottom w:w="72" w:type="dxa"/>
            </w:tcMar>
          </w:tcPr>
          <w:p w14:paraId="1BCE068E" w14:textId="77777777" w:rsidR="00245204" w:rsidRPr="00D069A2" w:rsidRDefault="00000000" w:rsidP="00D069A2">
            <w:pPr>
              <w:pStyle w:val="T0-Table"/>
            </w:pPr>
            <w:r w:rsidRPr="00D069A2">
              <w:t>11.8 Regulatory Crosswalk</w:t>
            </w:r>
          </w:p>
        </w:tc>
        <w:tc>
          <w:tcPr>
            <w:tcW w:w="1810" w:type="dxa"/>
            <w:shd w:val="clear" w:color="auto" w:fill="D9E2F3"/>
            <w:tcMar>
              <w:top w:w="72" w:type="dxa"/>
              <w:bottom w:w="72" w:type="dxa"/>
            </w:tcMar>
          </w:tcPr>
          <w:p w14:paraId="49DE368C" w14:textId="77777777" w:rsidR="00245204" w:rsidRPr="00D069A2" w:rsidRDefault="00000000" w:rsidP="00D069A2">
            <w:pPr>
              <w:pStyle w:val="T0-Table"/>
            </w:pPr>
            <w:r w:rsidRPr="00D069A2">
              <w:t>Section 11.8</w:t>
            </w:r>
          </w:p>
        </w:tc>
        <w:tc>
          <w:tcPr>
            <w:tcW w:w="5585" w:type="dxa"/>
            <w:shd w:val="clear" w:color="auto" w:fill="D9E2F3"/>
            <w:tcMar>
              <w:top w:w="72" w:type="dxa"/>
              <w:bottom w:w="72" w:type="dxa"/>
            </w:tcMar>
          </w:tcPr>
          <w:p w14:paraId="6CDF8534" w14:textId="77777777" w:rsidR="00245204" w:rsidRPr="00D069A2" w:rsidRDefault="00000000" w:rsidP="00D069A2">
            <w:pPr>
              <w:pStyle w:val="T0-Table"/>
            </w:pPr>
            <w:r w:rsidRPr="00D069A2">
              <w:t>Instrument section vs. regulatory-framework provision matrix, extensible by regulatory-regime column</w:t>
            </w:r>
          </w:p>
        </w:tc>
      </w:tr>
      <w:tr w:rsidR="00245204" w:rsidRPr="00D069A2" w14:paraId="071576D1" w14:textId="77777777" w:rsidTr="00D069A2">
        <w:trPr>
          <w:cantSplit/>
        </w:trPr>
        <w:tc>
          <w:tcPr>
            <w:tcW w:w="2025" w:type="dxa"/>
            <w:shd w:val="clear" w:color="auto" w:fill="FFFFFF"/>
            <w:tcMar>
              <w:top w:w="72" w:type="dxa"/>
              <w:bottom w:w="72" w:type="dxa"/>
            </w:tcMar>
          </w:tcPr>
          <w:p w14:paraId="4170ED7C" w14:textId="77777777" w:rsidR="00245204" w:rsidRPr="00D069A2" w:rsidRDefault="00000000" w:rsidP="00D069A2">
            <w:pPr>
              <w:pStyle w:val="T0-Table"/>
            </w:pPr>
            <w:r w:rsidRPr="00D069A2">
              <w:t>11.11 RACI Map</w:t>
            </w:r>
          </w:p>
        </w:tc>
        <w:tc>
          <w:tcPr>
            <w:tcW w:w="1810" w:type="dxa"/>
            <w:shd w:val="clear" w:color="auto" w:fill="FFFFFF"/>
            <w:tcMar>
              <w:top w:w="72" w:type="dxa"/>
              <w:bottom w:w="72" w:type="dxa"/>
            </w:tcMar>
          </w:tcPr>
          <w:p w14:paraId="2453930D" w14:textId="77777777" w:rsidR="00245204" w:rsidRPr="00D069A2" w:rsidRDefault="00000000" w:rsidP="00D069A2">
            <w:pPr>
              <w:pStyle w:val="T0-Table"/>
            </w:pPr>
            <w:r w:rsidRPr="00D069A2">
              <w:t>Section 11.11</w:t>
            </w:r>
          </w:p>
        </w:tc>
        <w:tc>
          <w:tcPr>
            <w:tcW w:w="5585" w:type="dxa"/>
            <w:shd w:val="clear" w:color="auto" w:fill="FFFFFF"/>
            <w:tcMar>
              <w:top w:w="72" w:type="dxa"/>
              <w:bottom w:w="72" w:type="dxa"/>
            </w:tcMar>
          </w:tcPr>
          <w:p w14:paraId="353D2DDE" w14:textId="77777777" w:rsidR="00245204" w:rsidRPr="00D069A2" w:rsidRDefault="00000000" w:rsidP="00D069A2">
            <w:pPr>
              <w:pStyle w:val="T0-Table"/>
            </w:pPr>
            <w:r w:rsidRPr="00D069A2">
              <w:t>Obligation vs. role responsibility matrix (R/A/C/I)</w:t>
            </w:r>
          </w:p>
        </w:tc>
      </w:tr>
      <w:tr w:rsidR="00245204" w:rsidRPr="00D069A2" w14:paraId="36669481" w14:textId="77777777" w:rsidTr="00D069A2">
        <w:trPr>
          <w:cantSplit/>
        </w:trPr>
        <w:tc>
          <w:tcPr>
            <w:tcW w:w="2025" w:type="dxa"/>
            <w:shd w:val="clear" w:color="auto" w:fill="D9E2F3"/>
          </w:tcPr>
          <w:p w14:paraId="5D7BE93F" w14:textId="77777777" w:rsidR="00245204" w:rsidRPr="00D069A2" w:rsidRDefault="00000000" w:rsidP="00D069A2">
            <w:pPr>
              <w:pStyle w:val="T0-Table"/>
            </w:pPr>
            <w:r w:rsidRPr="00D069A2">
              <w:t>Schedule D</w:t>
            </w:r>
          </w:p>
        </w:tc>
        <w:tc>
          <w:tcPr>
            <w:tcW w:w="1810" w:type="dxa"/>
            <w:shd w:val="clear" w:color="auto" w:fill="D9E2F3"/>
          </w:tcPr>
          <w:p w14:paraId="75AFEE00" w14:textId="77777777" w:rsidR="00245204" w:rsidRPr="00D069A2" w:rsidRDefault="00000000" w:rsidP="00D069A2">
            <w:pPr>
              <w:pStyle w:val="T0-Table"/>
            </w:pPr>
            <w:r w:rsidRPr="00D069A2">
              <w:t>Section 11.9</w:t>
            </w:r>
          </w:p>
        </w:tc>
        <w:tc>
          <w:tcPr>
            <w:tcW w:w="5585" w:type="dxa"/>
            <w:shd w:val="clear" w:color="auto" w:fill="D9E2F3"/>
          </w:tcPr>
          <w:p w14:paraId="794A6737" w14:textId="77777777" w:rsidR="00245204" w:rsidRPr="00D069A2" w:rsidRDefault="00000000" w:rsidP="00D069A2">
            <w:pPr>
              <w:pStyle w:val="T0-Table"/>
            </w:pPr>
            <w:r w:rsidRPr="00D069A2">
              <w:t>Identity-continuity service-level objectives, deployment-approved effective thresholds, and governed measurement window/basis</w:t>
            </w:r>
          </w:p>
        </w:tc>
      </w:tr>
    </w:tbl>
    <w:p w14:paraId="185BE585" w14:textId="77777777" w:rsidR="00245204" w:rsidRPr="00D069A2" w:rsidRDefault="00000000" w:rsidP="00A05123">
      <w:pPr>
        <w:pStyle w:val="P0-Paragraph"/>
      </w:pPr>
      <w:r w:rsidRPr="00D069A2">
        <w:t>Governance rule: the workbook is a data-maintenance and usability aid. It does not create, waive, or modify any obligation. Where the workbook and this document conflict, this document controls, except for the specific fillable values in Schedules A, B, C, and D, which become enforceable only once completed in the workbook and the corresponding OE01 Index execution-register entry is countersigned by both parties’ authorized representatives under the Schedule execution and countersignature instructions in Section 11.9 of this document. Adding an approved regulatory-regime column to the crosswalk (Section 11.8</w:t>
      </w:r>
      <w:proofErr w:type="gramStart"/>
      <w:r w:rsidRPr="00D069A2">
        <w:t>), or</w:t>
      </w:r>
      <w:proofErr w:type="gramEnd"/>
      <w:r w:rsidRPr="00D069A2">
        <w:t xml:space="preserve"> adding rows to the RACI map (Section 11.11), does not by itself require re-execution of this document. Crosswalk extensions remain subject to the countersignature requirements in Section 11.8, and updates that would alter clause language or Schedule A/B/C/D values require the applicable execution or change-control process. Notification Tier assignments are governed by Section 11.5 and minimum required Safe-State trigger activation is governed by Section 11.9; those fields are not independently negotiable fillable values in the workbook. The 11.3 Cloud-Edge Governance worksheet records contractual and governance references only; it is not a contractual schedule and does not redefine ASCR-16 technical signature, token, boundary-envelope, attestation-profile, replay, or verifier semantics.</w:t>
      </w:r>
    </w:p>
    <w:p w14:paraId="1880CBD4" w14:textId="77777777" w:rsidR="00245204" w:rsidRPr="00D069A2" w:rsidRDefault="00000000" w:rsidP="00D069A2">
      <w:pPr>
        <w:pStyle w:val="HS-Heading2"/>
      </w:pPr>
      <w:r w:rsidRPr="00D069A2">
        <w:rPr>
          <w:rFonts w:eastAsia="Cambria"/>
        </w:rPr>
        <w:t>Architectural reconciliation: enforcement states and notification tiers</w:t>
      </w:r>
    </w:p>
    <w:p w14:paraId="20183373" w14:textId="77777777" w:rsidR="00245204" w:rsidRPr="00D069A2" w:rsidRDefault="00000000" w:rsidP="00A05123">
      <w:pPr>
        <w:pStyle w:val="P0-Paragraph"/>
      </w:pPr>
      <w:r w:rsidRPr="00D069A2">
        <w:rPr>
          <w:rFonts w:eastAsia="Cambria"/>
        </w:rPr>
        <w:t>The ASCR Blueprint distinguishes runtime enforcement from administrative notification and escalation:</w:t>
      </w:r>
    </w:p>
    <w:p w14:paraId="5B7A756D" w14:textId="77777777" w:rsidR="00245204" w:rsidRPr="00D069A2" w:rsidRDefault="00000000" w:rsidP="00D069A2">
      <w:pPr>
        <w:pStyle w:val="L1-Numbered"/>
      </w:pPr>
      <w:r w:rsidRPr="00D069A2">
        <w:rPr>
          <w:rStyle w:val="CS-Keyword"/>
        </w:rPr>
        <w:lastRenderedPageBreak/>
        <w:t>Enforcement States</w:t>
      </w:r>
      <w:r w:rsidRPr="00D069A2">
        <w:rPr>
          <w:rFonts w:eastAsia="Cambria"/>
        </w:rPr>
        <w:t xml:space="preserve"> (SOFT_ALERT, HARD_BLOCK) define the governed inline technical response applied at the enforcement boundary. </w:t>
      </w:r>
    </w:p>
    <w:p w14:paraId="03F7CEB6" w14:textId="77777777" w:rsidR="00245204" w:rsidRPr="00D069A2" w:rsidRDefault="00000000" w:rsidP="00D069A2">
      <w:pPr>
        <w:pStyle w:val="L1-Numbered"/>
      </w:pPr>
      <w:r w:rsidRPr="00D069A2">
        <w:rPr>
          <w:rStyle w:val="CS-Keyword"/>
        </w:rPr>
        <w:t>Notification Tiers</w:t>
      </w:r>
      <w:r w:rsidRPr="00D069A2">
        <w:rPr>
          <w:rFonts w:eastAsia="Cambria"/>
        </w:rPr>
        <w:t xml:space="preserve"> (Tier 1, Tier 2, Tier 3) define the organizational notification and escalation response associated with an observed condition. </w:t>
      </w:r>
    </w:p>
    <w:p w14:paraId="54C1D61C" w14:textId="77777777" w:rsidR="00245204" w:rsidRPr="00D069A2" w:rsidRDefault="00000000" w:rsidP="00A05123">
      <w:pPr>
        <w:pStyle w:val="P0-Paragraph"/>
      </w:pPr>
      <w:r w:rsidRPr="00D069A2">
        <w:rPr>
          <w:rFonts w:eastAsia="Cambria"/>
        </w:rPr>
        <w:t>Thresholds define when a governed condition is detected; Enforcement State defines the runtime response; Notification Tier defines the organizational response.</w:t>
      </w:r>
    </w:p>
    <w:p w14:paraId="2B3FE0A4" w14:textId="77777777" w:rsidR="00245204" w:rsidRPr="00D069A2" w:rsidRDefault="00000000" w:rsidP="00A05123">
      <w:pPr>
        <w:pStyle w:val="P0-Paragraph"/>
      </w:pPr>
      <w:r w:rsidRPr="00D069A2">
        <w:t xml:space="preserve">A specific Enforcement State may be associated with different Notification Tiers depending on the applicable policy, risk severity, asset criticality, operational context, and organizational escalation requirements. Neither </w:t>
      </w:r>
      <w:proofErr w:type="gramStart"/>
      <w:r w:rsidRPr="00D069A2">
        <w:t>dimension inherently</w:t>
      </w:r>
      <w:proofErr w:type="gramEnd"/>
      <w:r w:rsidRPr="00D069A2">
        <w:t xml:space="preserve"> determines the other except where this instrument expressly assigns a Notification Tier to an Enforcement State or threshold condition. For Schedule A, a HARD_BLOCK-level exceedance carries at least Notification Tier 2; where the same condition independently satisfies a Notification Tier 1 trigger, Notification Tier 1 governs.</w:t>
      </w:r>
    </w:p>
    <w:p w14:paraId="4C99BFB4" w14:textId="77777777" w:rsidR="00245204" w:rsidRPr="00D069A2" w:rsidRDefault="00000000" w:rsidP="00A05123">
      <w:pPr>
        <w:pStyle w:val="P0-Paragraph"/>
      </w:pPr>
      <w:r w:rsidRPr="00D069A2">
        <w:t>ASCR-11 Schedule A remains the authoritative governed source for approved threshold values and associated governance requirements. For each Schedule A parameter, the parties record separately a SOFT_ALERT threshold, a HARD_BLOCK threshold, the associated Enforcement State response, and the Notification Tier reference. Within Schedule A, any HARD_BLOCK-level exceedance constitutes a Schedule B Safe-State trigger and at least a Notification Tier 2 event; a SOFT_ALERT-level exceedance produces the SOFT_ALERT Enforcement State and is reported under Section 11.6. Schedule A does not constitute the runtime enforcement configuration and is not queried directly by the MCP gateway during enforcement. ASCR-04 materializes and enforces the effective runtime configuration used at the enforcement boundary; ASCR-06 verifies the resulting enforcement behavior and evidence; ASCR-10 validates and calibrates governed values through the applicable change process.</w:t>
      </w:r>
    </w:p>
    <w:p w14:paraId="415C4B36" w14:textId="77777777" w:rsidR="00245204" w:rsidRPr="00D069A2" w:rsidRDefault="00000000" w:rsidP="00A05123">
      <w:pPr>
        <w:pStyle w:val="P0-Paragraph"/>
      </w:pPr>
      <w:r w:rsidRPr="00D069A2">
        <w:t xml:space="preserve">Referenced ASCR Version Control: Where this exhibit incorporates a quantitative threshold, methodology, classification, or other operative requirement from another ASCR artifact, the parties shall identify in the executed agreement or an incorporated annex the applicable artifact title, version, and date. The referenced version governs for purposes of this exhibit until superseded by written agreement of both parties. A later ASCR revision does not automatically modify a contractual obligation under this exhibit. This requirement applies at minimum to the ASCR-04 Section 3.6 TKQ thresholds, the ASCR-07 </w:t>
      </w:r>
      <w:proofErr w:type="spellStart"/>
      <w:r w:rsidRPr="00D069A2">
        <w:t>divergence_score</w:t>
      </w:r>
      <w:proofErr w:type="spellEnd"/>
      <w:r w:rsidRPr="00D069A2">
        <w:t xml:space="preserve"> methodology, and the ASCR-10 physical-consequence classification referenced by this instrument.</w:t>
      </w:r>
    </w:p>
    <w:p w14:paraId="0CBE22E6" w14:textId="77777777" w:rsidR="00245204" w:rsidRPr="00D069A2" w:rsidRDefault="00000000" w:rsidP="005105A9">
      <w:pPr>
        <w:pStyle w:val="HS-Heading2"/>
      </w:pPr>
      <w:r w:rsidRPr="00D069A2">
        <w:t>Definitions</w:t>
      </w:r>
    </w:p>
    <w:p w14:paraId="754D8195" w14:textId="77777777" w:rsidR="00245204" w:rsidRPr="00D069A2" w:rsidRDefault="00000000" w:rsidP="00A05123">
      <w:pPr>
        <w:pStyle w:val="P0-Paragraph"/>
      </w:pPr>
      <w:r w:rsidRPr="00D069A2">
        <w:rPr>
          <w:rFonts w:eastAsia="Cambria"/>
        </w:rPr>
        <w:t>The following definitions apply throughout this instrument. Parties may not redefine these terms in schedules or annexes without written agreement and explicit reference to the superseded definition. Certain terms below are drawn from, and cross-referenced to, the Unified Operational Vocabulary and Measurement Semantics chapter; where a term is defined in both, the Vocabulary chapter states the general concept and this section states its contract-specific operative meaning for purposes of this exhibit.</w:t>
      </w:r>
    </w:p>
    <w:p w14:paraId="39711B87" w14:textId="77777777" w:rsidR="00245204" w:rsidRPr="00D069A2" w:rsidRDefault="00000000" w:rsidP="00A05123">
      <w:pPr>
        <w:pStyle w:val="P0-Paragraph"/>
      </w:pPr>
      <w:r w:rsidRPr="00D069A2">
        <w:rPr>
          <w:rStyle w:val="CS-Keyword"/>
        </w:rPr>
        <w:t>Agentic System</w:t>
      </w:r>
      <w:r w:rsidRPr="00A05123">
        <w:rPr>
          <w:rFonts w:eastAsiaTheme="minorHAnsi"/>
        </w:rPr>
        <w:t xml:space="preserve"> </w:t>
      </w:r>
      <w:r w:rsidRPr="00D069A2">
        <w:t>has the meaning given in the Unified Operational Vocabulary.</w:t>
      </w:r>
    </w:p>
    <w:p w14:paraId="4339E12F" w14:textId="77777777" w:rsidR="00245204" w:rsidRPr="00D069A2" w:rsidRDefault="00000000" w:rsidP="00A05123">
      <w:pPr>
        <w:pStyle w:val="P0-Paragraph"/>
      </w:pPr>
      <w:r w:rsidRPr="00D069A2">
        <w:rPr>
          <w:b/>
          <w:bCs/>
        </w:rPr>
        <w:t>Physical Consequence Action</w:t>
      </w:r>
      <w:r w:rsidRPr="00D069A2">
        <w:t xml:space="preserve"> has the meaning given in the Unified Operational Vocabulary. For purposes of this instrument, a Physical Consequence Action is any authorized or unauthorized autonomous action that produces, or </w:t>
      </w:r>
      <w:proofErr w:type="gramStart"/>
      <w:r w:rsidRPr="00D069A2">
        <w:t>is capable of producing</w:t>
      </w:r>
      <w:proofErr w:type="gramEnd"/>
      <w:r w:rsidRPr="00D069A2">
        <w:t xml:space="preserve">, a measurable change in a physical system, process, asset, or operational environment. Whether a Physical Consequence Action is safety-related shall be determined by the hazard and </w:t>
      </w:r>
      <w:r w:rsidRPr="00D069A2">
        <w:lastRenderedPageBreak/>
        <w:t>risk analysis performed under IEC 61508, IEC 61511, or the applicable sector-specific functional-safety standard for the deployment. This instrument does not substitute for that analysis. Where the applicable analysis assigns a safety function, the obligations in this instrument apply in addition to, and not instead of, the resulting functional-safety requirements.</w:t>
      </w:r>
    </w:p>
    <w:p w14:paraId="1E80AB6E" w14:textId="77777777" w:rsidR="00245204" w:rsidRPr="00D069A2" w:rsidRDefault="00000000" w:rsidP="00A05123">
      <w:pPr>
        <w:pStyle w:val="P0-Paragraph"/>
      </w:pPr>
      <w:r w:rsidRPr="00D069A2">
        <w:rPr>
          <w:rStyle w:val="CS-Keyword"/>
        </w:rPr>
        <w:t>Objective Integrity Violation</w:t>
      </w:r>
      <w:r w:rsidRPr="00A05123">
        <w:rPr>
          <w:rFonts w:eastAsiaTheme="minorHAnsi"/>
        </w:rPr>
        <w:t xml:space="preserve"> means any condition in which an Agentic System pursues an objective not authorized by the Operator. This includes conditions arising from prompt injection, goal hijacking, context manipulation, model weight corruption, or adversarial input. Objective Integrity Violations can occur without anomalous outputs. Authorized objectives may be subverted while the system appears to function normally.</w:t>
      </w:r>
      <w:r w:rsidRPr="00D069A2">
        <w:t xml:space="preserve"> (</w:t>
      </w:r>
      <w:r w:rsidRPr="00D069A2">
        <w:rPr>
          <w:i/>
          <w:iCs/>
        </w:rPr>
        <w:t>See also:</w:t>
      </w:r>
      <w:r w:rsidRPr="00D069A2">
        <w:t xml:space="preserve"> Goal Integrity and Execution Authority in the Unified Operational Vocabulary.)</w:t>
      </w:r>
    </w:p>
    <w:p w14:paraId="493D6F41" w14:textId="77777777" w:rsidR="00245204" w:rsidRPr="00D069A2" w:rsidRDefault="00000000" w:rsidP="00A05123">
      <w:pPr>
        <w:pStyle w:val="P0-Paragraph"/>
      </w:pPr>
      <w:r w:rsidRPr="00D069A2">
        <w:rPr>
          <w:rStyle w:val="CS-Keyword"/>
        </w:rPr>
        <w:t>Execution Boundary</w:t>
      </w:r>
      <w:r w:rsidRPr="00A05123">
        <w:rPr>
          <w:rFonts w:eastAsiaTheme="minorHAnsi"/>
        </w:rPr>
        <w:t xml:space="preserve"> means the defined set of tools, services, data sources,</w:t>
      </w:r>
      <w:r w:rsidRPr="00D069A2">
        <w:t xml:space="preserve"> physical assets and operational technology (OT) assets that</w:t>
      </w:r>
      <w:r w:rsidRPr="00A05123">
        <w:rPr>
          <w:rFonts w:eastAsiaTheme="minorHAnsi"/>
        </w:rPr>
        <w:t xml:space="preserve"> an Agentic System is authorized to interact with under a specific operational context, as specified in the Operator’s context scope definition and enforced through the Model Context Protocol or equivalent control-plane mechanism. (</w:t>
      </w:r>
      <w:r w:rsidRPr="00D069A2">
        <w:rPr>
          <w:i/>
          <w:iCs/>
        </w:rPr>
        <w:t>See also:</w:t>
      </w:r>
      <w:r w:rsidRPr="00D069A2">
        <w:t xml:space="preserve"> Actuation Authority Boundary and Execution Perimeter in the Unified Operational Vocabulary.)</w:t>
      </w:r>
    </w:p>
    <w:p w14:paraId="54E1F7B7" w14:textId="77777777" w:rsidR="00245204" w:rsidRPr="00D069A2" w:rsidRDefault="00000000" w:rsidP="00A05123">
      <w:pPr>
        <w:pStyle w:val="P0-Paragraph"/>
      </w:pPr>
      <w:r w:rsidRPr="00D069A2">
        <w:rPr>
          <w:b/>
          <w:bCs/>
        </w:rPr>
        <w:t>Physical-Digital Convergence</w:t>
      </w:r>
      <w:r w:rsidRPr="00D069A2">
        <w:t xml:space="preserve"> means the operational environment in which software-defined reasoning, enterprise information systems, operational technology, autonomous devices, robotics, and other physical infrastructure interact through continuous execution pathways that translate digital decisions into physical consequences. Throughout this instrument, references to physical-digital convergence encompass traditional cyber-physical systems (CPS), industrial automation environments, and emerging agentic AI execution architectures.</w:t>
      </w:r>
    </w:p>
    <w:p w14:paraId="7BE8FEEB" w14:textId="77777777" w:rsidR="00245204" w:rsidRPr="00D069A2" w:rsidRDefault="00000000" w:rsidP="00A05123">
      <w:pPr>
        <w:pStyle w:val="P0-Paragraph"/>
      </w:pPr>
      <w:r w:rsidRPr="00D069A2">
        <w:rPr>
          <w:b/>
          <w:bCs/>
        </w:rPr>
        <w:t>Decision Lineage Record</w:t>
      </w:r>
      <w:r w:rsidRPr="00D069A2">
        <w:t xml:space="preserve"> means the tamper-evident, cryptographically signed artifact in which this instrument requires Decision Lineage (as defined in the Unified Operational Vocabulary) to be captured and preserved: a record of an Agentic System's observable decision and execution provenance for a defined operational period, including the applicable objective or goal reference, context and provenance references, tool invocations and parameters, authorization and policy results, runtime/model provenance, and actuation linkage, sufficient to reconstruct the operational sequence from objective receipt to physical consequence. Structured planning or reasoning artifacts may be preserved as supplementary evidence where intentionally exposed by the implementation; internal chain-of-thought is not required.</w:t>
      </w:r>
    </w:p>
    <w:p w14:paraId="34887C9A" w14:textId="77777777" w:rsidR="00245204" w:rsidRPr="00D069A2" w:rsidRDefault="00000000" w:rsidP="00A05123">
      <w:pPr>
        <w:pStyle w:val="P0-Paragraph"/>
      </w:pPr>
      <w:r w:rsidRPr="00D069A2">
        <w:rPr>
          <w:rStyle w:val="CS-Keyword"/>
        </w:rPr>
        <w:t>AI Bill of Materials (AI-BOM)</w:t>
      </w:r>
      <w:r w:rsidRPr="00A05123">
        <w:rPr>
          <w:rFonts w:eastAsiaTheme="minorHAnsi"/>
        </w:rPr>
        <w:t xml:space="preserve"> means a structured inventory of all AI model components, weight artifacts, fine-tuning dataset identifiers or provenance attestations sufficient for forensic attribution, adapter modules, and third-party dependencies comprising the Vendor’s delivered system, including cryptographic hashes, version identifiers, provenance attestations, and update history for each component.</w:t>
      </w:r>
    </w:p>
    <w:p w14:paraId="7320E3E7" w14:textId="77777777" w:rsidR="00245204" w:rsidRPr="00D069A2" w:rsidRDefault="00000000" w:rsidP="00A05123">
      <w:pPr>
        <w:pStyle w:val="P0-Paragraph"/>
      </w:pPr>
      <w:proofErr w:type="spellStart"/>
      <w:r w:rsidRPr="00D069A2">
        <w:rPr>
          <w:rStyle w:val="CS-Keyword"/>
        </w:rPr>
        <w:t>LoRA</w:t>
      </w:r>
      <w:proofErr w:type="spellEnd"/>
      <w:r w:rsidRPr="00D069A2">
        <w:rPr>
          <w:rStyle w:val="CS-Keyword"/>
        </w:rPr>
        <w:t xml:space="preserve"> Update</w:t>
      </w:r>
      <w:r w:rsidRPr="00A05123">
        <w:rPr>
          <w:rFonts w:eastAsiaTheme="minorHAnsi"/>
        </w:rPr>
        <w:t xml:space="preserve"> means any Low-Rank Adaptation weight modification delivered to a deployed model after initial production deployment, including operational recalibrations, domain-specific retuning, and post-deployment behavioral modifications, regardless of delta size or delivery mechanism.</w:t>
      </w:r>
    </w:p>
    <w:p w14:paraId="4FD40B74" w14:textId="77777777" w:rsidR="00245204" w:rsidRPr="00D069A2" w:rsidRDefault="00000000" w:rsidP="00A05123">
      <w:pPr>
        <w:pStyle w:val="P0-Paragraph"/>
      </w:pPr>
      <w:r w:rsidRPr="00D069A2">
        <w:rPr>
          <w:b/>
          <w:bCs/>
        </w:rPr>
        <w:t>Material Breach</w:t>
      </w:r>
      <w:r w:rsidRPr="00D069A2">
        <w:t xml:space="preserve"> has the meaning given in the Master Agreement to which this exhibit is attached; this instrument does not independently define the term.</w:t>
      </w:r>
    </w:p>
    <w:p w14:paraId="14C848C5" w14:textId="77777777" w:rsidR="00245204" w:rsidRPr="00D069A2" w:rsidRDefault="00000000" w:rsidP="00A05123">
      <w:pPr>
        <w:pStyle w:val="P0-Paragraph"/>
      </w:pPr>
      <w:r w:rsidRPr="00D069A2">
        <w:rPr>
          <w:b/>
          <w:bCs/>
        </w:rPr>
        <w:t>Safe-State</w:t>
      </w:r>
      <w:r w:rsidRPr="00D069A2">
        <w:t xml:space="preserve"> means, for purposes of this instrument, the specific operational response that occurs when an Agentic System enters the Safe State defined in the Unified Operational Vocabulary and ASCR-03 Section 6: upon detection of an Objective Integrity Violation, Execution Boundary breach, or other trigger condition </w:t>
      </w:r>
      <w:r w:rsidRPr="00D069A2">
        <w:lastRenderedPageBreak/>
        <w:t>enumerated in Schedule B, the system suspends all autonomous actuation authority except the pre-authorized safety-preserving control actions defined in Schedule B, seals the pre-trigger Decision Lineage Record segment against mutation, immediately continues evidence generation in a new append-only segment or equivalent cryptographically linked continuation record covering the Safe-State, investigation, recovery, and release periods, and requires explicit human re-authorization before resuming autonomous execution.</w:t>
      </w:r>
    </w:p>
    <w:p w14:paraId="629C690F" w14:textId="77777777" w:rsidR="00245204" w:rsidRPr="00D069A2" w:rsidRDefault="00000000" w:rsidP="00A05123">
      <w:pPr>
        <w:pStyle w:val="P0-Paragraph"/>
      </w:pPr>
      <w:r w:rsidRPr="00D069A2">
        <w:rPr>
          <w:b/>
          <w:bCs/>
        </w:rPr>
        <w:t>Semantic Drift</w:t>
      </w:r>
      <w:r w:rsidRPr="00D069A2">
        <w:t xml:space="preserve"> has the meaning given in the Unified Operational Vocabulary (progressive divergence between an agent's operational interpretation and its authorized objective, accumulating across planning cycles). For purposes of this instrument, the contractual threshold measurands are the parameters and units recorded in Schedule A. The ASCR-07 </w:t>
      </w:r>
      <w:proofErr w:type="spellStart"/>
      <w:r w:rsidRPr="00D069A2">
        <w:t>divergence_score</w:t>
      </w:r>
      <w:proofErr w:type="spellEnd"/>
      <w:r w:rsidRPr="00D069A2">
        <w:t xml:space="preserve"> remains a separate Decision Lineage Record analytic measure governed by ASCR-07 and may support reporting, reconstruction, and analysis; it is not substituted for a Schedule A threshold unless an executed Schedule </w:t>
      </w:r>
      <w:proofErr w:type="spellStart"/>
      <w:r w:rsidRPr="00D069A2">
        <w:t>A</w:t>
      </w:r>
      <w:proofErr w:type="spellEnd"/>
      <w:r w:rsidRPr="00D069A2">
        <w:t xml:space="preserve"> entry expressly maps that contractual measurand to the ASCR-07 methodology. Token Output Semantic Divergence, recorded in Schedule A, is a separately defined embedding-distance metric and is not the ASCR-07 </w:t>
      </w:r>
      <w:proofErr w:type="spellStart"/>
      <w:r w:rsidRPr="00D069A2">
        <w:t>divergence_score</w:t>
      </w:r>
      <w:proofErr w:type="spellEnd"/>
      <w:r w:rsidRPr="00D069A2">
        <w:t>.</w:t>
      </w:r>
    </w:p>
    <w:p w14:paraId="257746D5" w14:textId="77777777" w:rsidR="00245204" w:rsidRPr="00D069A2" w:rsidRDefault="00000000" w:rsidP="00A05123">
      <w:pPr>
        <w:pStyle w:val="P0-Paragraph"/>
      </w:pPr>
      <w:r w:rsidRPr="00D069A2">
        <w:rPr>
          <w:rStyle w:val="CS-Keyword"/>
        </w:rPr>
        <w:t>Vendor</w:t>
      </w:r>
      <w:r w:rsidRPr="00A05123">
        <w:rPr>
          <w:rFonts w:eastAsiaTheme="minorHAnsi"/>
        </w:rPr>
        <w:t xml:space="preserve"> means </w:t>
      </w:r>
      <w:r w:rsidRPr="00D069A2">
        <w:rPr>
          <w:rFonts w:ascii="Consolas" w:eastAsia="Consolas" w:hAnsi="Consolas" w:cs="Consolas"/>
          <w:sz w:val="22"/>
          <w:szCs w:val="22"/>
        </w:rPr>
        <w:t>[VENDOR LEGAL NAME]</w:t>
      </w:r>
      <w:r w:rsidRPr="00A05123">
        <w:rPr>
          <w:rFonts w:eastAsiaTheme="minorHAnsi"/>
        </w:rPr>
        <w:t>, the party supplying the Agentic System, model components, or supporting infrastructure described in the Master Agreement to which this exhibit is attached.</w:t>
      </w:r>
    </w:p>
    <w:p w14:paraId="6BE51FCF" w14:textId="77777777" w:rsidR="00245204" w:rsidRPr="00D069A2" w:rsidRDefault="00000000" w:rsidP="00A05123">
      <w:pPr>
        <w:pStyle w:val="P0-Paragraph"/>
      </w:pPr>
      <w:r w:rsidRPr="00D069A2">
        <w:rPr>
          <w:b/>
          <w:bCs/>
        </w:rPr>
        <w:t>Operator</w:t>
      </w:r>
      <w:r w:rsidRPr="00D069A2">
        <w:t xml:space="preserve"> means [OPERATOR LEGAL NAME], the party deploying the Agentic System in an operational physical-digital supply chain environment and bearing the deployment-side responsibilities allocated to it under applicable law and the Master Agreement.</w:t>
      </w:r>
    </w:p>
    <w:p w14:paraId="50023E83" w14:textId="77777777" w:rsidR="00245204" w:rsidRPr="00D069A2" w:rsidRDefault="00000000" w:rsidP="005105A9">
      <w:pPr>
        <w:pStyle w:val="HS-Heading2"/>
      </w:pPr>
      <w:r w:rsidRPr="00D069A2">
        <w:t>Percentile measurement and SLA evaluation methodology</w:t>
      </w:r>
    </w:p>
    <w:p w14:paraId="0124FA3D" w14:textId="77777777" w:rsidR="00245204" w:rsidRPr="00D069A2" w:rsidRDefault="00000000" w:rsidP="00A05123">
      <w:pPr>
        <w:pStyle w:val="P0-Paragraph"/>
      </w:pPr>
      <w:r w:rsidRPr="00D069A2">
        <w:rPr>
          <w:rFonts w:eastAsia="Cambria"/>
        </w:rPr>
        <w:t>All percentile-based obligations in this instrument, including P95, P99, P99.9, and P99.99 thresholds, shall be measured using the methodology defined in this section unless a specific clause explicitly supersedes it.</w:t>
      </w:r>
    </w:p>
    <w:p w14:paraId="02A0B70D" w14:textId="77777777" w:rsidR="00245204" w:rsidRPr="00D069A2" w:rsidRDefault="00000000" w:rsidP="00A05123">
      <w:pPr>
        <w:pStyle w:val="P0-Paragraph"/>
      </w:pPr>
      <w:r w:rsidRPr="00D069A2">
        <w:rPr>
          <w:rFonts w:eastAsia="Cambria"/>
        </w:rPr>
        <w:t>For purposes of this instrument:</w:t>
      </w:r>
    </w:p>
    <w:p w14:paraId="6A9B2CBC" w14:textId="48464D2B" w:rsidR="00245204" w:rsidRPr="00D069A2" w:rsidRDefault="00000000" w:rsidP="005105A9">
      <w:pPr>
        <w:pStyle w:val="L1-Bullet"/>
      </w:pPr>
      <w:r w:rsidRPr="00D069A2">
        <w:rPr>
          <w:rFonts w:eastAsia="Cambria"/>
        </w:rPr>
        <w:t>P95 means the value below which 95% of all measured observations fall during the defined measurement window.</w:t>
      </w:r>
    </w:p>
    <w:p w14:paraId="5E102AC8" w14:textId="4C0B57DE" w:rsidR="00245204" w:rsidRPr="00D069A2" w:rsidRDefault="00000000" w:rsidP="005105A9">
      <w:pPr>
        <w:pStyle w:val="L1-Bullet"/>
      </w:pPr>
      <w:r w:rsidRPr="00D069A2">
        <w:rPr>
          <w:rFonts w:eastAsia="Cambria"/>
        </w:rPr>
        <w:t>P99 means the value below which 99% of all measured observations fall during the defined measurement window.</w:t>
      </w:r>
    </w:p>
    <w:p w14:paraId="2D461D43" w14:textId="6A36B30B" w:rsidR="00245204" w:rsidRPr="00D069A2" w:rsidRDefault="00000000" w:rsidP="005105A9">
      <w:pPr>
        <w:pStyle w:val="L1-Bullet"/>
      </w:pPr>
      <w:r w:rsidRPr="00D069A2">
        <w:rPr>
          <w:rFonts w:eastAsia="Cambria"/>
        </w:rPr>
        <w:t>P99.9 means the value below which 99.9% of all measured observations fall during the defined measurement window.</w:t>
      </w:r>
    </w:p>
    <w:p w14:paraId="75DD6EAD" w14:textId="77777777" w:rsidR="00245204" w:rsidRPr="00D069A2" w:rsidRDefault="00000000" w:rsidP="005105A9">
      <w:pPr>
        <w:pStyle w:val="L1-Bullet"/>
      </w:pPr>
      <w:r w:rsidRPr="00D069A2">
        <w:rPr>
          <w:rFonts w:eastAsia="Cambria"/>
        </w:rPr>
        <w:t>P99.99 means the value below which 99.99% of all measured observations fall during the defined measurement window.</w:t>
      </w:r>
    </w:p>
    <w:p w14:paraId="4AEBCCCC" w14:textId="77777777" w:rsidR="00245204" w:rsidRPr="00D069A2" w:rsidRDefault="00000000" w:rsidP="00A05123">
      <w:pPr>
        <w:pStyle w:val="P0-Paragraph"/>
      </w:pPr>
      <w:r w:rsidRPr="00D069A2">
        <w:rPr>
          <w:rFonts w:eastAsia="Cambria"/>
        </w:rPr>
        <w:t>Percentile calculations shall:</w:t>
      </w:r>
    </w:p>
    <w:p w14:paraId="531C81F4" w14:textId="5FDEBF83" w:rsidR="00245204" w:rsidRPr="00D069A2" w:rsidRDefault="005105A9" w:rsidP="005105A9">
      <w:pPr>
        <w:pStyle w:val="L1-Bullet"/>
      </w:pPr>
      <w:r w:rsidRPr="00D069A2">
        <w:rPr>
          <w:rFonts w:eastAsia="Cambria"/>
        </w:rPr>
        <w:t>Use the complete observation population collected during the measurement window;</w:t>
      </w:r>
    </w:p>
    <w:p w14:paraId="07B2514D" w14:textId="067F80AF" w:rsidR="00245204" w:rsidRPr="00D069A2" w:rsidRDefault="005105A9" w:rsidP="005105A9">
      <w:pPr>
        <w:pStyle w:val="L1-Bullet"/>
      </w:pPr>
      <w:r w:rsidRPr="00D069A2">
        <w:rPr>
          <w:rFonts w:eastAsia="Cambria"/>
        </w:rPr>
        <w:t>Include successful and failed execution attempts unless explicitly excluded by the governing clause;</w:t>
      </w:r>
    </w:p>
    <w:p w14:paraId="5EE59A6A" w14:textId="790DF3A3" w:rsidR="00245204" w:rsidRPr="00D069A2" w:rsidRDefault="005105A9" w:rsidP="005105A9">
      <w:pPr>
        <w:pStyle w:val="L1-Bullet"/>
      </w:pPr>
      <w:r w:rsidRPr="00D069A2">
        <w:rPr>
          <w:rFonts w:eastAsia="Cambria"/>
        </w:rPr>
        <w:t>Exclude only measurements invalidated by independently verifiable instrumentation failure;</w:t>
      </w:r>
    </w:p>
    <w:p w14:paraId="2961AB20" w14:textId="282AA20E" w:rsidR="00245204" w:rsidRPr="00D069A2" w:rsidRDefault="005105A9" w:rsidP="005105A9">
      <w:pPr>
        <w:pStyle w:val="L1-Bullet"/>
      </w:pPr>
      <w:r w:rsidRPr="00D069A2">
        <w:rPr>
          <w:rFonts w:eastAsia="Cambria"/>
        </w:rPr>
        <w:t xml:space="preserve">Preserve raw event timestamps and source identifiers sufficient for independent </w:t>
      </w:r>
      <w:proofErr w:type="spellStart"/>
      <w:r w:rsidRPr="00D069A2">
        <w:rPr>
          <w:rFonts w:eastAsia="Cambria"/>
        </w:rPr>
        <w:t>recomputation</w:t>
      </w:r>
      <w:proofErr w:type="spellEnd"/>
      <w:r w:rsidRPr="00D069A2">
        <w:rPr>
          <w:rFonts w:eastAsia="Cambria"/>
        </w:rPr>
        <w:t>.</w:t>
      </w:r>
    </w:p>
    <w:p w14:paraId="22EEC391" w14:textId="77777777" w:rsidR="00245204" w:rsidRPr="00D069A2" w:rsidRDefault="00000000" w:rsidP="00A05123">
      <w:pPr>
        <w:pStyle w:val="P0-Paragraph"/>
      </w:pPr>
      <w:r w:rsidRPr="00D069A2">
        <w:rPr>
          <w:rFonts w:eastAsia="Cambria"/>
        </w:rPr>
        <w:t>Unless otherwise specified in the governing clause, percentile measurements shall be evaluated over a rolling [DEFAULT: 30-day] observation window.</w:t>
      </w:r>
    </w:p>
    <w:p w14:paraId="3CD15C74" w14:textId="77777777" w:rsidR="00245204" w:rsidRPr="00D069A2" w:rsidRDefault="00000000" w:rsidP="00A05123">
      <w:pPr>
        <w:pStyle w:val="P0-Paragraph"/>
      </w:pPr>
      <w:r w:rsidRPr="00D069A2">
        <w:rPr>
          <w:rFonts w:eastAsia="Cambria"/>
        </w:rPr>
        <w:t>All timestamps used for percentile calculations shall:</w:t>
      </w:r>
    </w:p>
    <w:p w14:paraId="46D4B29F" w14:textId="60D33C09" w:rsidR="00245204" w:rsidRPr="00D069A2" w:rsidRDefault="005105A9" w:rsidP="005105A9">
      <w:pPr>
        <w:pStyle w:val="L1-Bullet"/>
      </w:pPr>
      <w:r w:rsidRPr="00D069A2">
        <w:rPr>
          <w:rFonts w:eastAsia="Cambria"/>
        </w:rPr>
        <w:lastRenderedPageBreak/>
        <w:t xml:space="preserve">Use </w:t>
      </w:r>
      <w:r w:rsidR="00000000" w:rsidRPr="00D069A2">
        <w:rPr>
          <w:rFonts w:eastAsia="Cambria"/>
        </w:rPr>
        <w:t>UTC time;</w:t>
      </w:r>
    </w:p>
    <w:p w14:paraId="68D5477D" w14:textId="482B2442" w:rsidR="00245204" w:rsidRPr="00D069A2" w:rsidRDefault="005105A9" w:rsidP="005105A9">
      <w:pPr>
        <w:pStyle w:val="L1-Bullet"/>
      </w:pPr>
      <w:r w:rsidRPr="00D069A2">
        <w:rPr>
          <w:rFonts w:eastAsia="Cambria"/>
        </w:rPr>
        <w:t xml:space="preserve">Derive </w:t>
      </w:r>
      <w:r w:rsidR="00000000" w:rsidRPr="00D069A2">
        <w:rPr>
          <w:rFonts w:eastAsia="Cambria"/>
        </w:rPr>
        <w:t xml:space="preserve">from synchronized clocks maintaining [DEFAULT: ±100 </w:t>
      </w:r>
      <w:proofErr w:type="spellStart"/>
      <w:r w:rsidR="00000000" w:rsidRPr="00D069A2">
        <w:rPr>
          <w:rFonts w:eastAsia="Cambria"/>
        </w:rPr>
        <w:t>ms</w:t>
      </w:r>
      <w:proofErr w:type="spellEnd"/>
      <w:r w:rsidR="00000000" w:rsidRPr="00D069A2">
        <w:rPr>
          <w:rFonts w:eastAsia="Cambria"/>
        </w:rPr>
        <w:t xml:space="preserve">] maximum drift relative to the </w:t>
      </w:r>
      <w:r>
        <w:rPr>
          <w:rFonts w:eastAsia="Cambria"/>
        </w:rPr>
        <w:t>o</w:t>
      </w:r>
      <w:r w:rsidR="00000000" w:rsidRPr="00D069A2">
        <w:rPr>
          <w:rFonts w:eastAsia="Cambria"/>
        </w:rPr>
        <w:t>perator-approved time authority;</w:t>
      </w:r>
    </w:p>
    <w:p w14:paraId="59247C6C" w14:textId="31045B34" w:rsidR="00245204" w:rsidRPr="00D069A2" w:rsidRDefault="005105A9" w:rsidP="005105A9">
      <w:pPr>
        <w:pStyle w:val="L1-Bullet"/>
      </w:pPr>
      <w:r w:rsidRPr="00D069A2">
        <w:rPr>
          <w:rFonts w:eastAsia="Cambria"/>
        </w:rPr>
        <w:t xml:space="preserve">Preserve </w:t>
      </w:r>
      <w:r w:rsidR="00000000" w:rsidRPr="00D069A2">
        <w:rPr>
          <w:rFonts w:eastAsia="Cambria"/>
        </w:rPr>
        <w:t>millisecond precision minimum;</w:t>
      </w:r>
    </w:p>
    <w:p w14:paraId="67C6184B" w14:textId="196FEC0F" w:rsidR="00245204" w:rsidRPr="00D069A2" w:rsidRDefault="005105A9" w:rsidP="005105A9">
      <w:pPr>
        <w:pStyle w:val="L1-Bullet"/>
      </w:pPr>
      <w:r w:rsidRPr="00D069A2">
        <w:rPr>
          <w:rFonts w:eastAsia="Cambria"/>
        </w:rPr>
        <w:t xml:space="preserve">Preserve </w:t>
      </w:r>
      <w:r w:rsidR="00000000" w:rsidRPr="00D069A2">
        <w:rPr>
          <w:rFonts w:eastAsia="Cambria"/>
        </w:rPr>
        <w:t>microsecond precision where required elsewhere in this instrument.</w:t>
      </w:r>
    </w:p>
    <w:p w14:paraId="359EE604" w14:textId="77777777" w:rsidR="00245204" w:rsidRPr="00D069A2" w:rsidRDefault="00000000" w:rsidP="00A05123">
      <w:pPr>
        <w:pStyle w:val="P0-Paragraph"/>
      </w:pPr>
      <w:r w:rsidRPr="00D069A2">
        <w:t xml:space="preserve">For any sub-second latency obligation, elapsed time shall be measured using a single monotonic clock where technically practicable. Where compliance is established using timestamps generated by different devices or measurement points, the maximum relative clock </w:t>
      </w:r>
      <w:proofErr w:type="gramStart"/>
      <w:r w:rsidRPr="00D069A2">
        <w:t>offset</w:t>
      </w:r>
      <w:proofErr w:type="gramEnd"/>
      <w:r w:rsidRPr="00D069A2">
        <w:t xml:space="preserve"> and documented measurement uncertainty shall not exceed [DEFAULT: 10%] of the applicable contractual latency threshold. The general synchronization allowance above may be used for general event correlation but shall not be used where it would make a sub-second latency determination indeterminate.</w:t>
      </w:r>
    </w:p>
    <w:p w14:paraId="2BEAE918" w14:textId="77777777" w:rsidR="00245204" w:rsidRPr="00D069A2" w:rsidRDefault="00000000" w:rsidP="00A05123">
      <w:pPr>
        <w:pStyle w:val="P0-Paragraph"/>
      </w:pPr>
      <w:r w:rsidRPr="00D069A2">
        <w:rPr>
          <w:rFonts w:eastAsia="Cambria"/>
        </w:rPr>
        <w:t>For operational clauses governing Physical Consequence Actions, attestation events, Safe-State transitions, KQP execution, or industrial control-cycle timing, percentile measurements shall be computed using end-to-end elapsed operational latency rather than component-local processing latency. Component-local latency may be reported for diagnostic purposes but shall not replace end-to-end measurements for compliance determination.</w:t>
      </w:r>
    </w:p>
    <w:p w14:paraId="6DFCF5B0" w14:textId="77777777" w:rsidR="00245204" w:rsidRPr="00D069A2" w:rsidRDefault="00000000" w:rsidP="00A05123">
      <w:pPr>
        <w:pStyle w:val="P0-Paragraph"/>
      </w:pPr>
      <w:r w:rsidRPr="00D069A2">
        <w:rPr>
          <w:rFonts w:eastAsia="Cambria"/>
        </w:rPr>
        <w:t>A percentile threshold breach occurs when the measured percentile exceeds the contractual threshold during the applicable measurement window, regardless of average performance compliance.</w:t>
      </w:r>
    </w:p>
    <w:p w14:paraId="1C6A5514" w14:textId="77777777" w:rsidR="00245204" w:rsidRPr="00D069A2" w:rsidRDefault="00000000" w:rsidP="00A05123">
      <w:pPr>
        <w:pStyle w:val="P0-Paragraph"/>
      </w:pPr>
      <w:r w:rsidRPr="00D069A2">
        <w:rPr>
          <w:rFonts w:eastAsia="Cambria"/>
        </w:rPr>
        <w:t>Lower percentile compliance does not compensate for higher percentile breach conditions. For example, satisfying P95 obligations does not satisfy a breached P99 or P99.9 obligation.</w:t>
      </w:r>
    </w:p>
    <w:p w14:paraId="364EA8B9" w14:textId="77777777" w:rsidR="00245204" w:rsidRPr="00D069A2" w:rsidRDefault="00000000" w:rsidP="00A05123">
      <w:pPr>
        <w:pStyle w:val="P0-Paragraph"/>
      </w:pPr>
      <w:r w:rsidRPr="00D069A2">
        <w:rPr>
          <w:rFonts w:eastAsia="Cambria"/>
        </w:rPr>
        <w:t>Where sample populations are insufficient to produce statistically meaningful percentile calculations, the parties shall define a minimum observation volume in the applicable schedule before operational reliance on the affected metric.</w:t>
      </w:r>
    </w:p>
    <w:p w14:paraId="02AB8D7D" w14:textId="77777777" w:rsidR="00245204" w:rsidRPr="00D069A2" w:rsidRDefault="00000000" w:rsidP="00A05123">
      <w:pPr>
        <w:pStyle w:val="P0-Paragraph"/>
      </w:pPr>
      <w:r w:rsidRPr="00D069A2">
        <w:rPr>
          <w:rFonts w:eastAsia="Cambria"/>
        </w:rPr>
        <w:t>No statistical smoothing, outlier trimming, percentile interpolation substitution, or synthetic sampling methodology may be applied unless explicitly documented in Schedule A or the governing operational clause.</w:t>
      </w:r>
    </w:p>
    <w:p w14:paraId="12344717" w14:textId="5692412A" w:rsidR="00245204" w:rsidRPr="00D069A2" w:rsidRDefault="00000000" w:rsidP="00A05123">
      <w:pPr>
        <w:pStyle w:val="P0-Paragraph"/>
      </w:pPr>
      <w:r w:rsidRPr="00D069A2">
        <w:t>General Time-Period Convention: Unless expressly stated otherwise, periods expressed in minutes or hours run continuously on a 24x7 basis and are measured using UTC. “Calendar day” means a calendar day irrespective of weekends or public holidays. “Business day” means a day other than Saturday, Sunday, or a public holiday in [GOVERNING JURISDICTION]. Vendor investigation, internal escalation, personnel unavailability, or delay in attribution does not pause or reset a notification period. A notification is deemed transmitted when the Schedule C primary channel accepts the transmission for delivery; failure of a primary channel requires immediate use of the designated backup channel and does not reset the notification clock.</w:t>
      </w:r>
    </w:p>
    <w:p w14:paraId="7A980520" w14:textId="77777777" w:rsidR="00245204" w:rsidRPr="00D069A2" w:rsidRDefault="00000000" w:rsidP="005105A9">
      <w:pPr>
        <w:pStyle w:val="HS-Heading1"/>
      </w:pPr>
      <w:r w:rsidRPr="00D069A2">
        <w:t>Section 11.1 — Objective integrity obligations</w:t>
      </w:r>
    </w:p>
    <w:p w14:paraId="35098E08" w14:textId="77777777" w:rsidR="00245204" w:rsidRPr="00D069A2" w:rsidRDefault="00000000" w:rsidP="005105A9">
      <w:pPr>
        <w:pStyle w:val="HS-Heading2"/>
      </w:pPr>
      <w:r w:rsidRPr="00D069A2">
        <w:t>Behavioral boundary specification</w:t>
      </w:r>
    </w:p>
    <w:p w14:paraId="4A9A8C44" w14:textId="77777777" w:rsidR="00245204" w:rsidRPr="00D069A2" w:rsidRDefault="00000000" w:rsidP="00A05123">
      <w:pPr>
        <w:pStyle w:val="P0-Paragraph"/>
      </w:pPr>
      <w:r w:rsidRPr="00D069A2">
        <w:rPr>
          <w:rFonts w:eastAsia="Cambria"/>
        </w:rPr>
        <w:t xml:space="preserve">A Behavioral Boundary Specification addresses a specific operational problem. A vendor deploys a model update. The system’s objective pursuit changes. The operator lacks a documented behavioral baseline to detect or prove the deviation. Without a pre-change behavioral specification, the operator cannot establish a reliable deviation baseline. Without that baseline, post-incident causal attribution becomes unreliable. A </w:t>
      </w:r>
      <w:r w:rsidRPr="00D069A2">
        <w:rPr>
          <w:rFonts w:eastAsia="Cambria"/>
        </w:rPr>
        <w:lastRenderedPageBreak/>
        <w:t>Behavioral Boundary Specification is the contractual answer to this specific failure mode. The Vendor shall deliver a written Behavioral Boundary Specification at or before production deployment describing:</w:t>
      </w:r>
    </w:p>
    <w:p w14:paraId="2603F1DC" w14:textId="43DAC8FE" w:rsidR="00245204" w:rsidRPr="00D069A2" w:rsidRDefault="00000000" w:rsidP="005105A9">
      <w:pPr>
        <w:pStyle w:val="L1-Bullet"/>
      </w:pPr>
      <w:r w:rsidRPr="00D069A2">
        <w:rPr>
          <w:rStyle w:val="CS-Keyword"/>
        </w:rPr>
        <w:t>Complete set of objectives</w:t>
      </w:r>
      <w:r w:rsidRPr="00D069A2">
        <w:rPr>
          <w:rFonts w:eastAsia="Cambria"/>
        </w:rPr>
        <w:t xml:space="preserve"> the Agentic System is designed to pursue.</w:t>
      </w:r>
    </w:p>
    <w:p w14:paraId="006240A5" w14:textId="3B5D7EDB" w:rsidR="00245204" w:rsidRPr="00D069A2" w:rsidRDefault="00000000" w:rsidP="005105A9">
      <w:pPr>
        <w:pStyle w:val="L1-Bullet"/>
      </w:pPr>
      <w:r w:rsidRPr="00D069A2">
        <w:rPr>
          <w:rStyle w:val="CS-Keyword"/>
        </w:rPr>
        <w:t>Conditions</w:t>
      </w:r>
      <w:r w:rsidRPr="00D069A2">
        <w:rPr>
          <w:rFonts w:eastAsia="Cambria"/>
        </w:rPr>
        <w:t xml:space="preserve"> under which the system will decline to pursue a requested objective.</w:t>
      </w:r>
    </w:p>
    <w:p w14:paraId="5456A480" w14:textId="0CD87572" w:rsidR="00245204" w:rsidRPr="00D069A2" w:rsidRDefault="00000000" w:rsidP="005105A9">
      <w:pPr>
        <w:pStyle w:val="L1-Bullet"/>
      </w:pPr>
      <w:r w:rsidRPr="00D069A2">
        <w:rPr>
          <w:rStyle w:val="CS-Keyword"/>
        </w:rPr>
        <w:t>Tool invocation authorities</w:t>
      </w:r>
      <w:r w:rsidRPr="00D069A2">
        <w:rPr>
          <w:rFonts w:eastAsia="Cambria"/>
        </w:rPr>
        <w:t xml:space="preserve"> the system holds by default and the mechanism by which those authorities are scoped or revoked.</w:t>
      </w:r>
    </w:p>
    <w:p w14:paraId="1AF1A2F0" w14:textId="77777777" w:rsidR="00245204" w:rsidRPr="00D069A2" w:rsidRDefault="00000000" w:rsidP="005105A9">
      <w:pPr>
        <w:pStyle w:val="L1-Bullet"/>
      </w:pPr>
      <w:r w:rsidRPr="00D069A2">
        <w:rPr>
          <w:rStyle w:val="CS-Keyword"/>
        </w:rPr>
        <w:t>Behavioral envelope</w:t>
      </w:r>
      <w:r w:rsidRPr="00D069A2">
        <w:rPr>
          <w:rFonts w:eastAsia="Cambria"/>
        </w:rPr>
        <w:t xml:space="preserve"> outside which the system is designed to transition to Safe-State.</w:t>
      </w:r>
    </w:p>
    <w:p w14:paraId="43048A48" w14:textId="77777777" w:rsidR="00245204" w:rsidRPr="00D069A2" w:rsidRDefault="00000000" w:rsidP="00A05123">
      <w:pPr>
        <w:pStyle w:val="P0-Paragraph"/>
      </w:pPr>
      <w:r w:rsidRPr="00D069A2">
        <w:t xml:space="preserve">The Behavioral Boundary Specification shall be updated no later than the earlier of: (a) [DEFAULT: 14 calendar days] after approval of any model update, </w:t>
      </w:r>
      <w:proofErr w:type="spellStart"/>
      <w:r w:rsidRPr="00D069A2">
        <w:t>LoRA</w:t>
      </w:r>
      <w:proofErr w:type="spellEnd"/>
      <w:r w:rsidRPr="00D069A2">
        <w:t xml:space="preserve"> Update, or configuration change that changes any objective, decline condition, tool invocation authority, Execution Boundary authorization, or Safe-State behavioral envelope recorded in the then-current Behavioral Boundary Specification; or (b) before that change is deployed to production. The documentation-maintenance period stated in clause (a) is an outer limit and does not create a post-production grace period.</w:t>
      </w:r>
    </w:p>
    <w:p w14:paraId="2039D5BC" w14:textId="77777777" w:rsidR="00245204" w:rsidRPr="00D069A2" w:rsidRDefault="00000000" w:rsidP="00A05123">
      <w:pPr>
        <w:pStyle w:val="P0-Paragraph"/>
      </w:pPr>
      <w:r w:rsidRPr="00D069A2">
        <w:t xml:space="preserve">No model update, </w:t>
      </w:r>
      <w:proofErr w:type="spellStart"/>
      <w:r w:rsidRPr="00D069A2">
        <w:t>LoRA</w:t>
      </w:r>
      <w:proofErr w:type="spellEnd"/>
      <w:r w:rsidRPr="00D069A2">
        <w:t xml:space="preserve"> Update, autonomy-level change, material tool-permission change, or expansion of the Execution Boundary may be deployed to a production system authorized to perform Physical Consequence Actions until: (a) the updated Behavioral Boundary Specification has been delivered; (b) the updated AI-BOM identifying the proposed deployed state has been delivered; (c) the applicable adversarial robustness testing required by this Section has been completed; (d) the applicable ASCR-10 change authorization and shadow-mode commissioning requirements have been satisfied; and (e) the Operator has provided any written production authorization required by the agreed change-control process. The Vendor shall maintain the ability to restore the last approved model and configuration state within [DEFAULT: 4 hours] of Operator direction following a defective or unauthorized change.</w:t>
      </w:r>
    </w:p>
    <w:p w14:paraId="65C93E26" w14:textId="77777777" w:rsidR="00245204" w:rsidRPr="005105A9" w:rsidRDefault="00000000" w:rsidP="00A05123">
      <w:pPr>
        <w:pStyle w:val="P0-Paragraph"/>
      </w:pPr>
      <w:r w:rsidRPr="005105A9">
        <w:t>[Regulatory References: EU AI Act Art. 13 (Operational Transparency), Art. 16(d) (System Documentation Obligations); NIST AI RMF Govern 1.1, Map 1.5; IEC 62443-3-3 SR 7.6]</w:t>
      </w:r>
    </w:p>
    <w:p w14:paraId="74622220" w14:textId="77777777" w:rsidR="00245204" w:rsidRPr="00D069A2" w:rsidRDefault="00000000" w:rsidP="005105A9">
      <w:pPr>
        <w:pStyle w:val="HS-Heading2"/>
      </w:pPr>
      <w:r w:rsidRPr="00D069A2">
        <w:t>Semantic drift threshold</w:t>
      </w:r>
    </w:p>
    <w:p w14:paraId="73C41C29" w14:textId="77777777" w:rsidR="00245204" w:rsidRPr="00D069A2" w:rsidRDefault="00000000" w:rsidP="00A05123">
      <w:pPr>
        <w:pStyle w:val="P0-Paragraph"/>
      </w:pPr>
      <w:r w:rsidRPr="00D069A2">
        <w:t>The Vendor shall specify, in Schedule A to this instrument, the governed contractual tolerance parameters for the delivered system. Each applicable Schedule A row shall record the contractual measurand, its SOFT_ALERT and HARD_BLOCK values or non-graded HARD_BLOCK condition, its measurement unit, measurement frequency, Enforcement State response, and Notification Tier reference. An undefined threshold is not operationally enforceable. For example, z-axis force deviation is expressed as a percentage of the commissioned nominal grip force for the applicable object class, with separate SOFT_ALERT and HARD_BLOCK percentages recorded in Schedule A and the corresponding commissioned nominal grip force recorded in the Schedule A Measurement Configuration block. A picking arm may begin misclassifying grip force parameters. The operator’s SLA says the system “must not drift significantly.” That clause triggers nothing: no Tier 2 notification, no regulatory evidence, no post-incident attribution basis. Schedule A replaces qualitative language with measurable operational thresholds and conditions.</w:t>
      </w:r>
    </w:p>
    <w:p w14:paraId="45793885" w14:textId="77777777" w:rsidR="00245204" w:rsidRPr="00D069A2" w:rsidRDefault="00000000" w:rsidP="00A05123">
      <w:pPr>
        <w:pStyle w:val="P0-Paragraph"/>
      </w:pPr>
      <w:r w:rsidRPr="00D069A2">
        <w:rPr>
          <w:rFonts w:eastAsia="Cambria"/>
        </w:rPr>
        <w:t>Exceedance of a Schedule A HARD_BLOCK threshold shall constitute at least a Notification Tier 2 event under Section 11.5; where the same condition independently satisfies a Notification Tier 1 trigger, Notification Tier 1 governs. Exceedance of a Schedule A SOFT_ALERT threshold shall be recorded and reported under Section 11.6.</w:t>
      </w:r>
    </w:p>
    <w:p w14:paraId="567A283F" w14:textId="77777777" w:rsidR="00245204" w:rsidRPr="00D069A2" w:rsidRDefault="00000000" w:rsidP="00A05123">
      <w:pPr>
        <w:pStyle w:val="P0-Paragraph"/>
      </w:pPr>
      <w:r w:rsidRPr="00D069A2">
        <w:lastRenderedPageBreak/>
        <w:t>[Regulatory References: EU AI Act Art. 15(4) (Robustness), Art. 72 (Post-Market Monitoring); NIST AI RMF Measure 2.5; IEC 62443-3-3 SR 3.6 (Deterministic Output), SR 6.2 (Continuous Monitoring)]</w:t>
      </w:r>
    </w:p>
    <w:p w14:paraId="2766E23D" w14:textId="77777777" w:rsidR="00245204" w:rsidRPr="00D069A2" w:rsidRDefault="00000000" w:rsidP="005105A9">
      <w:pPr>
        <w:pStyle w:val="HS-Heading2"/>
      </w:pPr>
      <w:r w:rsidRPr="00D069A2">
        <w:t>Adversarial robustness testing</w:t>
      </w:r>
    </w:p>
    <w:p w14:paraId="31020079" w14:textId="77777777" w:rsidR="00245204" w:rsidRPr="00D069A2" w:rsidRDefault="00000000" w:rsidP="00A05123">
      <w:pPr>
        <w:pStyle w:val="P0-Paragraph"/>
      </w:pPr>
      <w:r w:rsidRPr="00D069A2">
        <w:rPr>
          <w:rFonts w:eastAsia="Cambria"/>
        </w:rPr>
        <w:t xml:space="preserve">Prior to each production deployment and prior to each </w:t>
      </w:r>
      <w:proofErr w:type="spellStart"/>
      <w:r w:rsidRPr="00D069A2">
        <w:rPr>
          <w:rFonts w:eastAsia="Cambria"/>
        </w:rPr>
        <w:t>LoRA</w:t>
      </w:r>
      <w:proofErr w:type="spellEnd"/>
      <w:r w:rsidRPr="00D069A2">
        <w:rPr>
          <w:rFonts w:eastAsia="Cambria"/>
        </w:rPr>
        <w:t xml:space="preserve"> Update deployment, the Vendor shall conduct adversarial robustness testing of the Agentic System’s objective pursuit and tool-selection behavior against the applicable MITRE ATLAS techniques relevant to the deployment architecture, including indirect prompt injection, retrieval poisoning, unauthorized tool invocation escalation, planner-executor desynchronization, memory poisoning, and context manipulation scenarios where applicable. The Vendor shall deliver to the Operator a signed Robustness Assessment Report documenting:</w:t>
      </w:r>
    </w:p>
    <w:p w14:paraId="34D8F248" w14:textId="73E9F561" w:rsidR="00245204" w:rsidRPr="00D069A2" w:rsidRDefault="005105A9" w:rsidP="005105A9">
      <w:pPr>
        <w:pStyle w:val="L1-Bullet"/>
      </w:pPr>
      <w:r w:rsidRPr="00D069A2">
        <w:rPr>
          <w:rFonts w:eastAsia="Cambria"/>
        </w:rPr>
        <w:t>The attack classes tested</w:t>
      </w:r>
    </w:p>
    <w:p w14:paraId="01D38336" w14:textId="10FE6EB3" w:rsidR="00245204" w:rsidRPr="00D069A2" w:rsidRDefault="005105A9" w:rsidP="005105A9">
      <w:pPr>
        <w:pStyle w:val="L1-Bullet"/>
      </w:pPr>
      <w:r w:rsidRPr="00D069A2">
        <w:rPr>
          <w:rFonts w:eastAsia="Cambria"/>
        </w:rPr>
        <w:t>The test methodology</w:t>
      </w:r>
    </w:p>
    <w:p w14:paraId="2A5D53EF" w14:textId="17AAAEEB" w:rsidR="00245204" w:rsidRPr="00D069A2" w:rsidRDefault="005105A9" w:rsidP="005105A9">
      <w:pPr>
        <w:pStyle w:val="L1-Bullet"/>
      </w:pPr>
      <w:r w:rsidRPr="00D069A2">
        <w:rPr>
          <w:rFonts w:eastAsia="Cambria"/>
        </w:rPr>
        <w:t>The pass/fail criteria</w:t>
      </w:r>
    </w:p>
    <w:p w14:paraId="5969BCD6" w14:textId="01AD37CD" w:rsidR="00245204" w:rsidRPr="00D069A2" w:rsidRDefault="005105A9" w:rsidP="005105A9">
      <w:pPr>
        <w:pStyle w:val="L1-Bullet"/>
      </w:pPr>
      <w:r w:rsidRPr="00D069A2">
        <w:rPr>
          <w:rFonts w:eastAsia="Cambria"/>
        </w:rPr>
        <w:t>Any residual risks identified and their proposed mitigations.</w:t>
      </w:r>
    </w:p>
    <w:p w14:paraId="487E3363" w14:textId="77777777" w:rsidR="00245204" w:rsidRPr="00D069A2" w:rsidRDefault="00000000" w:rsidP="00A05123">
      <w:pPr>
        <w:pStyle w:val="P0-Paragraph"/>
      </w:pPr>
      <w:r w:rsidRPr="00A05123">
        <w:rPr>
          <w:rFonts w:eastAsiaTheme="minorHAnsi"/>
        </w:rPr>
        <w:t xml:space="preserve">The Robustness Assessment Report shall be delivered no fewer than </w:t>
      </w:r>
      <w:r w:rsidRPr="00D069A2">
        <w:rPr>
          <w:rFonts w:ascii="Consolas" w:eastAsia="Consolas" w:hAnsi="Consolas" w:cs="Consolas"/>
          <w:sz w:val="22"/>
          <w:szCs w:val="22"/>
        </w:rPr>
        <w:t>[DEFAULT: 5 business days]</w:t>
      </w:r>
      <w:r w:rsidRPr="00A05123">
        <w:rPr>
          <w:rFonts w:eastAsiaTheme="minorHAnsi"/>
        </w:rPr>
        <w:t xml:space="preserve"> before the scheduled deployment date.</w:t>
      </w:r>
    </w:p>
    <w:p w14:paraId="31BB07FC" w14:textId="27D045D1" w:rsidR="00245204" w:rsidRPr="00D069A2" w:rsidRDefault="00000000" w:rsidP="00A05123">
      <w:pPr>
        <w:pStyle w:val="P0-Paragraph"/>
      </w:pPr>
      <w:r w:rsidRPr="005105A9">
        <w:t>[Regulatory References: EU AI Act Art. 15(1) (Accuracy, Robustness and Cybersecurity), Art. 15(5) (Resilience Against Adversarial Attacks); NIST AI RMF Measure 2.7; NIST SP 800-53 Rev 5 RA-5, SA-11]</w:t>
      </w:r>
    </w:p>
    <w:p w14:paraId="6F2E2E27" w14:textId="77777777" w:rsidR="00245204" w:rsidRPr="00D069A2" w:rsidRDefault="00000000" w:rsidP="005105A9">
      <w:pPr>
        <w:pStyle w:val="HS-Heading2"/>
      </w:pPr>
      <w:r w:rsidRPr="00D069A2">
        <w:t>Section 11.2 — AI bill of materials and supply chain provenance</w:t>
      </w:r>
    </w:p>
    <w:p w14:paraId="59AD85AD" w14:textId="77777777" w:rsidR="00245204" w:rsidRPr="00D069A2" w:rsidRDefault="00000000" w:rsidP="005105A9">
      <w:pPr>
        <w:pStyle w:val="HS-Heading3"/>
      </w:pPr>
      <w:r w:rsidRPr="00D069A2">
        <w:t>AI-BOM delivery</w:t>
      </w:r>
    </w:p>
    <w:p w14:paraId="70EE3342" w14:textId="77777777" w:rsidR="00245204" w:rsidRPr="00D069A2" w:rsidRDefault="00000000" w:rsidP="00A05123">
      <w:pPr>
        <w:pStyle w:val="P0-Paragraph"/>
      </w:pPr>
      <w:r w:rsidRPr="00D069A2">
        <w:t xml:space="preserve">Without a version-resolved AI-BOM, post-incident attribution becomes unreliable because investigators cannot determine which weight artifact produced the observed behavior. The Vendor shall deliver a complete AI-BOM at initial production deployment and an updated AI-BOM no later than the earlier of: (a) [DEFAULT: 48 hours] after a subsequent model update, </w:t>
      </w:r>
      <w:proofErr w:type="spellStart"/>
      <w:r w:rsidRPr="00D069A2">
        <w:t>LoRA</w:t>
      </w:r>
      <w:proofErr w:type="spellEnd"/>
      <w:r w:rsidRPr="00D069A2">
        <w:t xml:space="preserve"> Update, or third-party component change is approved for integration; or (b) before that change is deployed to production. The AI-BOM delivery period stated in clause (a) does not create a production grace period. The AI-BOM shall include the following fields for each component:</w:t>
      </w:r>
    </w:p>
    <w:p w14:paraId="7D315D04" w14:textId="15A4D77E" w:rsidR="00245204" w:rsidRPr="00D069A2" w:rsidRDefault="005105A9" w:rsidP="005105A9">
      <w:pPr>
        <w:pStyle w:val="L1-Bullet"/>
      </w:pPr>
      <w:r w:rsidRPr="00D069A2">
        <w:rPr>
          <w:rFonts w:eastAsia="Cambria"/>
        </w:rPr>
        <w:t>Component name and version identifier</w:t>
      </w:r>
    </w:p>
    <w:p w14:paraId="69CA4DF9" w14:textId="6AF2B773" w:rsidR="00245204" w:rsidRPr="00D069A2" w:rsidRDefault="005105A9" w:rsidP="005105A9">
      <w:pPr>
        <w:pStyle w:val="L1-Bullet"/>
      </w:pPr>
      <w:r w:rsidRPr="00D069A2">
        <w:t>Cryptographic hash of both the weight artifact or software component and, for lora updates, the compound post-application weight state (because a lora update composes a low-rank additive update with the base model rather than replacing the base artifact, t</w:t>
      </w:r>
      <w:r w:rsidR="00000000" w:rsidRPr="00D069A2">
        <w:t>he base-model identifier and delta artifact identifier alone do not establish the exact composed weight state loaded for inference; record both the delta artifact hash and the hash of the resulting composed full weight artifact as loaded for inference), co</w:t>
      </w:r>
      <w:r w:rsidRPr="00D069A2">
        <w:t>mputed using sha-256 at minimum. The ai-</w:t>
      </w:r>
      <w:proofErr w:type="spellStart"/>
      <w:r w:rsidRPr="00D069A2">
        <w:t>bom</w:t>
      </w:r>
      <w:proofErr w:type="spellEnd"/>
      <w:r w:rsidRPr="00D069A2">
        <w:t xml:space="preserve"> shall retain this artifact hash independently from any platform-attestation measurement. Where an artifact or component is bound to a </w:t>
      </w:r>
      <w:proofErr w:type="spellStart"/>
      <w:r w:rsidRPr="00D069A2">
        <w:t>tpm</w:t>
      </w:r>
      <w:proofErr w:type="spellEnd"/>
      <w:r w:rsidRPr="00D069A2">
        <w:t>/</w:t>
      </w:r>
      <w:proofErr w:type="spellStart"/>
      <w:r w:rsidRPr="00D069A2">
        <w:t>pcr</w:t>
      </w:r>
      <w:proofErr w:type="spellEnd"/>
      <w:r w:rsidRPr="00D069A2">
        <w:t>-based attestation profile, the ai-</w:t>
      </w:r>
      <w:proofErr w:type="spellStart"/>
      <w:r w:rsidRPr="00D069A2">
        <w:t>bom</w:t>
      </w:r>
      <w:proofErr w:type="spellEnd"/>
      <w:r w:rsidRPr="00D069A2">
        <w:t xml:space="preserve"> shall additionally record the </w:t>
      </w:r>
      <w:proofErr w:type="spellStart"/>
      <w:r w:rsidRPr="00D069A2">
        <w:t>pcr</w:t>
      </w:r>
      <w:proofErr w:type="spellEnd"/>
      <w:r w:rsidRPr="00D069A2">
        <w:t xml:space="preserve"> bank algorithm and index, applicable measurement or event digest/identifier, and the event-log or reference-profile information required to reconstruct the expected </w:t>
      </w:r>
      <w:proofErr w:type="spellStart"/>
      <w:r w:rsidRPr="00D069A2">
        <w:t>pcr</w:t>
      </w:r>
      <w:proofErr w:type="spellEnd"/>
      <w:r w:rsidRPr="00D069A2">
        <w:t xml:space="preserve"> state. The artifact hash shall not be represented as the </w:t>
      </w:r>
      <w:proofErr w:type="spellStart"/>
      <w:r w:rsidRPr="00D069A2">
        <w:t>pcr</w:t>
      </w:r>
      <w:proofErr w:type="spellEnd"/>
      <w:r w:rsidRPr="00D069A2">
        <w:t xml:space="preserve"> value or as sufficient by itself for direct </w:t>
      </w:r>
      <w:proofErr w:type="spellStart"/>
      <w:r w:rsidRPr="00D069A2">
        <w:t>pcr</w:t>
      </w:r>
      <w:proofErr w:type="spellEnd"/>
      <w:r w:rsidRPr="00D069A2">
        <w:t xml:space="preserve"> verification.</w:t>
      </w:r>
    </w:p>
    <w:p w14:paraId="111E3C7A" w14:textId="22D0A1A0" w:rsidR="00245204" w:rsidRPr="00D069A2" w:rsidRDefault="005105A9" w:rsidP="005105A9">
      <w:pPr>
        <w:pStyle w:val="L1-Bullet"/>
      </w:pPr>
      <w:r w:rsidRPr="00D069A2">
        <w:rPr>
          <w:rFonts w:eastAsia="Cambria"/>
        </w:rPr>
        <w:t>Provenance attestation identifying the originating organization and training pipeline</w:t>
      </w:r>
    </w:p>
    <w:p w14:paraId="5002C0D4" w14:textId="66E10FD2" w:rsidR="00245204" w:rsidRPr="00D069A2" w:rsidRDefault="005105A9" w:rsidP="005105A9">
      <w:pPr>
        <w:pStyle w:val="L1-Bullet"/>
      </w:pPr>
      <w:r w:rsidRPr="00D069A2">
        <w:rPr>
          <w:rFonts w:eastAsia="Cambria"/>
        </w:rPr>
        <w:lastRenderedPageBreak/>
        <w:t xml:space="preserve">Deployment timestamp in iso 8601 format with </w:t>
      </w:r>
      <w:proofErr w:type="spellStart"/>
      <w:r w:rsidRPr="00D069A2">
        <w:rPr>
          <w:rFonts w:eastAsia="Cambria"/>
        </w:rPr>
        <w:t>utc</w:t>
      </w:r>
      <w:proofErr w:type="spellEnd"/>
      <w:r w:rsidRPr="00D069A2">
        <w:rPr>
          <w:rFonts w:eastAsia="Cambria"/>
        </w:rPr>
        <w:t xml:space="preserve"> </w:t>
      </w:r>
      <w:proofErr w:type="spellStart"/>
      <w:r w:rsidRPr="00D069A2">
        <w:rPr>
          <w:rFonts w:eastAsia="Cambria"/>
        </w:rPr>
        <w:t>timezone</w:t>
      </w:r>
      <w:proofErr w:type="spellEnd"/>
      <w:r w:rsidRPr="00D069A2">
        <w:rPr>
          <w:rFonts w:eastAsia="Cambria"/>
        </w:rPr>
        <w:t xml:space="preserve"> designator (suffix z) and millisecond precision minimum, e.g., 2026-01-15t14:32:00.000z. For systems with control-loop intervals below 100ms, microsecond precision (six decimal places) is required.</w:t>
      </w:r>
    </w:p>
    <w:p w14:paraId="14AC5AD0" w14:textId="2F6705EB" w:rsidR="00245204" w:rsidRPr="00D069A2" w:rsidRDefault="005105A9" w:rsidP="005105A9">
      <w:pPr>
        <w:pStyle w:val="L1-Bullet"/>
      </w:pPr>
      <w:r w:rsidRPr="00D069A2">
        <w:rPr>
          <w:rFonts w:eastAsia="Cambria"/>
        </w:rPr>
        <w:t>The signing key identifier used to authenticate the artifact</w:t>
      </w:r>
    </w:p>
    <w:p w14:paraId="33249037" w14:textId="77777777" w:rsidR="00245204" w:rsidRPr="00D069A2" w:rsidRDefault="00000000" w:rsidP="00A05123">
      <w:pPr>
        <w:pStyle w:val="P0-Paragraph"/>
      </w:pPr>
      <w:r w:rsidRPr="00D069A2">
        <w:t>The parties shall record the selected AI-BOM export and serialization format at execution in the ASCR-11 execution-evidence reference identified under Section 11.9 or in an incorporated technical annex. The selected format shall be structured and machine-readable and shall preserve the component identifiers, cryptographic hashes, provenance attestations, version information, and update history required by this Section.</w:t>
      </w:r>
    </w:p>
    <w:p w14:paraId="1CBD5FBB" w14:textId="77777777" w:rsidR="00245204" w:rsidRPr="00D069A2" w:rsidRDefault="00000000" w:rsidP="00A05123">
      <w:pPr>
        <w:pStyle w:val="P0-Paragraph"/>
      </w:pPr>
      <w:r w:rsidRPr="00D069A2">
        <w:rPr>
          <w:rFonts w:eastAsia="Cambria"/>
        </w:rPr>
        <w:t>The Operator may reject deployment of any component lacking a verifiable AI-BOM entry.</w:t>
      </w:r>
    </w:p>
    <w:p w14:paraId="280E42EE" w14:textId="77777777" w:rsidR="00245204" w:rsidRPr="005105A9" w:rsidRDefault="00000000" w:rsidP="00A05123">
      <w:pPr>
        <w:pStyle w:val="P0-Paragraph"/>
      </w:pPr>
      <w:r w:rsidRPr="005105A9">
        <w:t>[Regulatory References: EU AI Act Art. 13, Art. 17 (Quality Management); NIST SP 800-161 Rev. 1 C-SCRM controls SR-4, SR-11; NIST AI RMF Map 1.6]</w:t>
      </w:r>
    </w:p>
    <w:p w14:paraId="462A6E91" w14:textId="77777777" w:rsidR="00245204" w:rsidRPr="00D069A2" w:rsidRDefault="00000000" w:rsidP="005105A9">
      <w:pPr>
        <w:pStyle w:val="HS-Heading3"/>
      </w:pPr>
      <w:proofErr w:type="spellStart"/>
      <w:r w:rsidRPr="00D069A2">
        <w:t>LoRA</w:t>
      </w:r>
      <w:proofErr w:type="spellEnd"/>
      <w:r w:rsidRPr="00D069A2">
        <w:t xml:space="preserve"> update pipeline security</w:t>
      </w:r>
    </w:p>
    <w:p w14:paraId="64E07CCD" w14:textId="77777777" w:rsidR="00245204" w:rsidRPr="00D069A2" w:rsidRDefault="00000000" w:rsidP="00A05123">
      <w:pPr>
        <w:pStyle w:val="P0-Paragraph"/>
      </w:pPr>
      <w:r w:rsidRPr="00D069A2">
        <w:rPr>
          <w:rFonts w:eastAsia="Cambria"/>
        </w:rPr>
        <w:t xml:space="preserve">The Vendor shall maintain documentation of the security controls applied to all </w:t>
      </w:r>
      <w:proofErr w:type="spellStart"/>
      <w:r w:rsidRPr="00D069A2">
        <w:rPr>
          <w:rFonts w:eastAsia="Cambria"/>
        </w:rPr>
        <w:t>LoRA</w:t>
      </w:r>
      <w:proofErr w:type="spellEnd"/>
      <w:r w:rsidRPr="00D069A2">
        <w:rPr>
          <w:rFonts w:eastAsia="Cambria"/>
        </w:rPr>
        <w:t xml:space="preserve"> Update fine-tuning pipelines and make it available to the Operator upon request. The documentation shall cover:</w:t>
      </w:r>
    </w:p>
    <w:p w14:paraId="1320B34B" w14:textId="055B3D0D" w:rsidR="00245204" w:rsidRPr="00D069A2" w:rsidRDefault="005105A9" w:rsidP="005105A9">
      <w:pPr>
        <w:pStyle w:val="L1-Bullet"/>
      </w:pPr>
      <w:r w:rsidRPr="00D069A2">
        <w:rPr>
          <w:rFonts w:eastAsia="Cambria"/>
        </w:rPr>
        <w:t>Access controls governing who may introduce training data into the pipeline</w:t>
      </w:r>
    </w:p>
    <w:p w14:paraId="688B1085" w14:textId="2CE529A9" w:rsidR="00245204" w:rsidRPr="00D069A2" w:rsidRDefault="005105A9" w:rsidP="005105A9">
      <w:pPr>
        <w:pStyle w:val="L1-Bullet"/>
      </w:pPr>
      <w:r w:rsidRPr="00D069A2">
        <w:rPr>
          <w:rFonts w:eastAsia="Cambria"/>
        </w:rPr>
        <w:t>Data provenance validation applied to training inputs</w:t>
      </w:r>
    </w:p>
    <w:p w14:paraId="3A05BB13" w14:textId="288C7CB4" w:rsidR="00245204" w:rsidRPr="00D069A2" w:rsidRDefault="005105A9" w:rsidP="005105A9">
      <w:pPr>
        <w:pStyle w:val="L1-Bullet"/>
      </w:pPr>
      <w:r w:rsidRPr="00D069A2">
        <w:rPr>
          <w:rFonts w:eastAsia="Cambria"/>
        </w:rPr>
        <w:t>Integrity verification applied to the output weight delta before signing</w:t>
      </w:r>
    </w:p>
    <w:p w14:paraId="08E68BF1" w14:textId="71DB8192" w:rsidR="00245204" w:rsidRPr="00D069A2" w:rsidRDefault="005105A9" w:rsidP="005105A9">
      <w:pPr>
        <w:pStyle w:val="L1-Bullet"/>
      </w:pPr>
      <w:r w:rsidRPr="00D069A2">
        <w:rPr>
          <w:rFonts w:eastAsia="Cambria"/>
        </w:rPr>
        <w:t>The audit log retention period for pipeline operations [default: minimum 24 months]</w:t>
      </w:r>
    </w:p>
    <w:p w14:paraId="0F934D55" w14:textId="77777777" w:rsidR="00245204" w:rsidRPr="00D069A2" w:rsidRDefault="00000000" w:rsidP="00A05123">
      <w:pPr>
        <w:pStyle w:val="P0-Paragraph"/>
      </w:pPr>
      <w:r w:rsidRPr="00D069A2">
        <w:rPr>
          <w:rFonts w:eastAsia="Cambria"/>
        </w:rPr>
        <w:t xml:space="preserve">Where the Vendor delegates fine-tuning pipeline operations to a subcontractor, the Vendor remains fully liable for the security of that pipeline under this artifact. The Vendor </w:t>
      </w:r>
      <w:proofErr w:type="gramStart"/>
      <w:r w:rsidRPr="00D069A2">
        <w:rPr>
          <w:rFonts w:eastAsia="Cambria"/>
        </w:rPr>
        <w:t>shall</w:t>
      </w:r>
      <w:proofErr w:type="gramEnd"/>
      <w:r w:rsidRPr="00D069A2">
        <w:rPr>
          <w:rFonts w:eastAsia="Cambria"/>
        </w:rPr>
        <w:t xml:space="preserve"> not delegate fine-tuning pipeline operations to a subcontractor without prior written notice to the Operator identifying the subcontractor and the scope of delegation.</w:t>
      </w:r>
    </w:p>
    <w:p w14:paraId="210A72DF" w14:textId="77777777" w:rsidR="00245204" w:rsidRPr="00D069A2" w:rsidRDefault="00000000" w:rsidP="00A05123">
      <w:pPr>
        <w:pStyle w:val="P0-Paragraph"/>
      </w:pPr>
      <w:r w:rsidRPr="00D069A2">
        <w:t>[Regulatory References: EU AI Act Art. 25 (Responsibilities along the AI value chain); NIS2 Art. 21 (Supply Chain Security); NIST SP 800-161 Rev. 1 C-SCRM controls SR-3, SR-11]</w:t>
      </w:r>
    </w:p>
    <w:p w14:paraId="28E5A94F" w14:textId="77777777" w:rsidR="00245204" w:rsidRPr="00D069A2" w:rsidRDefault="00000000" w:rsidP="005105A9">
      <w:pPr>
        <w:pStyle w:val="HS-Heading3"/>
      </w:pPr>
      <w:r w:rsidRPr="00D069A2">
        <w:t>Training data integrity</w:t>
      </w:r>
    </w:p>
    <w:p w14:paraId="0D9CFC71" w14:textId="77777777" w:rsidR="00245204" w:rsidRPr="00D069A2" w:rsidRDefault="00000000" w:rsidP="00A05123">
      <w:pPr>
        <w:pStyle w:val="P0-Paragraph"/>
      </w:pPr>
      <w:r w:rsidRPr="00A05123">
        <w:rPr>
          <w:rFonts w:eastAsiaTheme="minorHAnsi"/>
        </w:rPr>
        <w:t xml:space="preserve">The Vendor shall, upon the Operator’s written request following a suspected Objective Integrity Violation, provide within </w:t>
      </w:r>
      <w:r w:rsidRPr="00D069A2">
        <w:rPr>
          <w:rFonts w:ascii="Consolas" w:eastAsia="Consolas" w:hAnsi="Consolas" w:cs="Consolas"/>
          <w:sz w:val="22"/>
          <w:szCs w:val="22"/>
        </w:rPr>
        <w:t>[DEFAULT: 72 hours]</w:t>
      </w:r>
      <w:r w:rsidRPr="00A05123">
        <w:rPr>
          <w:rFonts w:eastAsiaTheme="minorHAnsi"/>
        </w:rPr>
        <w:t xml:space="preserve"> a signed attestation identifying:</w:t>
      </w:r>
    </w:p>
    <w:p w14:paraId="5A8D2C21" w14:textId="4B59FF46" w:rsidR="00245204" w:rsidRPr="00D069A2" w:rsidRDefault="005105A9" w:rsidP="005105A9">
      <w:pPr>
        <w:pStyle w:val="L1-Bullet"/>
      </w:pPr>
      <w:r w:rsidRPr="00D069A2">
        <w:rPr>
          <w:rFonts w:eastAsia="Cambria"/>
        </w:rPr>
        <w:t>The training datasets used to produce the implicated weight artifac</w:t>
      </w:r>
      <w:r w:rsidR="00000000" w:rsidRPr="00D069A2">
        <w:rPr>
          <w:rFonts w:eastAsia="Cambria"/>
        </w:rPr>
        <w:t>t</w:t>
      </w:r>
    </w:p>
    <w:p w14:paraId="74E2C6DA" w14:textId="4781828E" w:rsidR="00245204" w:rsidRPr="00D069A2" w:rsidRDefault="005105A9" w:rsidP="005105A9">
      <w:pPr>
        <w:pStyle w:val="L1-Bullet"/>
      </w:pPr>
      <w:r w:rsidRPr="00D069A2">
        <w:rPr>
          <w:rFonts w:eastAsia="Cambria"/>
        </w:rPr>
        <w:t>The data provenance validation methodology applied to those datasets</w:t>
      </w:r>
    </w:p>
    <w:p w14:paraId="3AF3835F" w14:textId="467F9CDD" w:rsidR="00245204" w:rsidRPr="00D069A2" w:rsidRDefault="005105A9" w:rsidP="005105A9">
      <w:pPr>
        <w:pStyle w:val="L1-Bullet"/>
      </w:pPr>
      <w:r w:rsidRPr="00D069A2">
        <w:rPr>
          <w:rFonts w:eastAsia="Cambria"/>
        </w:rPr>
        <w:t>Any anomalies detected in the training data pipeline during the period preceding the implicated lora update</w:t>
      </w:r>
    </w:p>
    <w:p w14:paraId="2B0395D3" w14:textId="77777777" w:rsidR="00245204" w:rsidRPr="00D069A2" w:rsidRDefault="00000000" w:rsidP="00A05123">
      <w:pPr>
        <w:pStyle w:val="P0-Paragraph"/>
      </w:pPr>
      <w:r w:rsidRPr="00D069A2">
        <w:t>Failure to provide this attestation within the specified period has a defined liability consequence: for purposes of Section 11.7 liability allocation, the failure is treated as evidence that the Vendor’s training pipeline was the proximate source of the Objective Integrity Violation. The burden then shifts to the Vendor to produce affirmative technical evidence to the contrary. This burden-shifting provision depends on governing law for its enforceability. Confirm enforceability in the applicable jurisdiction before execution. Where it is not enforceable, replace it with an equivalent mechanism before signing. For example, a contractual presumption of causation rebuttable only by Vendor-produced affirmative technical evidence documented as a named addendum to this section.</w:t>
      </w:r>
    </w:p>
    <w:p w14:paraId="287B38DF" w14:textId="44A13263" w:rsidR="00245204" w:rsidRPr="00D069A2" w:rsidRDefault="00000000" w:rsidP="00A05123">
      <w:pPr>
        <w:pStyle w:val="P0-Paragraph"/>
      </w:pPr>
      <w:r w:rsidRPr="00D069A2">
        <w:lastRenderedPageBreak/>
        <w:t>[Regulatory References: EU AI Act Art. 10 (Data and Data Governance), where applicable; Art. 12 (Record-Keeping) only to the extent the required records support applicable record-keeping obligations; EU Revised Product Liability Directive Art. 10 (Burden of Proof); NIST AI RMF Govern 6.1]</w:t>
      </w:r>
    </w:p>
    <w:p w14:paraId="1A418EB1" w14:textId="77777777" w:rsidR="00245204" w:rsidRPr="00D069A2" w:rsidRDefault="00000000" w:rsidP="005105A9">
      <w:pPr>
        <w:pStyle w:val="HS-Heading2"/>
      </w:pPr>
      <w:r w:rsidRPr="00D069A2">
        <w:t>Section 11.3 — Hardware-anchored identity and attestation</w:t>
      </w:r>
    </w:p>
    <w:p w14:paraId="600BE14F" w14:textId="77777777" w:rsidR="00245204" w:rsidRPr="00D069A2" w:rsidRDefault="00000000" w:rsidP="005105A9">
      <w:pPr>
        <w:pStyle w:val="HS-Heading3"/>
      </w:pPr>
      <w:r w:rsidRPr="00D069A2">
        <w:t>Cryptographic identity requirements</w:t>
      </w:r>
    </w:p>
    <w:p w14:paraId="42CF78B4" w14:textId="77777777" w:rsidR="00245204" w:rsidRPr="00D069A2" w:rsidRDefault="00000000" w:rsidP="00A05123">
      <w:pPr>
        <w:pStyle w:val="P0-Paragraph"/>
      </w:pPr>
      <w:r w:rsidRPr="00D069A2">
        <w:t xml:space="preserve">The Vendor shall </w:t>
      </w:r>
      <w:proofErr w:type="gramStart"/>
      <w:r w:rsidRPr="00D069A2">
        <w:t>provision</w:t>
      </w:r>
      <w:proofErr w:type="gramEnd"/>
      <w:r w:rsidRPr="00D069A2">
        <w:t xml:space="preserve"> each deployed Agentic System instance with a hardware-anchored cryptographic identity. The identity shall be implemented using a TPM 2.0 or equivalent hardware-backed root of trust. The hardware-backed identity shall uniquely identify the physical device or attesting entity and protect the attestation key used to authenticate its evidence. Software-stack, configuration, and model-artifact state are separate attestation claims, not components of the cryptographic identity. Where those claims are required, they must be explicitly measured and bound into evidence evaluated against the deployment-approved attestation measurement/reference profile. The cryptographic identity shall be:</w:t>
      </w:r>
    </w:p>
    <w:p w14:paraId="2C566589" w14:textId="168D3E17" w:rsidR="00245204" w:rsidRPr="00D069A2" w:rsidRDefault="005105A9" w:rsidP="005105A9">
      <w:pPr>
        <w:pStyle w:val="L1-Bullet"/>
      </w:pPr>
      <w:r>
        <w:rPr>
          <w:rFonts w:eastAsia="Cambria"/>
        </w:rPr>
        <w:t>B</w:t>
      </w:r>
      <w:r w:rsidR="00000000" w:rsidRPr="00D069A2">
        <w:rPr>
          <w:rFonts w:eastAsia="Cambria"/>
        </w:rPr>
        <w:t xml:space="preserve">ound to the physical device or approved hardware-backed attestation boundary using platform-native mechanisms that provide verifier-evaluable evidence of protected key origin, binding to the attesting device or environment, and resistance to unauthorized key migration or export. For TPM 2.0 implementations, the protected attestation key shall use the applicable </w:t>
      </w:r>
      <w:proofErr w:type="spellStart"/>
      <w:r w:rsidR="00000000" w:rsidRPr="00D069A2">
        <w:rPr>
          <w:rFonts w:eastAsia="Cambria"/>
        </w:rPr>
        <w:t>fixedTPM</w:t>
      </w:r>
      <w:proofErr w:type="spellEnd"/>
      <w:r w:rsidR="00000000" w:rsidRPr="00D069A2">
        <w:rPr>
          <w:rFonts w:eastAsia="Cambria"/>
        </w:rPr>
        <w:t xml:space="preserve">, </w:t>
      </w:r>
      <w:proofErr w:type="spellStart"/>
      <w:r w:rsidR="00000000" w:rsidRPr="00D069A2">
        <w:rPr>
          <w:rFonts w:eastAsia="Cambria"/>
        </w:rPr>
        <w:t>fixedParent</w:t>
      </w:r>
      <w:proofErr w:type="spellEnd"/>
      <w:r w:rsidR="00000000" w:rsidRPr="00D069A2">
        <w:rPr>
          <w:rFonts w:eastAsia="Cambria"/>
        </w:rPr>
        <w:t xml:space="preserve">, and </w:t>
      </w:r>
      <w:proofErr w:type="spellStart"/>
      <w:r w:rsidR="00000000" w:rsidRPr="00D069A2">
        <w:rPr>
          <w:rFonts w:eastAsia="Cambria"/>
        </w:rPr>
        <w:t>sensitiveDataOrigin</w:t>
      </w:r>
      <w:proofErr w:type="spellEnd"/>
      <w:r w:rsidR="00000000" w:rsidRPr="00D069A2">
        <w:rPr>
          <w:rFonts w:eastAsia="Cambria"/>
        </w:rPr>
        <w:t xml:space="preserve"> object attributes so that the key is generated within and remains bound to the approved TPM hierarchy. An approved non-TPM hardware-backed root of trust shall provide equivalent platform-native evidence establishing protected key origin, device or attestation-boundary binding, and non-exportability or equivalent protection against unauthorized extraction. The deployment-approved attestation measurement/reference profile shall identify the mechanism and evidence used to verify these properties.</w:t>
      </w:r>
    </w:p>
    <w:p w14:paraId="098211F0" w14:textId="15CBDE2E" w:rsidR="00245204" w:rsidRPr="00D069A2" w:rsidRDefault="005105A9" w:rsidP="005105A9">
      <w:pPr>
        <w:pStyle w:val="L1-Bullet"/>
      </w:pPr>
      <w:r>
        <w:t>V</w:t>
      </w:r>
      <w:r w:rsidR="00000000" w:rsidRPr="00D069A2">
        <w:t xml:space="preserve">erifiable by the Operator through an approved remote-attestation workflow, for example a SPIFFE/SPIRE node-attestation implementation using a TPM node attestor plugin, or a workflow aligned to the RATS architecture in RFC 9334 using an applicable attestation-evidence or token format such as Entity Attestation Token (EAT) under RFC 9711 where appropriate. Remote attestation confirms the platform-integrity claims </w:t>
      </w:r>
      <w:proofErr w:type="gramStart"/>
      <w:r w:rsidR="00000000" w:rsidRPr="00D069A2">
        <w:t>actually included</w:t>
      </w:r>
      <w:proofErr w:type="gramEnd"/>
      <w:r w:rsidR="00000000" w:rsidRPr="00D069A2">
        <w:t xml:space="preserve"> in the approved attestation evidence against the deployment’s approved measurement/reference profile and validates device identity through the attestation identity chain. TPM-based deployments may use approved PCR reference values as part of that profile. Remote attestation does not substitute for physical tamper inspection.</w:t>
      </w:r>
    </w:p>
    <w:p w14:paraId="5DF6DD82" w14:textId="1CB95D9A" w:rsidR="00245204" w:rsidRPr="00D069A2" w:rsidRDefault="005105A9" w:rsidP="005105A9">
      <w:pPr>
        <w:pStyle w:val="L1-Bullet"/>
      </w:pPr>
      <w:r>
        <w:rPr>
          <w:rFonts w:eastAsia="Cambria"/>
        </w:rPr>
        <w:t>R</w:t>
      </w:r>
      <w:r w:rsidR="00000000" w:rsidRPr="00D069A2">
        <w:rPr>
          <w:rFonts w:eastAsia="Cambria"/>
        </w:rPr>
        <w:t>otatable by the Operator upon detection of a compromise event without requiring Vendor involvement.</w:t>
      </w:r>
    </w:p>
    <w:p w14:paraId="629C9C57" w14:textId="77777777" w:rsidR="00245204" w:rsidRPr="00D069A2" w:rsidRDefault="00000000" w:rsidP="00A05123">
      <w:pPr>
        <w:pStyle w:val="P0-Paragraph"/>
      </w:pPr>
      <w:r w:rsidRPr="00D069A2">
        <w:t>[Regulatory References: EU AI Act Art. 15(5) (Cybersecurity); IEC 62443-3-3 SR 1.2 (Software Process and Device Identification and Authentication); NIST SP 800-53 Rev 5 IA-3, SC-17]</w:t>
      </w:r>
    </w:p>
    <w:p w14:paraId="2D26A6D3" w14:textId="77777777" w:rsidR="00245204" w:rsidRPr="00D069A2" w:rsidRDefault="00000000" w:rsidP="005105A9">
      <w:pPr>
        <w:pStyle w:val="HS-Heading3"/>
      </w:pPr>
      <w:r w:rsidRPr="00D069A2">
        <w:t>Continuous attestation</w:t>
      </w:r>
    </w:p>
    <w:p w14:paraId="3EDAB1BD" w14:textId="77777777" w:rsidR="00245204" w:rsidRPr="00D069A2" w:rsidRDefault="00000000" w:rsidP="00A05123">
      <w:pPr>
        <w:pStyle w:val="P0-Paragraph"/>
      </w:pPr>
      <w:r w:rsidRPr="00D069A2">
        <w:t xml:space="preserve">Initial hardware-backed identity does not by itself establish continuing integrity of software, configuration, or model state. Continuous attestation shall periodically obtain fresh signed evidence and evaluate the claims included in the approved attestation measurement/reference profile. Detection of model-artifact substitution, software modification, or configuration change requires the relevant state to be explicitly measured or </w:t>
      </w:r>
      <w:r w:rsidRPr="00D069A2">
        <w:lastRenderedPageBreak/>
        <w:t>otherwise bound into the attestation evidence. TPM/PCR measurements are one implementation pattern where they form part of the approved profile.</w:t>
      </w:r>
    </w:p>
    <w:p w14:paraId="66E16544" w14:textId="77777777" w:rsidR="00245204" w:rsidRPr="00D069A2" w:rsidRDefault="00000000" w:rsidP="00A05123">
      <w:pPr>
        <w:pStyle w:val="P0-Paragraph"/>
      </w:pPr>
      <w:r w:rsidRPr="00A05123">
        <w:rPr>
          <w:rFonts w:eastAsiaTheme="minorHAnsi"/>
        </w:rPr>
        <w:t xml:space="preserve">The Vendor shall configure the Agentic System to generate signed attestation reports on the following schedule: during active Physical Consequence Action execution, at intervals not exceeding </w:t>
      </w:r>
      <w:r w:rsidRPr="00D069A2">
        <w:rPr>
          <w:rFonts w:ascii="Consolas" w:eastAsia="Consolas" w:hAnsi="Consolas" w:cs="Consolas"/>
          <w:sz w:val="22"/>
          <w:szCs w:val="22"/>
        </w:rPr>
        <w:t>[DEFAULT: 1 hour];</w:t>
      </w:r>
      <w:r w:rsidRPr="00A05123">
        <w:rPr>
          <w:rFonts w:eastAsiaTheme="minorHAnsi"/>
        </w:rPr>
        <w:t xml:space="preserve"> during idle or standby periods, at intervals not exceeding </w:t>
      </w:r>
      <w:r w:rsidRPr="00D069A2">
        <w:rPr>
          <w:rFonts w:ascii="Consolas" w:eastAsia="Consolas" w:hAnsi="Consolas" w:cs="Consolas"/>
          <w:sz w:val="22"/>
          <w:szCs w:val="22"/>
        </w:rPr>
        <w:t>[DEFAULT: 24 hours]</w:t>
      </w:r>
      <w:r w:rsidRPr="00A05123">
        <w:rPr>
          <w:rFonts w:eastAsiaTheme="minorHAnsi"/>
        </w:rPr>
        <w:t xml:space="preserve">. Organizations </w:t>
      </w:r>
      <w:proofErr w:type="gramStart"/>
      <w:r w:rsidRPr="00A05123">
        <w:rPr>
          <w:rFonts w:eastAsiaTheme="minorHAnsi"/>
        </w:rPr>
        <w:t>whose</w:t>
      </w:r>
      <w:proofErr w:type="gramEnd"/>
      <w:r w:rsidRPr="00A05123">
        <w:rPr>
          <w:rFonts w:eastAsiaTheme="minorHAnsi"/>
        </w:rPr>
        <w:t xml:space="preserve"> current ASCR-01 assessment places the deployment in ASCR Prioritization Tier Critical or High should negotiate active-operation intervals below [DEFAULT: 15 minutes].</w:t>
      </w:r>
    </w:p>
    <w:p w14:paraId="6FF6D816" w14:textId="77777777" w:rsidR="00245204" w:rsidRPr="005105A9" w:rsidRDefault="00000000" w:rsidP="00A05123">
      <w:pPr>
        <w:pStyle w:val="P0-Paragraph"/>
      </w:pPr>
      <w:r w:rsidRPr="005105A9">
        <w:t>[Regulatory References: EU AI Act Art. 12, Art. 15(5); IEC 62443-3-3 SR 3.3 (Security Functionality Verification); NIST SP 800-53 Rev 5 SI-7, AU-10]</w:t>
      </w:r>
    </w:p>
    <w:p w14:paraId="6BCCC3E4" w14:textId="77777777" w:rsidR="00245204" w:rsidRPr="00D069A2" w:rsidRDefault="00000000" w:rsidP="005105A9">
      <w:pPr>
        <w:pStyle w:val="HS-Heading3"/>
      </w:pPr>
      <w:r w:rsidRPr="00D069A2">
        <w:t>Attestation failure response</w:t>
      </w:r>
    </w:p>
    <w:p w14:paraId="2984046E" w14:textId="77777777" w:rsidR="00245204" w:rsidRPr="00D069A2" w:rsidRDefault="00000000" w:rsidP="00A05123">
      <w:pPr>
        <w:pStyle w:val="P0-Paragraph"/>
      </w:pPr>
      <w:r w:rsidRPr="00A05123">
        <w:rPr>
          <w:rFonts w:eastAsiaTheme="minorHAnsi"/>
        </w:rPr>
        <w:t xml:space="preserve">If the Vendor’s Agentic System fails to generate a conforming attestation report within the interval specified in Section 11.3, the system shall automatically transition to Safe-State and notify the Operator’s security operations contact within </w:t>
      </w:r>
      <w:r w:rsidRPr="00D069A2">
        <w:rPr>
          <w:rFonts w:ascii="Consolas" w:eastAsia="Consolas" w:hAnsi="Consolas" w:cs="Consolas"/>
          <w:sz w:val="22"/>
          <w:szCs w:val="22"/>
        </w:rPr>
        <w:t>[DEFAULT: 15 minutes]</w:t>
      </w:r>
      <w:r w:rsidRPr="00A05123">
        <w:rPr>
          <w:rFonts w:eastAsiaTheme="minorHAnsi"/>
        </w:rPr>
        <w:t xml:space="preserve"> of the attestation failure. Attestation failure shall not be treated as a routine operational event. Each attestation failure shall be logged as a security event and included in the monthly security reporting required under Section 11.6.</w:t>
      </w:r>
    </w:p>
    <w:p w14:paraId="48AABA84" w14:textId="77777777" w:rsidR="00245204" w:rsidRPr="00D069A2" w:rsidRDefault="00000000" w:rsidP="00A05123">
      <w:pPr>
        <w:pStyle w:val="P0-Paragraph"/>
      </w:pPr>
      <w:r w:rsidRPr="00D069A2">
        <w:t>For purposes of Section 11.5, an Attestation Failure is the failure to generate or validate a conforming required attestation report and must be notified within [DEFAULT: 15 minutes] as required above. An Attestation Failure on a system executing Physical Consequence Actions is a Notification Tier 1 event. An Attestation Failure on a system not executing Physical Consequence Actions is a Notification Tier 2 event unless another Tier 1 trigger independently applies; the [DEFAULT: 15 minutes] specific notice period remains the controlling deadline because it is shorter than the general Tier 2 window. An Attestation Anomaly is an attestation-related condition that does not constitute an Attestation Failure and does not independently satisfy a Notification Tier 1 or Notification Tier 2 trigger.</w:t>
      </w:r>
    </w:p>
    <w:p w14:paraId="58C22987" w14:textId="77777777" w:rsidR="00245204" w:rsidRPr="005105A9" w:rsidRDefault="00000000" w:rsidP="00A05123">
      <w:pPr>
        <w:pStyle w:val="P0-Paragraph"/>
      </w:pPr>
      <w:r w:rsidRPr="005105A9">
        <w:t>[Regulatory References: IEC 62443-3-3 SR 6.2 (Continuous Monitoring); NIST SP 800-53 Rev 5 SI-7(1); NIST AI RMF Measure 2.4, Measure 2.7]</w:t>
      </w:r>
    </w:p>
    <w:p w14:paraId="2BBFF623" w14:textId="77777777" w:rsidR="00245204" w:rsidRPr="00D069A2" w:rsidRDefault="00000000" w:rsidP="005105A9">
      <w:pPr>
        <w:pStyle w:val="HS-Heading3"/>
      </w:pPr>
      <w:r w:rsidRPr="00D069A2">
        <w:t>Cloud-to-edge application-signing and cryptographic-transition obligations</w:t>
      </w:r>
    </w:p>
    <w:p w14:paraId="7E526B3C" w14:textId="77777777" w:rsidR="00245204" w:rsidRPr="00D069A2" w:rsidRDefault="00000000" w:rsidP="00A05123">
      <w:pPr>
        <w:pStyle w:val="P0-Paragraph"/>
      </w:pPr>
      <w:r w:rsidRPr="00D069A2">
        <w:t>Where a Vendor supplies or operates a cloud model-provisioning, model-update, context-aggregation, artifact-dispatch, or equivalent pipeline that participates in an ASCR-16 cloud-to-edge trust chain, the executed agreement shall require the Vendor to provide and maintain the application-signing-key metadata and supporting evidence necessary for the Operator's deployment-approved ASCR-16 application-key registry.</w:t>
      </w:r>
    </w:p>
    <w:p w14:paraId="3AE8EAC9" w14:textId="77777777" w:rsidR="00245204" w:rsidRPr="00D069A2" w:rsidRDefault="00000000" w:rsidP="00A05123">
      <w:pPr>
        <w:pStyle w:val="P0-Paragraph"/>
      </w:pPr>
      <w:r w:rsidRPr="00D069A2">
        <w:t xml:space="preserve">For every governed application-signing key, the Vendor shall provide the authenticated </w:t>
      </w:r>
      <w:proofErr w:type="spellStart"/>
      <w:r w:rsidRPr="00D069A2">
        <w:t>pipeline_svid</w:t>
      </w:r>
      <w:proofErr w:type="spellEnd"/>
      <w:r w:rsidRPr="00D069A2">
        <w:t xml:space="preserve"> or equivalent approved workload identity, </w:t>
      </w:r>
      <w:proofErr w:type="spellStart"/>
      <w:r w:rsidRPr="00D069A2">
        <w:t>key_id</w:t>
      </w:r>
      <w:proofErr w:type="spellEnd"/>
      <w:r w:rsidRPr="00D069A2">
        <w:t>, algorithm, public verification key or governed public-key reference, permitted signing purpose, activation time, retirement time, revocation status, and evidence necessary to establish the key's current authorization. The Vendor shall maintain the required binding between each application-signing key and the authorized pipeline workload identity.</w:t>
      </w:r>
    </w:p>
    <w:p w14:paraId="148402F4" w14:textId="77777777" w:rsidR="00245204" w:rsidRPr="00D069A2" w:rsidRDefault="00000000" w:rsidP="00A05123">
      <w:pPr>
        <w:pStyle w:val="P0-Paragraph"/>
      </w:pPr>
      <w:r w:rsidRPr="00D069A2">
        <w:t>SPIFFE trust-bundle validation authenticates the workload SVID. It does not itself register or authorize the separate application-signing key used for ASCR-16 lineage-token or boundary-envelope signatures. Key rotation, revocation, and verifier propagation shall be managed so that the current verifier state remains synchronized and retained ASCR-07 evidence remains verifiable for the applicable evidence-retention period.</w:t>
      </w:r>
    </w:p>
    <w:p w14:paraId="27720DA1" w14:textId="77777777" w:rsidR="00245204" w:rsidRPr="00D069A2" w:rsidRDefault="00000000" w:rsidP="00A05123">
      <w:pPr>
        <w:pStyle w:val="P0-Paragraph"/>
      </w:pPr>
      <w:r w:rsidRPr="00D069A2">
        <w:lastRenderedPageBreak/>
        <w:t xml:space="preserve">Before production use, the Operator shall approve the ASCR-16 cryptographic-transition profile governing the signature set accepted for the deployment. The profile shall state whether both the classical and post-quantum signatures are required or whether a governed transition state permits one policy-accepted valid signature. For a Vendor-supplied pipeline, the executed agreement shall incorporate or reference the approved profile. The Vendor </w:t>
      </w:r>
      <w:proofErr w:type="gramStart"/>
      <w:r w:rsidRPr="00D069A2">
        <w:t>shall</w:t>
      </w:r>
      <w:proofErr w:type="gramEnd"/>
      <w:r w:rsidRPr="00D069A2">
        <w:t xml:space="preserve"> not unilaterally change the required or accepted signature mode.</w:t>
      </w:r>
    </w:p>
    <w:p w14:paraId="5D819BCC" w14:textId="77777777" w:rsidR="00245204" w:rsidRPr="00D069A2" w:rsidRDefault="00000000" w:rsidP="00A05123">
      <w:pPr>
        <w:pStyle w:val="P0-Paragraph"/>
      </w:pPr>
      <w:r w:rsidRPr="00D069A2">
        <w:t>Planned changes to signing algorithms, application-signing keys, key-registration metadata, or cryptographic-transition state shall follow the applicable ASCR-10 authorized-change process and executed Vendor-notification obligations. Emergency changes shall follow the applicable ASCR-10 emergency-change path.</w:t>
      </w:r>
    </w:p>
    <w:p w14:paraId="5042D7CC" w14:textId="77777777" w:rsidR="00245204" w:rsidRPr="00D069A2" w:rsidRDefault="00000000" w:rsidP="00A05123">
      <w:pPr>
        <w:pStyle w:val="P0-Paragraph"/>
      </w:pPr>
      <w:r w:rsidRPr="00D069A2">
        <w:t>ASCR-16 remains authoritative for lineage-token and boundary-envelope field structure, canonicalization and signature-input rules, verification sequence, replay protection, application-key binding checks, attestation-profile logic, and fail-closed behavior. This Section establishes the Vendor delivery, lifecycle, notification, cooperation, and evidence obligations necessary to support those ASCR-16 controls.</w:t>
      </w:r>
    </w:p>
    <w:p w14:paraId="2F5D7C29" w14:textId="77777777" w:rsidR="00245204" w:rsidRPr="00D069A2" w:rsidRDefault="00000000" w:rsidP="005105A9">
      <w:pPr>
        <w:pStyle w:val="HS-Heading3"/>
      </w:pPr>
      <w:r w:rsidRPr="00D069A2">
        <w:t>Kinetic quarantine protocol (KQP) security-side enforcement and safety-handoff SLA</w:t>
      </w:r>
    </w:p>
    <w:p w14:paraId="3070FC93" w14:textId="77777777" w:rsidR="00245204" w:rsidRPr="00D069A2" w:rsidRDefault="00000000" w:rsidP="00A05123">
      <w:pPr>
        <w:pStyle w:val="P0-Paragraph"/>
      </w:pPr>
      <w:r w:rsidRPr="00D069A2">
        <w:rPr>
          <w:rFonts w:eastAsia="Cambria"/>
        </w:rPr>
        <w:t>Consider the following failure mode: A 6-axis robot arm may require 600ms to reach its nearest predefined mechanically safe configuration. The KQP trigger fires. The command authentication proxy delivers the quarantine instruction 800ms later. The arm has already moved. The proxy failed to function as an effective kinetic-containment control because the containment latency exceeded the asset’s commissioned physical-response window. For Vendor-supplied command authentication proxies implementing the KQP as specified in ASCR-04 Section 3.6, the following hardware performance obligations establish the measurement floor that separates a proxy capable of timely KQP containment initiation from one that merely records that containment was requested. These obligations are in addition to the attestation obligations in Section 11.3. They govern the physical-response performance of the security-layer KQP mechanism during a KQP execution sequence, specifically whether the proxy can initiate the governed containment response within the commissioned response budget, not whether the proxy constitutes a certified or otherwise independent safety function. The applicable deployment-approved safety/control function remains independent and takes precedence where required by the deployment’s hazard and risk analysis.</w:t>
      </w:r>
    </w:p>
    <w:p w14:paraId="79965868" w14:textId="77777777" w:rsidR="00245204" w:rsidRPr="00D069A2" w:rsidRDefault="00000000" w:rsidP="00A05123">
      <w:pPr>
        <w:pStyle w:val="P0-Paragraph"/>
      </w:pPr>
      <w:r w:rsidRPr="00D069A2">
        <w:t>The KQP Security-Side Enforcement and Safety-Handoff SLA is organized into four operational requirement groups:</w:t>
      </w:r>
    </w:p>
    <w:p w14:paraId="17CA9927" w14:textId="77777777" w:rsidR="00245204" w:rsidRPr="00D069A2" w:rsidRDefault="00000000" w:rsidP="005105A9">
      <w:pPr>
        <w:pStyle w:val="L1-Bullet"/>
      </w:pPr>
      <w:r w:rsidRPr="00D069A2">
        <w:t>Operational measurement and threshold validation</w:t>
      </w:r>
    </w:p>
    <w:p w14:paraId="52621AF3" w14:textId="77777777" w:rsidR="00245204" w:rsidRPr="00D069A2" w:rsidRDefault="00000000" w:rsidP="005105A9">
      <w:pPr>
        <w:pStyle w:val="L1-Bullet"/>
      </w:pPr>
      <w:r w:rsidRPr="00D069A2">
        <w:t>Physical-response requirements</w:t>
      </w:r>
    </w:p>
    <w:p w14:paraId="18B0B572" w14:textId="77777777" w:rsidR="00245204" w:rsidRPr="00D069A2" w:rsidRDefault="00000000" w:rsidP="005105A9">
      <w:pPr>
        <w:pStyle w:val="L1-Bullet"/>
      </w:pPr>
      <w:r w:rsidRPr="00D069A2">
        <w:t>Lifecycle and credential-management requirements</w:t>
      </w:r>
    </w:p>
    <w:p w14:paraId="4E2D8FBC" w14:textId="77777777" w:rsidR="00245204" w:rsidRPr="00D069A2" w:rsidRDefault="00000000" w:rsidP="005105A9">
      <w:pPr>
        <w:pStyle w:val="L1-Bullet"/>
      </w:pPr>
      <w:r w:rsidRPr="00D069A2">
        <w:t>Enforcement and remediation requirements</w:t>
      </w:r>
    </w:p>
    <w:p w14:paraId="44EFF76A" w14:textId="77777777" w:rsidR="00245204" w:rsidRPr="00D069A2" w:rsidRDefault="00000000" w:rsidP="00A05123">
      <w:pPr>
        <w:pStyle w:val="P0-Paragraph"/>
      </w:pPr>
      <w:r w:rsidRPr="00D069A2">
        <w:rPr>
          <w:rFonts w:eastAsia="Cambria"/>
        </w:rPr>
        <w:t>Each requirement group establishes whether the proxy can initiate the governed security-side containment response within the declared deployment conditions.</w:t>
      </w:r>
    </w:p>
    <w:p w14:paraId="44F3685C" w14:textId="77777777" w:rsidR="00245204" w:rsidRPr="00D069A2" w:rsidRDefault="00000000" w:rsidP="00A05123">
      <w:pPr>
        <w:pStyle w:val="P0-Paragraph"/>
      </w:pPr>
      <w:r w:rsidRPr="00D069A2">
        <w:t>The numbered subsections 11.3.1 through 11.3.4 below apply specifically to the KQP Security-Side Enforcement and Safety-Handoff SLA. The preceding Section 11.3 hardware-identity, attestation, and cloud-to-edge obligations remain separate obligations within Section 11.3.</w:t>
      </w:r>
    </w:p>
    <w:p w14:paraId="48F77CDE" w14:textId="77777777" w:rsidR="00245204" w:rsidRPr="00D069A2" w:rsidRDefault="00000000" w:rsidP="005105A9">
      <w:pPr>
        <w:pStyle w:val="HS-Heading3"/>
      </w:pPr>
      <w:r w:rsidRPr="00D069A2">
        <w:lastRenderedPageBreak/>
        <w:t>11.3.1 — Operational measurement and threshold validation</w:t>
      </w:r>
    </w:p>
    <w:p w14:paraId="597E3C9E" w14:textId="77777777" w:rsidR="00245204" w:rsidRPr="00D069A2" w:rsidRDefault="00000000" w:rsidP="005105A9">
      <w:pPr>
        <w:pStyle w:val="HS-Heading4"/>
      </w:pPr>
      <w:r w:rsidRPr="00D069A2">
        <w:t>11.3.1.1 — Time-to-kinetic-quarantine (TKQ) capability</w:t>
      </w:r>
    </w:p>
    <w:p w14:paraId="5AE86FC9" w14:textId="77777777" w:rsidR="00245204" w:rsidRPr="00D069A2" w:rsidRDefault="00000000" w:rsidP="00A05123">
      <w:pPr>
        <w:pStyle w:val="P0-Paragraph"/>
      </w:pPr>
      <w:r w:rsidRPr="00D069A2">
        <w:rPr>
          <w:rFonts w:eastAsia="Cambria"/>
        </w:rPr>
        <w:t>The proxy hardware shall satisfy the TKQ thresholds defined in ASCR-04 Section 3.6 for every governed asset class. Laboratory measurement data demonstrating compliance shall be provided to the Operator.</w:t>
      </w:r>
    </w:p>
    <w:p w14:paraId="22154B90" w14:textId="77777777" w:rsidR="00245204" w:rsidRPr="00D069A2" w:rsidRDefault="00000000" w:rsidP="00A05123">
      <w:pPr>
        <w:pStyle w:val="P0-Paragraph"/>
      </w:pPr>
      <w:r w:rsidRPr="00D069A2">
        <w:rPr>
          <w:rFonts w:eastAsia="Cambria"/>
        </w:rPr>
        <w:t xml:space="preserve">Testing shall </w:t>
      </w:r>
      <w:proofErr w:type="gramStart"/>
      <w:r w:rsidRPr="00D069A2">
        <w:rPr>
          <w:rFonts w:eastAsia="Cambria"/>
        </w:rPr>
        <w:t>execute</w:t>
      </w:r>
      <w:proofErr w:type="gramEnd"/>
      <w:r w:rsidRPr="00D069A2">
        <w:rPr>
          <w:rFonts w:eastAsia="Cambria"/>
        </w:rPr>
        <w:t xml:space="preserve"> under all three conditions simultaneously. Measurements collected under partial conditions do not satisfy this obligation:</w:t>
      </w:r>
    </w:p>
    <w:p w14:paraId="2600891D" w14:textId="39B90A1E" w:rsidR="00245204" w:rsidRPr="00D069A2" w:rsidRDefault="005105A9" w:rsidP="005105A9">
      <w:pPr>
        <w:pStyle w:val="L1-Bullet"/>
      </w:pPr>
      <w:r w:rsidRPr="00D069A2">
        <w:rPr>
          <w:rFonts w:eastAsia="Cambria"/>
        </w:rPr>
        <w:t>Nominal operating temperature range for the declared deployment environment</w:t>
      </w:r>
    </w:p>
    <w:p w14:paraId="7D98E10B" w14:textId="657C357F" w:rsidR="00245204" w:rsidRPr="00D069A2" w:rsidRDefault="005105A9" w:rsidP="005105A9">
      <w:pPr>
        <w:pStyle w:val="L1-Bullet"/>
      </w:pPr>
      <w:r w:rsidRPr="00D069A2">
        <w:rPr>
          <w:rFonts w:eastAsia="Cambria"/>
        </w:rPr>
        <w:t>Maximum rated command queue depth at trigger time</w:t>
      </w:r>
    </w:p>
    <w:p w14:paraId="6CFE5615" w14:textId="77777777" w:rsidR="00245204" w:rsidRPr="00D069A2" w:rsidRDefault="00000000" w:rsidP="005105A9">
      <w:pPr>
        <w:pStyle w:val="L1-Bullet"/>
      </w:pPr>
      <w:r w:rsidRPr="00D069A2">
        <w:t>P99 network-latency stress condition between proxy and asset, defined as the 99th percentile round-trip time over the asset’s native control protocol</w:t>
      </w:r>
    </w:p>
    <w:p w14:paraId="743963D4" w14:textId="77777777" w:rsidR="00245204" w:rsidRPr="00D069A2" w:rsidRDefault="00000000" w:rsidP="00A05123">
      <w:pPr>
        <w:pStyle w:val="P0-Paragraph"/>
      </w:pPr>
      <w:r w:rsidRPr="00D069A2">
        <w:t>This P99 stress condition is an operational validation condition and shall not be represented as a deterministic worst-case latency bound.</w:t>
      </w:r>
    </w:p>
    <w:p w14:paraId="58B7B420" w14:textId="77777777" w:rsidR="00245204" w:rsidRPr="00D069A2" w:rsidRDefault="00000000" w:rsidP="00A05123">
      <w:pPr>
        <w:pStyle w:val="P0-Paragraph"/>
      </w:pPr>
      <w:r w:rsidRPr="00D069A2">
        <w:rPr>
          <w:rFonts w:eastAsia="Cambria"/>
        </w:rPr>
        <w:t xml:space="preserve">TKQ measurements collected under these conditions shall satisfy the deployment-approved P99.9 TKQ threshold recorded for the applicable asset class under ASCR-04 Section 3.6.5 and the ASCR-04 OE01 KQP TKQ Thresholds sheet. Deployments classified as High or Critical physical consequence under ASCR-10 Section 2.3 using the ASCR-10 OE01 Classification </w:t>
      </w:r>
      <w:proofErr w:type="gramStart"/>
      <w:r w:rsidRPr="00D069A2">
        <w:rPr>
          <w:rFonts w:eastAsia="Cambria"/>
        </w:rPr>
        <w:t>Matrix shall</w:t>
      </w:r>
      <w:proofErr w:type="gramEnd"/>
      <w:r w:rsidRPr="00D069A2">
        <w:rPr>
          <w:rFonts w:eastAsia="Cambria"/>
        </w:rPr>
        <w:t xml:space="preserve"> additionally satisfy the applicable deployment-approved P99.99 TKQ threshold. Where the deployed transport architecture lacks deterministic timing guarantees, P99.99 TKQ performance cannot be demonstrated through transport-layer measurement alone. In these deployments, the parties shall document compensating safety controls before production authorization. TKQ remains measured end to end, from trigger detection (KQP Phase 1 start) as defined in ASCR-04 Section 3.6 to confirmation of physical Safe-State at the asset's physical-response confirmation layer. To account for transport non-determinism, each measured TKQ trial value shall be increased by the transport-jitter allowance before comparison with the approved threshold; the allowance shall never be added to, or otherwise relax, the threshold itself. The transport-jitter allowance is the P99.99 transport jitter, or a higher percentile if specified in the statistical validation plan, measured over a baseline period of not less than [DEFAULT: 72 hours]; where the baseline population cannot support that percentile, the maximum observed jitter over the baseline shall be used. The P99.99 obligation is not waived by non-deterministic transport. These measurements support operational validation and observability. They do not replace formal functional safety analysis, worst-case execution-time verification, or deterministic control-system validation.</w:t>
      </w:r>
    </w:p>
    <w:p w14:paraId="1A86100F" w14:textId="77777777" w:rsidR="00245204" w:rsidRPr="00D069A2" w:rsidRDefault="00000000" w:rsidP="00A05123">
      <w:pPr>
        <w:pStyle w:val="P0-Paragraph"/>
      </w:pPr>
      <w:r w:rsidRPr="00D069A2">
        <w:t>Before validation begins, the parties shall approve a statistical validation plan for each governed asset class specifying the number of trials, independence assumptions, confidence method, treatment of failed trials, and acceptance criterion used to support the claimed percentile. A percentile label alone does not establish sufficient statistical evidence. Where a zero-exceedance binomial demonstration is used, the selected sample size and one-sided confidence level shall be stated explicitly in the validation record. Raw per-trial results shall be retained and delivered to the Operator on request.</w:t>
      </w:r>
    </w:p>
    <w:p w14:paraId="2422E086" w14:textId="77777777" w:rsidR="00245204" w:rsidRPr="00D069A2" w:rsidRDefault="00000000" w:rsidP="00A05123">
      <w:pPr>
        <w:pStyle w:val="P0-Paragraph"/>
      </w:pPr>
      <w:r w:rsidRPr="00D069A2">
        <w:rPr>
          <w:rFonts w:eastAsia="Cambria"/>
        </w:rPr>
        <w:t>Lower-percentile latency measurements are insufficient for high-frequency physical actuation systems because even low exceedance rates can become operationally significant at industrial execution volumes. Failure to satisfy the applicable threshold for any declared asset class constitutes a Tier 1 notification event under Section 11.5.</w:t>
      </w:r>
    </w:p>
    <w:p w14:paraId="690C3CAF" w14:textId="77777777" w:rsidR="00245204" w:rsidRPr="00D069A2" w:rsidRDefault="00000000" w:rsidP="005105A9">
      <w:pPr>
        <w:pStyle w:val="HS-Heading3"/>
      </w:pPr>
      <w:r w:rsidRPr="00D069A2">
        <w:lastRenderedPageBreak/>
        <w:t>11.3.2 — Physical response requirements</w:t>
      </w:r>
    </w:p>
    <w:p w14:paraId="1580F4C5" w14:textId="77777777" w:rsidR="00245204" w:rsidRPr="00D069A2" w:rsidRDefault="00000000" w:rsidP="005105A9">
      <w:pPr>
        <w:pStyle w:val="HS-Heading4"/>
      </w:pPr>
      <w:r w:rsidRPr="00D069A2">
        <w:t>11.3.2.1 — Tamper-triggered safety/control handoff response time</w:t>
      </w:r>
    </w:p>
    <w:p w14:paraId="0F3AF253" w14:textId="77777777" w:rsidR="00245204" w:rsidRPr="00D069A2" w:rsidRDefault="00000000" w:rsidP="00A05123">
      <w:pPr>
        <w:pStyle w:val="P0-Paragraph"/>
      </w:pPr>
      <w:r w:rsidRPr="00D069A2">
        <w:rPr>
          <w:rFonts w:eastAsia="Cambria"/>
        </w:rPr>
        <w:t>Where enclosure tamper, physical bypass, proxy power loss, communication loss, or another governed condition is required to demand an independent safety response, the deployment shall define the approved safety/control interface and the maximum demand-to-acceptance latency supported by the validated hazard and safety/control analysis. The proxy shall assert the demand or handoff within that approved limit and shall record the applicable acceptance/confirmation signal. Physical Safe-State must be confirmed independently using the deployment-approved confirmation source.</w:t>
      </w:r>
    </w:p>
    <w:p w14:paraId="636F1BF0" w14:textId="77777777" w:rsidR="00245204" w:rsidRPr="00D069A2" w:rsidRDefault="00000000" w:rsidP="00A05123">
      <w:pPr>
        <w:pStyle w:val="P0-Paragraph"/>
      </w:pPr>
      <w:r w:rsidRPr="00D069A2">
        <w:t xml:space="preserve">A ≤50 </w:t>
      </w:r>
      <w:proofErr w:type="spellStart"/>
      <w:r w:rsidRPr="00D069A2">
        <w:t>ms</w:t>
      </w:r>
      <w:proofErr w:type="spellEnd"/>
      <w:r w:rsidRPr="00D069A2">
        <w:t xml:space="preserve"> target may be used only </w:t>
      </w:r>
      <w:proofErr w:type="gramStart"/>
      <w:r w:rsidRPr="00D069A2">
        <w:t>where</w:t>
      </w:r>
      <w:proofErr w:type="gramEnd"/>
      <w:r w:rsidRPr="00D069A2">
        <w:t xml:space="preserve"> supported by the deployment's validated hazard analysis and commissioned safety-engineering basis. It is not a universal KQP requirement. Where another maximum response time is required, that deployment-specific value governs. Record the applicable safety/control function, measurement points, validated reaction/stopping-time basis, and required safety margin. No ASCR formula based solely on travel-to-safe-park time substitutes for the deployment's safety-engineering determination.</w:t>
      </w:r>
    </w:p>
    <w:p w14:paraId="388FB276" w14:textId="77777777" w:rsidR="00245204" w:rsidRPr="00D069A2" w:rsidRDefault="00000000" w:rsidP="00A05123">
      <w:pPr>
        <w:pStyle w:val="P0-Paragraph"/>
      </w:pPr>
      <w:r w:rsidRPr="00D069A2">
        <w:rPr>
          <w:rFonts w:eastAsia="Cambria"/>
        </w:rPr>
        <w:t xml:space="preserve">The Vendor </w:t>
      </w:r>
      <w:proofErr w:type="gramStart"/>
      <w:r w:rsidRPr="00D069A2">
        <w:rPr>
          <w:rFonts w:eastAsia="Cambria"/>
        </w:rPr>
        <w:t>shall</w:t>
      </w:r>
      <w:proofErr w:type="gramEnd"/>
      <w:r w:rsidRPr="00D069A2">
        <w:rPr>
          <w:rFonts w:eastAsia="Cambria"/>
        </w:rPr>
        <w:t xml:space="preserve"> provide third-party test evidence confirming response-time performance across the declared operating temperature range. Vendor self-reported measurements alone do not satisfy this obligation. Response times exceeding the applicable threshold constitute a Tier 1 notification event.</w:t>
      </w:r>
    </w:p>
    <w:p w14:paraId="7BBE1E66" w14:textId="77777777" w:rsidR="00245204" w:rsidRPr="00D069A2" w:rsidRDefault="00000000" w:rsidP="005105A9">
      <w:pPr>
        <w:pStyle w:val="HS-Heading4"/>
        <w:rPr>
          <w:rFonts w:ascii="Cambria" w:eastAsia="Cambria" w:hAnsi="Cambria" w:cs="Cambria"/>
        </w:rPr>
      </w:pPr>
      <w:r w:rsidRPr="00D069A2">
        <w:t>11.3.2.2 — Safe-state command delivery latency requirement</w:t>
      </w:r>
    </w:p>
    <w:p w14:paraId="47A11E79" w14:textId="77777777" w:rsidR="00245204" w:rsidRPr="00D069A2" w:rsidRDefault="00000000" w:rsidP="00A05123">
      <w:pPr>
        <w:pStyle w:val="P0-Paragraph"/>
      </w:pPr>
      <w:r w:rsidRPr="00D069A2">
        <w:t xml:space="preserve">The proxy shall deliver the pre-authorized safe-state command to the asset’s native protocol interface within the lesser of: (a) [DEFAULT: ≤ 200 milliseconds] from KQP Phase 1 completion; or (b) the deployment-specific Phase 2 initiation budget established during commissioning for the affected asset or authority zone. Where multiple assets are affected, the most restrictive applicable validated Phase 2 initiation budget governs. That budget shall be derived from the limiting hazard, the commissioned physical-response and safety-engineering basis, and the deployment-approved independent safety/control function where applicable. The applicable budget shall be documented before production authorization. This Phase 2 initiation latency is separate from TKQ, which measures total elapsed time to </w:t>
      </w:r>
      <w:proofErr w:type="gramStart"/>
      <w:r w:rsidRPr="00D069A2">
        <w:t>confirmed</w:t>
      </w:r>
      <w:proofErr w:type="gramEnd"/>
      <w:r w:rsidRPr="00D069A2">
        <w:t xml:space="preserve"> physical Safe-State achievement.</w:t>
      </w:r>
    </w:p>
    <w:p w14:paraId="0B1AE5B2" w14:textId="77777777" w:rsidR="00245204" w:rsidRPr="00D069A2" w:rsidRDefault="00000000" w:rsidP="00A05123">
      <w:pPr>
        <w:pStyle w:val="P0-Paragraph"/>
      </w:pPr>
      <w:r w:rsidRPr="00D069A2">
        <w:t>Delivery latency shall be measured from the proxy’s recorded KQP Phase 1 completion event to acceptance of the safe-state command at the asset’s native protocol interface. Where technically practicable, both measurement points shall use the same monotonic timing source.</w:t>
      </w:r>
    </w:p>
    <w:p w14:paraId="21EA9A0F" w14:textId="77777777" w:rsidR="00245204" w:rsidRPr="00D069A2" w:rsidRDefault="00000000" w:rsidP="00A05123">
      <w:pPr>
        <w:pStyle w:val="P0-Paragraph"/>
      </w:pPr>
      <w:r w:rsidRPr="00D069A2">
        <w:rPr>
          <w:rFonts w:eastAsia="Cambria"/>
        </w:rPr>
        <w:t>The Vendor shall document protocol-specific delivery latency for every supported asset class in the product specification delivered with the AI-BOM at initial deployment under Section 11.2.</w:t>
      </w:r>
    </w:p>
    <w:p w14:paraId="4024F45C" w14:textId="77777777" w:rsidR="00245204" w:rsidRPr="00D069A2" w:rsidRDefault="00000000" w:rsidP="005105A9">
      <w:pPr>
        <w:pStyle w:val="HS-Heading3"/>
      </w:pPr>
      <w:r w:rsidRPr="00D069A2">
        <w:t>11.3.3 — Lifecycle and credential management requirements</w:t>
      </w:r>
    </w:p>
    <w:p w14:paraId="64BF4F20" w14:textId="77777777" w:rsidR="00245204" w:rsidRPr="00D069A2" w:rsidRDefault="00000000" w:rsidP="005105A9">
      <w:pPr>
        <w:pStyle w:val="HS-Heading4"/>
      </w:pPr>
      <w:r w:rsidRPr="00D069A2">
        <w:t>11.3.3.1 — Firmware update notification</w:t>
      </w:r>
    </w:p>
    <w:p w14:paraId="1A4B796F" w14:textId="77777777" w:rsidR="00245204" w:rsidRPr="00D069A2" w:rsidRDefault="00000000" w:rsidP="00A05123">
      <w:pPr>
        <w:pStyle w:val="P0-Paragraph"/>
      </w:pPr>
      <w:r w:rsidRPr="00D069A2">
        <w:rPr>
          <w:rFonts w:eastAsia="Cambria"/>
        </w:rPr>
        <w:t xml:space="preserve">Any firmware update to the proxy that changes the approved attestation measurement/reference profile shall be notified to the Operator at minimum [DEFAULT: 14 calendar days] before deployment. Examples include a change that alters TPM PCR measurements or otherwise changes measurements, reference values, or evidence evaluated by the deployment’s approved attestation verifier. This window allows ASCR-10 authorized update of the approved attestation measurement/reference profile and the applicable attestation-verifier or node-attestation configuration before the firmware change is applied. An unnotified firmware update that causes deviation from the approved attestation measurement/reference profile triggers a K-1 KQP event on the next </w:t>
      </w:r>
      <w:r w:rsidRPr="00D069A2">
        <w:rPr>
          <w:rFonts w:eastAsia="Cambria"/>
        </w:rPr>
        <w:lastRenderedPageBreak/>
        <w:t>continuous attestation cycle. Failure to provide the required advance notice is a Tier 2 notification event under Section 11.5.</w:t>
      </w:r>
    </w:p>
    <w:p w14:paraId="5C7E65FF" w14:textId="77777777" w:rsidR="00245204" w:rsidRPr="00D069A2" w:rsidRDefault="00000000" w:rsidP="005105A9">
      <w:pPr>
        <w:pStyle w:val="HS-Heading4"/>
      </w:pPr>
      <w:r w:rsidRPr="00D069A2">
        <w:t>11.3.3.2 — Spurious K-2 trigger rate</w:t>
      </w:r>
    </w:p>
    <w:p w14:paraId="781BDD32" w14:textId="77777777" w:rsidR="00245204" w:rsidRPr="00D069A2" w:rsidRDefault="00000000" w:rsidP="00A05123">
      <w:pPr>
        <w:pStyle w:val="P0-Paragraph"/>
      </w:pPr>
      <w:r w:rsidRPr="00D069A2">
        <w:rPr>
          <w:rFonts w:eastAsia="Cambria"/>
        </w:rPr>
        <w:t>For deployments where the Vendor supplies or operates SPIRE Server infrastructure, the Vendor shall maintain SVID rotation latency performance that keeps spurious K-2 KQP trigger probability below [DEFAULT: 0.1%] of rotation events over any 30-day measurement window. A spurious K-2 trigger is a K-2 KQP activation caused by credential-rotation timing rather than by compromise, revocation, attestation failure, or another genuine workload-identity or trust failure. The most common cause is delayed SPIRE Server SVID delivery: the previously valid workload SVID expires before its replacement has been propagated to and accepted by the dependent validation services, so the proxy detects the absence of a valid workload identity credential.</w:t>
      </w:r>
    </w:p>
    <w:p w14:paraId="6001C724" w14:textId="77777777" w:rsidR="00245204" w:rsidRPr="00D069A2" w:rsidRDefault="00000000" w:rsidP="00A05123">
      <w:pPr>
        <w:pStyle w:val="P0-Paragraph"/>
      </w:pPr>
      <w:r w:rsidRPr="00D069A2">
        <w:t xml:space="preserve">The agreed spurious-trigger rate shall be evaluated </w:t>
      </w:r>
      <w:proofErr w:type="gramStart"/>
      <w:r w:rsidRPr="00D069A2">
        <w:t>over</w:t>
      </w:r>
      <w:proofErr w:type="gramEnd"/>
      <w:r w:rsidRPr="00D069A2">
        <w:t xml:space="preserve"> not fewer than [MINIMUM ROTATION EVENTS] SVID rotation events. If a 30-day window contains fewer than the required number of rotation events, the observations shall be carried forward until the minimum population is reached. The authoritative data source is the applicable SPIRE Server and SPIRE Agent audit telemetry, and the Vendor shall retain the underlying rotation and trigger records for Operator </w:t>
      </w:r>
      <w:proofErr w:type="spellStart"/>
      <w:r w:rsidRPr="00D069A2">
        <w:t>recomputation</w:t>
      </w:r>
      <w:proofErr w:type="spellEnd"/>
      <w:r w:rsidRPr="00D069A2">
        <w:t>.</w:t>
      </w:r>
    </w:p>
    <w:p w14:paraId="3F419335" w14:textId="77777777" w:rsidR="00245204" w:rsidRPr="00D069A2" w:rsidRDefault="00000000" w:rsidP="00A05123">
      <w:pPr>
        <w:pStyle w:val="P0-Paragraph"/>
      </w:pPr>
      <w:r w:rsidRPr="00D069A2">
        <w:t>Before production authorization, the parties shall establish [MINIMUM ROTATION EVENTS] through a documented statistical validation method appropriate to the agreed spurious-trigger objective. The method shall state the target event rate, one-sided confidence level or other acceptance criterion, assumptions regarding observation independence, treatment of observed spurious events, and the resulting minimum observation population. Where a zero-event binomial demonstration is used, the minimum population shall be calculated from the agreed target event rate and confidence level rather than selected arbitrarily. The approved value and method shall be recorded in the deployment configuration record and validated through the applicable ASCR-10 process.</w:t>
      </w:r>
    </w:p>
    <w:p w14:paraId="51B93E01" w14:textId="77777777" w:rsidR="00245204" w:rsidRPr="00D069A2" w:rsidRDefault="00000000" w:rsidP="00A05123">
      <w:pPr>
        <w:pStyle w:val="P0-Paragraph"/>
      </w:pPr>
      <w:r w:rsidRPr="00D069A2">
        <w:t>For measurement purposes, a spurious K-2 condition exists when the workload SVID that was valid at the start of the rotation window expires before a replacement credential has been issued, propagated, and become observable to every dependent validation service required for continued authorization, and no compromise, revocation, attestation failure, or other genuine identity or trust failure is recorded for that workload in the same window.</w:t>
      </w:r>
    </w:p>
    <w:p w14:paraId="4A8C9FD4" w14:textId="77777777" w:rsidR="00245204" w:rsidRPr="00D069A2" w:rsidRDefault="00000000" w:rsidP="005105A9">
      <w:pPr>
        <w:pStyle w:val="L1-Bullet"/>
      </w:pPr>
      <w:r w:rsidRPr="00D069A2">
        <w:t>Before production authorization, measure the end-to-end rotation path from rotation initiation through confirmed acceptance by the dependent validation services. Set `SVID-ROTATION-BUFFER-SECONDS` greater than the deployment-approved high-percentile end-to-end rotation latency plus the approved safety margin, while maintaining `0 &lt; SVID-ROTATION-BUFFER-SECONDS &lt; SVID-LIFETIME`. These are the canonical ASCR-04 OE01 Deployment Parameters for the SVID rotation availability buffer and deployment-approved SVID lifetime, respectively. Deployment implementations may map them to local configuration names, but the ASCR evidence record shall retain the canonical identifiers.</w:t>
      </w:r>
    </w:p>
    <w:p w14:paraId="0FDC5E56" w14:textId="77777777" w:rsidR="00245204" w:rsidRPr="00D069A2" w:rsidRDefault="00000000" w:rsidP="005105A9">
      <w:pPr>
        <w:pStyle w:val="L1-Bullet"/>
      </w:pPr>
      <w:r w:rsidRPr="00D069A2">
        <w:t>Do not derive this buffer from a SPIRE configuration interval unless deployment testing for the deployed SPIRE version and configuration establishes that the parameter is the controlling credential-availability interval. Record the measurement points, percentile/statistical method, observed end-to-end latency, safety margin, `SVID-LIFETIME`, and resulting `SVID-ROTATION-BUFFER-SECONDS` in the deployment configuration record.</w:t>
      </w:r>
    </w:p>
    <w:p w14:paraId="141BC650" w14:textId="77777777" w:rsidR="00245204" w:rsidRPr="00D069A2" w:rsidRDefault="00000000" w:rsidP="005105A9">
      <w:pPr>
        <w:pStyle w:val="L1-Bullet"/>
      </w:pPr>
      <w:r w:rsidRPr="00D069A2">
        <w:lastRenderedPageBreak/>
        <w:t>Revalidate the rotation buffer whenever the SPIRE version, topology, `SVID-LIFETIME`, issuance path, network path, dependent validation services, or other material rotation-path condition changes. Breach of the agreed spurious-trigger rate constitutes a Tier 2 notification event and triggers re-execution of the ASCR-09-KQ-02 technical execution block.</w:t>
      </w:r>
    </w:p>
    <w:p w14:paraId="08939FF7" w14:textId="77777777" w:rsidR="00245204" w:rsidRPr="00D069A2" w:rsidRDefault="00000000" w:rsidP="005105A9">
      <w:pPr>
        <w:pStyle w:val="HS-Heading3"/>
      </w:pPr>
      <w:r w:rsidRPr="00D069A2">
        <w:t>11.3.4 — Enforcement and remediation requirements</w:t>
      </w:r>
    </w:p>
    <w:p w14:paraId="226C8359" w14:textId="77777777" w:rsidR="00245204" w:rsidRPr="00D069A2" w:rsidRDefault="00000000" w:rsidP="005105A9">
      <w:pPr>
        <w:pStyle w:val="HS-Heading4"/>
      </w:pPr>
      <w:r w:rsidRPr="00D069A2">
        <w:t>11.3.4.1 — SLA breach response</w:t>
      </w:r>
    </w:p>
    <w:p w14:paraId="37F7C526" w14:textId="77777777" w:rsidR="00245204" w:rsidRPr="00D069A2" w:rsidRDefault="00000000" w:rsidP="00A05123">
      <w:pPr>
        <w:pStyle w:val="P0-Paragraph"/>
      </w:pPr>
      <w:r w:rsidRPr="00D069A2">
        <w:t>A TKQ capability breach identified during ASCR-10 shadow mode commissioning or ASCR-09-KQ-01 technical execution validation requires supplier remediation before the proxy is admitted to production operation. A breach of the deployment-approved tamper-triggered safety/control handoff requirement requires immediate investigation and removal from the affected enforcement path where the required response cannot be relied upon. Remediation must validate the configured demand interface, acceptance/confirmation signal, applicable physical Safe-State confirmation source, and the response-time basis established for the deployment.</w:t>
      </w:r>
    </w:p>
    <w:p w14:paraId="09D23F60" w14:textId="3AE91DA9" w:rsidR="00245204" w:rsidRPr="00D069A2" w:rsidRDefault="00000000" w:rsidP="00A05123">
      <w:pPr>
        <w:pStyle w:val="P0-Paragraph"/>
      </w:pPr>
      <w:r w:rsidRPr="00D069A2">
        <w:lastRenderedPageBreak/>
        <w:t xml:space="preserve">[Regulatory References: IEC 62443-3-3 SR 3.6 (Deterministic Output — applies to fail-to-predetermined-state behavior); IEC 62443-3-3 SR 3.1 (Communication Integrity — applies to command authentication proxy communications); IEC 62443-3-3 SR 6.2 (Continuous Monitoring — applies to tamper-detection circuit); IEC 62061 (functional-safety requirements for machinery safety-related control systems using the applicable SIL-oriented methodology, where applicable); ISO 13849-1 (Performance Level and required Performance Level, </w:t>
      </w:r>
      <w:proofErr w:type="spellStart"/>
      <w:r w:rsidRPr="00D069A2">
        <w:t>PLr</w:t>
      </w:r>
      <w:proofErr w:type="spellEnd"/>
      <w:r w:rsidRPr="00D069A2">
        <w:t>, methodology for safety-related parts of control systems, including category and PL assessment for the tamper-detection interrupt circuit, where applicable); EU AI Act Art. 9 (Risk Management System); NIS2 Art. 21(2)(a) (Policies on risk analysis and information system security)]</w:t>
      </w:r>
    </w:p>
    <w:p w14:paraId="61D609FC" w14:textId="77777777" w:rsidR="00245204" w:rsidRPr="00D069A2" w:rsidRDefault="00000000" w:rsidP="005105A9">
      <w:pPr>
        <w:pStyle w:val="HS-Heading2"/>
      </w:pPr>
      <w:r w:rsidRPr="00D069A2">
        <w:t>Section 11.4 — Decision lineage and audit rights</w:t>
      </w:r>
    </w:p>
    <w:p w14:paraId="6B49E6A8" w14:textId="77777777" w:rsidR="00245204" w:rsidRPr="00D069A2" w:rsidRDefault="00000000" w:rsidP="005105A9">
      <w:pPr>
        <w:pStyle w:val="HS-Heading3"/>
      </w:pPr>
      <w:r w:rsidRPr="00D069A2">
        <w:t>Decision lineage record requirements</w:t>
      </w:r>
    </w:p>
    <w:p w14:paraId="0D229A45" w14:textId="77777777" w:rsidR="00245204" w:rsidRPr="00D069A2" w:rsidRDefault="00000000" w:rsidP="00A05123">
      <w:pPr>
        <w:pStyle w:val="P0-Paragraph"/>
      </w:pPr>
      <w:r w:rsidRPr="00D069A2">
        <w:t>If investigators cannot reconstruct the decision and execution path after a physical event, the system cannot support reliable forensic attribution. Distributed agentic systems generate decision, tool-invocation, authorization, and actuation events across multiple services and execution boundaries. Without a shared correlation mechanism, investigators must manually correlate logs across disconnected systems. That process is slow, error-prone, and unreliable during active incident response. W3C Trace Context propagation headers (traceparent, which carries the trace-id and parent-id, and tracestate) address this by embedding a shared transactional identifier into events on every hop that propagates the headers.</w:t>
      </w:r>
    </w:p>
    <w:p w14:paraId="0384F773" w14:textId="77777777" w:rsidR="00245204" w:rsidRPr="00D069A2" w:rsidRDefault="00000000" w:rsidP="00A05123">
      <w:pPr>
        <w:pStyle w:val="P0-Paragraph"/>
      </w:pPr>
      <w:r w:rsidRPr="00D069A2">
        <w:t xml:space="preserve">The Vendor shall configure the Agentic System to generate continuous Decision Lineage Records in accordance with the current ASCR-07 schema. The records shall include W3C Trace Context propagation headers. The traceparent header shall contain version, trace-id, parent-id, and trace-flags fields. The tracestate header shall carry vendor-specific correlation metadata. These headers enable correlation of decision and execution events across distributed execution boundaries that propagate them. Where an execution path crosses a boundary that cannot carry the headers natively (for example, an OT fieldbus or industrial protocol such as </w:t>
      </w:r>
      <w:proofErr w:type="spellStart"/>
      <w:r w:rsidRPr="00D069A2">
        <w:t>EtherCAT</w:t>
      </w:r>
      <w:proofErr w:type="spellEnd"/>
      <w:r w:rsidRPr="00D069A2">
        <w:t xml:space="preserve">, PROFINET, or OPC UA), the Vendor shall record in the Decision Lineage Record an actuation-linkage entry binding the trace-id to the native command or transaction identifier at that boundary, so that the correlation chain remains </w:t>
      </w:r>
      <w:proofErr w:type="spellStart"/>
      <w:r w:rsidRPr="00D069A2">
        <w:t>reconstructable</w:t>
      </w:r>
      <w:proofErr w:type="spellEnd"/>
      <w:r w:rsidRPr="00D069A2">
        <w:t>. Each record entry shall satisfy the complete canonical field set required by the referenced ASCR-07 schema. The following items are minimum contractual evidence requirements and do not replace, narrow, or redefine that schema:</w:t>
      </w:r>
    </w:p>
    <w:p w14:paraId="1F15BAF7" w14:textId="542F0291" w:rsidR="00245204" w:rsidRPr="00D069A2" w:rsidRDefault="00000000" w:rsidP="005105A9">
      <w:pPr>
        <w:pStyle w:val="L1-Bullet"/>
        <w:rPr>
          <w:rStyle w:val="CS-Keyword"/>
        </w:rPr>
      </w:pPr>
      <w:r w:rsidRPr="00D069A2">
        <w:rPr>
          <w:rStyle w:val="CS-Keyword"/>
        </w:rPr>
        <w:t>Unique event identifier</w:t>
      </w:r>
    </w:p>
    <w:p w14:paraId="1FB25473" w14:textId="08D7A704" w:rsidR="00245204" w:rsidRPr="00D069A2" w:rsidRDefault="00000000" w:rsidP="005105A9">
      <w:pPr>
        <w:pStyle w:val="L1-Bullet"/>
        <w:rPr>
          <w:rStyle w:val="CS-Keyword"/>
        </w:rPr>
      </w:pPr>
      <w:r w:rsidRPr="00D069A2">
        <w:rPr>
          <w:rStyle w:val="CS-Keyword"/>
        </w:rPr>
        <w:t>Agent identifier and hardware-anchored identity reference</w:t>
      </w:r>
    </w:p>
    <w:p w14:paraId="175E7488" w14:textId="3800916C" w:rsidR="00245204" w:rsidRPr="00D069A2" w:rsidRDefault="00000000" w:rsidP="00A05123">
      <w:pPr>
        <w:pStyle w:val="L1-Bullet"/>
      </w:pPr>
      <w:r w:rsidRPr="00D069A2">
        <w:rPr>
          <w:rStyle w:val="CS-Keyword"/>
        </w:rPr>
        <w:t>ISO 8601 UTC timestamp of the reasoning event</w:t>
      </w:r>
      <w:r w:rsidRPr="00D069A2">
        <w:rPr>
          <w:rFonts w:eastAsia="Cambria"/>
        </w:rPr>
        <w:t xml:space="preserve"> at millisecond precision minimum (e.g., 2026-01-15T14:32:00.000Z); for systems with control-loop intervals below 100ms, microsecond precision is required; local time notation is not permitted in Decision Lineage Records</w:t>
      </w:r>
    </w:p>
    <w:p w14:paraId="1DA93417" w14:textId="209CBCB8" w:rsidR="00245204" w:rsidRPr="00D069A2" w:rsidRDefault="00000000" w:rsidP="005105A9">
      <w:pPr>
        <w:pStyle w:val="L1-Bullet"/>
        <w:rPr>
          <w:rStyle w:val="CS-Keyword"/>
        </w:rPr>
      </w:pPr>
      <w:r w:rsidRPr="00D069A2">
        <w:rPr>
          <w:rStyle w:val="CS-Keyword"/>
        </w:rPr>
        <w:t>Cryptographic hash of the objective state at reasoning initiation</w:t>
      </w:r>
    </w:p>
    <w:p w14:paraId="7F40100C" w14:textId="6353CAEC" w:rsidR="00245204" w:rsidRPr="00D069A2" w:rsidRDefault="00000000" w:rsidP="005105A9">
      <w:pPr>
        <w:pStyle w:val="L1-Bullet"/>
      </w:pPr>
      <w:r w:rsidRPr="00D069A2">
        <w:rPr>
          <w:bCs/>
        </w:rPr>
        <w:t>Runtime/model provenance reference</w:t>
      </w:r>
      <w:r w:rsidRPr="00D069A2">
        <w:t>, including the applicable AI-BOM component hash or other version-resolved component identifier required by the current ASCR-07 schema</w:t>
      </w:r>
    </w:p>
    <w:p w14:paraId="57B49751" w14:textId="55DEE714" w:rsidR="00245204" w:rsidRPr="00D069A2" w:rsidRDefault="00000000" w:rsidP="005105A9">
      <w:pPr>
        <w:pStyle w:val="L1-Bullet"/>
        <w:rPr>
          <w:rStyle w:val="CS-Keyword"/>
        </w:rPr>
      </w:pPr>
      <w:r w:rsidRPr="00D069A2">
        <w:rPr>
          <w:rStyle w:val="CS-Keyword"/>
        </w:rPr>
        <w:t>Tool or actuation target invoked</w:t>
      </w:r>
    </w:p>
    <w:p w14:paraId="461DDB1D" w14:textId="02D58F16" w:rsidR="00245204" w:rsidRPr="00D069A2" w:rsidRDefault="00000000" w:rsidP="00A05123">
      <w:pPr>
        <w:pStyle w:val="L1-Bullet"/>
      </w:pPr>
      <w:r w:rsidRPr="00D069A2">
        <w:rPr>
          <w:rStyle w:val="CS-Keyword"/>
        </w:rPr>
        <w:t>Actuation command parameters</w:t>
      </w:r>
      <w:r w:rsidRPr="00D069A2">
        <w:rPr>
          <w:rFonts w:eastAsia="Cambria"/>
        </w:rPr>
        <w:t xml:space="preserve"> — including all physical force, velocity, and trajectory parameters for Physical Consequence Actions</w:t>
      </w:r>
    </w:p>
    <w:p w14:paraId="026BB577" w14:textId="14FE8233" w:rsidR="00245204" w:rsidRPr="00D069A2" w:rsidRDefault="00000000" w:rsidP="00A05123">
      <w:pPr>
        <w:pStyle w:val="L1-Bullet"/>
      </w:pPr>
      <w:proofErr w:type="spellStart"/>
      <w:r w:rsidRPr="00D069A2">
        <w:rPr>
          <w:rStyle w:val="CS-Keyword"/>
        </w:rPr>
        <w:lastRenderedPageBreak/>
        <w:t>Divergence_score</w:t>
      </w:r>
      <w:proofErr w:type="spellEnd"/>
      <w:r w:rsidRPr="00D069A2">
        <w:rPr>
          <w:rStyle w:val="CS-Keyword"/>
        </w:rPr>
        <w:t xml:space="preserve"> value between planned and observed output</w:t>
      </w:r>
      <w:r w:rsidRPr="00D069A2">
        <w:rPr>
          <w:rFonts w:eastAsia="Cambria"/>
        </w:rPr>
        <w:t>, computed under the ASCR-07 Section 1.3 score-range and baseline-enforcement rules, using the methodology version identified in the deployment baseline record</w:t>
      </w:r>
    </w:p>
    <w:p w14:paraId="791D461B" w14:textId="77777777" w:rsidR="00245204" w:rsidRPr="00D069A2" w:rsidRDefault="00000000" w:rsidP="005105A9">
      <w:pPr>
        <w:pStyle w:val="L1-Bullet"/>
        <w:rPr>
          <w:rStyle w:val="CS-Keyword"/>
        </w:rPr>
      </w:pPr>
      <w:r w:rsidRPr="00D069A2">
        <w:rPr>
          <w:rStyle w:val="CS-Keyword"/>
        </w:rPr>
        <w:t>Integrity signature for the record entry</w:t>
      </w:r>
    </w:p>
    <w:p w14:paraId="73177CA2" w14:textId="77777777" w:rsidR="00245204" w:rsidRPr="00D069A2" w:rsidRDefault="00000000" w:rsidP="00A05123">
      <w:pPr>
        <w:pStyle w:val="P0-Paragraph"/>
      </w:pPr>
      <w:r w:rsidRPr="00D069A2">
        <w:rPr>
          <w:rFonts w:eastAsia="Cambria"/>
        </w:rPr>
        <w:t>Decision Lineage Records shall satisfy three structural requirements. First, they shall be cryptographically linked through immutable sequential hash dependency — each entry incorporates the hash of the prior entry — or through an equivalent transparency log structure. Second, they shall be stored in an append-only log with access controls preventing deletion or overwriting. Third, each entry shall be individually signed with a key whose integrity is verifiable against the hardware-anchored identity established in Section 11.3. Append-only access control alone does not satisfy the tamper-evidence obligation; the hash-chain or transparency log structure is required.</w:t>
      </w:r>
    </w:p>
    <w:p w14:paraId="67154950" w14:textId="77777777" w:rsidR="00245204" w:rsidRPr="00D069A2" w:rsidRDefault="00000000" w:rsidP="00A05123">
      <w:pPr>
        <w:pStyle w:val="P0-Paragraph"/>
      </w:pPr>
      <w:r w:rsidRPr="00D069A2">
        <w:t xml:space="preserve">[Regulatory References: EU AI Act Art. 12 (Logging), Art. 19 (Automatically Generated Logs); IEC </w:t>
      </w:r>
      <w:proofErr w:type="gramStart"/>
      <w:r w:rsidRPr="00D069A2">
        <w:t>62443-3-3</w:t>
      </w:r>
      <w:proofErr w:type="gramEnd"/>
      <w:r w:rsidRPr="00D069A2">
        <w:t xml:space="preserve"> SR 2.8 (Auditable Events); NIST SP 800-53 Rev 5 AU-2, AU-9, AU-10]</w:t>
      </w:r>
    </w:p>
    <w:p w14:paraId="36AA62A5" w14:textId="77777777" w:rsidR="00245204" w:rsidRPr="00D069A2" w:rsidRDefault="00000000" w:rsidP="005105A9">
      <w:pPr>
        <w:pStyle w:val="HS-Heading3"/>
      </w:pPr>
      <w:r w:rsidRPr="00D069A2">
        <w:t>Audit access rights</w:t>
      </w:r>
    </w:p>
    <w:p w14:paraId="419732F3" w14:textId="77777777" w:rsidR="00245204" w:rsidRPr="00D069A2" w:rsidRDefault="00000000" w:rsidP="00A05123">
      <w:pPr>
        <w:pStyle w:val="P0-Paragraph"/>
      </w:pPr>
      <w:r w:rsidRPr="00D069A2">
        <w:rPr>
          <w:rFonts w:eastAsia="Cambria"/>
        </w:rPr>
        <w:t>The Operator shall have the right to access Decision Lineage Records at any time during the retention period specified in Section 11.4, without advance notice to the Vendor, through an authenticated API endpoint maintained by the Vendor or through direct access to Operator-hosted log storage where the Vendor has deployed logging infrastructure on Operator premises.</w:t>
      </w:r>
    </w:p>
    <w:p w14:paraId="608A7A67" w14:textId="77777777" w:rsidR="00245204" w:rsidRPr="00D069A2" w:rsidRDefault="00000000" w:rsidP="00A05123">
      <w:pPr>
        <w:pStyle w:val="P0-Paragraph"/>
      </w:pPr>
      <w:r w:rsidRPr="00D069A2">
        <w:t xml:space="preserve">The Operator’s audit and </w:t>
      </w:r>
      <w:proofErr w:type="spellStart"/>
      <w:r w:rsidRPr="00D069A2">
        <w:t>recomputation</w:t>
      </w:r>
      <w:proofErr w:type="spellEnd"/>
      <w:r w:rsidRPr="00D069A2">
        <w:t xml:space="preserve"> rights also extend to records reasonably necessary to verify compliance with a measured obligation under this exhibit, including SIEM/SOC records relied upon to establish notification-clock start, attestation-service logs, SPIRE Server and Agent rotation records, TKQ validation and raw trial data, and other SLO measurement telemetry. The Vendor shall preserve source identifiers and raw observations sufficient for independent </w:t>
      </w:r>
      <w:proofErr w:type="spellStart"/>
      <w:r w:rsidRPr="00D069A2">
        <w:t>recomputation</w:t>
      </w:r>
      <w:proofErr w:type="spellEnd"/>
      <w:r w:rsidRPr="00D069A2">
        <w:t xml:space="preserve"> of a reported metric.</w:t>
      </w:r>
    </w:p>
    <w:p w14:paraId="3B86B15D" w14:textId="77777777" w:rsidR="00245204" w:rsidRPr="00D069A2" w:rsidRDefault="00000000" w:rsidP="00A05123">
      <w:pPr>
        <w:pStyle w:val="P0-Paragraph"/>
      </w:pPr>
      <w:r w:rsidRPr="00A05123">
        <w:rPr>
          <w:rFonts w:eastAsiaTheme="minorHAnsi"/>
        </w:rPr>
        <w:t xml:space="preserve">Upon written request from the Operator, the Vendor shall provide a complete export of Decision Lineage Records for any specified </w:t>
      </w:r>
      <w:proofErr w:type="gramStart"/>
      <w:r w:rsidRPr="00A05123">
        <w:rPr>
          <w:rFonts w:eastAsiaTheme="minorHAnsi"/>
        </w:rPr>
        <w:t>time period</w:t>
      </w:r>
      <w:proofErr w:type="gramEnd"/>
      <w:r w:rsidRPr="00A05123">
        <w:rPr>
          <w:rFonts w:eastAsiaTheme="minorHAnsi"/>
        </w:rPr>
        <w:t xml:space="preserve"> within </w:t>
      </w:r>
      <w:r w:rsidRPr="00D069A2">
        <w:rPr>
          <w:rFonts w:ascii="Consolas" w:eastAsia="Consolas" w:hAnsi="Consolas" w:cs="Consolas"/>
          <w:sz w:val="22"/>
          <w:szCs w:val="22"/>
        </w:rPr>
        <w:t>[DEFAULT: 4 hours]</w:t>
      </w:r>
      <w:r w:rsidRPr="00A05123">
        <w:rPr>
          <w:rFonts w:eastAsiaTheme="minorHAnsi"/>
        </w:rPr>
        <w:t xml:space="preserve"> for periods of 30 days or less, and within </w:t>
      </w:r>
      <w:r w:rsidRPr="00D069A2">
        <w:rPr>
          <w:rFonts w:ascii="Consolas" w:eastAsia="Consolas" w:hAnsi="Consolas" w:cs="Consolas"/>
          <w:sz w:val="22"/>
          <w:szCs w:val="22"/>
        </w:rPr>
        <w:t>[DEFAULT: 48 hours]</w:t>
      </w:r>
      <w:r w:rsidRPr="00A05123">
        <w:rPr>
          <w:rFonts w:eastAsiaTheme="minorHAnsi"/>
        </w:rPr>
        <w:t xml:space="preserve"> for longer periods.</w:t>
      </w:r>
      <w:r w:rsidRPr="00D069A2">
        <w:t xml:space="preserve"> Exports shall use a structured, machine-readable format that preserves the current ASCR-07 field names, timestamps, signatures, hash-linkage or transparency-log evidence, and runtime/model provenance references. The parties shall record the selected Decision Lineage Record export format at execution.</w:t>
      </w:r>
    </w:p>
    <w:p w14:paraId="394EFE7F" w14:textId="77777777" w:rsidR="00245204" w:rsidRPr="00D069A2" w:rsidRDefault="00000000" w:rsidP="00A05123">
      <w:pPr>
        <w:pStyle w:val="P0-Paragraph"/>
      </w:pPr>
      <w:r w:rsidRPr="00D069A2">
        <w:t>[DEFAULT: Vendor shall provide up to 4 Operator-requested exports per calendar quarter at no additional charge. Additional bulk historical exports shall be charged only at rates fixed at execution in the Master Agreement or applicable rate schedule. No additional charge applies to an export requested in connection with a suspected Objective Integrity Violation, unauthorized Physical Consequence Action, regulatory notification, legal hold, or active forensic investigation.]</w:t>
      </w:r>
    </w:p>
    <w:p w14:paraId="26863371" w14:textId="77777777" w:rsidR="00245204" w:rsidRPr="00D069A2" w:rsidRDefault="00000000" w:rsidP="00A05123">
      <w:pPr>
        <w:pStyle w:val="P0-Paragraph"/>
      </w:pPr>
      <w:r w:rsidRPr="00D069A2">
        <w:t>The Operator’s audit right is contractual and arises from this instrument. References to regulatory-authority access or judicial evidence-disclosure provisions identify downstream regulatory or evidentiary relevance and do not themselves create the Operator’s private contractual audit right.</w:t>
      </w:r>
    </w:p>
    <w:p w14:paraId="05703FB6" w14:textId="77777777" w:rsidR="00245204" w:rsidRPr="00D069A2" w:rsidRDefault="00000000" w:rsidP="00A05123">
      <w:pPr>
        <w:pStyle w:val="P0-Paragraph"/>
      </w:pPr>
      <w:r w:rsidRPr="00D069A2">
        <w:t>[Regulatory References: EU AI Act Art. 74 (Market Surveillance Access); EU Revised Product Liability Directive Art. 9 (Disclosure of Evidence); NIST AI RMF Govern 1.5, Govern 6.1]</w:t>
      </w:r>
    </w:p>
    <w:p w14:paraId="3E48CB6F" w14:textId="77777777" w:rsidR="00245204" w:rsidRPr="00D069A2" w:rsidRDefault="00000000" w:rsidP="005105A9">
      <w:pPr>
        <w:pStyle w:val="HS-Heading3"/>
      </w:pPr>
      <w:r w:rsidRPr="00D069A2">
        <w:lastRenderedPageBreak/>
        <w:t>Retention period</w:t>
      </w:r>
    </w:p>
    <w:p w14:paraId="09B14283" w14:textId="77777777" w:rsidR="00245204" w:rsidRPr="00D069A2" w:rsidRDefault="00000000" w:rsidP="00A05123">
      <w:pPr>
        <w:pStyle w:val="P0-Paragraph"/>
      </w:pPr>
      <w:r w:rsidRPr="00D069A2">
        <w:t xml:space="preserve">Decision Lineage Records shall be retained for a minimum of [DEFAULT: 36 months] from the date of generation for operational monitoring purposes. For any Physical Consequence Action, retain the Decision Lineage Records from the 30-day evidence window beginning 15 calendar days before and ending 15 calendar days after the event for [DEFAULT: 10 years]. This is an ASCR-governed retention requirement calibrated </w:t>
      </w:r>
      <w:proofErr w:type="gramStart"/>
      <w:r w:rsidRPr="00D069A2">
        <w:t>in light of</w:t>
      </w:r>
      <w:proofErr w:type="gramEnd"/>
      <w:r w:rsidRPr="00D069A2">
        <w:t xml:space="preserve"> applicable liability, disclosure, legal-hold, contractual, and jurisdictional requirements; it is not a statutory ten-year RPLD retention mandate. Directive (EU) 2024/2853 Article 16 establishes a three-year limitation period measured from the claimant's relevant knowledge. Article 17(1) establishes a 10-year expiry period, and Article 17(2) establishes a 25-year expiry period in the specified latent-personal-injury circumstances. Directive (EU) 2024/2853 applies to products placed on the market or put into service after 8 December 2026. Under Article 21, Directive 85/374/EEC continues to apply to products placed on the market or put into service before 9 December 2026. The deployment-specific retention period must also account for governing law, national implementation, active legal holds, evidence-preservation requirements, and any longer contractual requirement.</w:t>
      </w:r>
    </w:p>
    <w:p w14:paraId="70513F41" w14:textId="77777777" w:rsidR="00245204" w:rsidRPr="00D069A2" w:rsidRDefault="00000000" w:rsidP="00A05123">
      <w:pPr>
        <w:pStyle w:val="P0-Paragraph"/>
      </w:pPr>
      <w:r w:rsidRPr="00D069A2">
        <w:t xml:space="preserve">Where a Physical Consequence Action involves personal </w:t>
      </w:r>
      <w:proofErr w:type="gramStart"/>
      <w:r w:rsidRPr="00D069A2">
        <w:t>injury</w:t>
      </w:r>
      <w:proofErr w:type="gramEnd"/>
      <w:r w:rsidRPr="00D069A2">
        <w:t xml:space="preserve"> whose symptoms are medically documented as slow to emerge, and the 25-year expiry period in Article 17(2) or an equivalent applicable statutory long-stop may apply, the relevant Decision Lineage Records shall be retained for [DEFAULT: 25 years], subject to applicable data-protection, legal-hold, and records-governance requirements. Organizations outside EU jurisdiction shall substitute the applicable statutory limitation and long-stop periods before execution. Where a legal hold, regulatory investigation, or insurance claim is active, records relevant to the subject matter of that hold shall be retained until the Operator provides written release, regardless of the standard retention period.</w:t>
      </w:r>
    </w:p>
    <w:p w14:paraId="77F48C22" w14:textId="77777777" w:rsidR="00245204" w:rsidRPr="00D069A2" w:rsidRDefault="00000000" w:rsidP="00A05123">
      <w:pPr>
        <w:pStyle w:val="P0-Paragraph"/>
      </w:pPr>
      <w:r w:rsidRPr="00D069A2">
        <w:t>[Regulatory References: EU Revised Product Liability Directive Arts. 16–17; NIST SP 800-53 Rev 5 AU-11]</w:t>
      </w:r>
    </w:p>
    <w:p w14:paraId="7BB0E75D" w14:textId="77777777" w:rsidR="00245204" w:rsidRPr="00D069A2" w:rsidRDefault="00000000" w:rsidP="005105A9">
      <w:pPr>
        <w:pStyle w:val="HS-Heading3"/>
      </w:pPr>
      <w:r w:rsidRPr="00D069A2">
        <w:t>Forensic cooperation obligation</w:t>
      </w:r>
    </w:p>
    <w:p w14:paraId="4CA8D418" w14:textId="77777777" w:rsidR="00245204" w:rsidRPr="00D069A2" w:rsidRDefault="00000000" w:rsidP="00A05123">
      <w:pPr>
        <w:pStyle w:val="P0-Paragraph"/>
      </w:pPr>
      <w:r w:rsidRPr="00A05123">
        <w:rPr>
          <w:rFonts w:eastAsiaTheme="minorHAnsi"/>
        </w:rPr>
        <w:t xml:space="preserve">Following detection of a suspected Objective Integrity Violation or Physical Consequence Action that was not authorized by the Operator, the Vendor shall designate a named technical contact with decision authority to cooperate with the Operator’s forensic reconstruction process within </w:t>
      </w:r>
      <w:r w:rsidRPr="00D069A2">
        <w:rPr>
          <w:rFonts w:ascii="Consolas" w:eastAsia="Consolas" w:hAnsi="Consolas" w:cs="Consolas"/>
          <w:sz w:val="22"/>
          <w:szCs w:val="22"/>
        </w:rPr>
        <w:t>[DEFAULT: 2 hours]</w:t>
      </w:r>
      <w:r w:rsidRPr="00A05123">
        <w:rPr>
          <w:rFonts w:eastAsiaTheme="minorHAnsi"/>
        </w:rPr>
        <w:t xml:space="preserve"> of notification. The Vendor’s forensic cooperation obligations are:</w:t>
      </w:r>
    </w:p>
    <w:p w14:paraId="03DD798F" w14:textId="51989D94" w:rsidR="00245204" w:rsidRPr="00D069A2" w:rsidRDefault="005105A9" w:rsidP="005105A9">
      <w:pPr>
        <w:pStyle w:val="L1-Bullet"/>
      </w:pPr>
      <w:r w:rsidRPr="00D069A2">
        <w:rPr>
          <w:rFonts w:eastAsia="Cambria"/>
        </w:rPr>
        <w:t xml:space="preserve">Provide </w:t>
      </w:r>
      <w:r w:rsidR="00000000" w:rsidRPr="00D069A2">
        <w:rPr>
          <w:rFonts w:eastAsia="Cambria"/>
        </w:rPr>
        <w:t xml:space="preserve">full access to Decision Lineage Records for the implicated </w:t>
      </w:r>
      <w:proofErr w:type="gramStart"/>
      <w:r w:rsidR="00000000" w:rsidRPr="00D069A2">
        <w:rPr>
          <w:rFonts w:eastAsia="Cambria"/>
        </w:rPr>
        <w:t>time period</w:t>
      </w:r>
      <w:proofErr w:type="gramEnd"/>
    </w:p>
    <w:p w14:paraId="628D1872" w14:textId="0D1EF3E5" w:rsidR="00245204" w:rsidRPr="00D069A2" w:rsidRDefault="005105A9" w:rsidP="005105A9">
      <w:pPr>
        <w:pStyle w:val="L1-Bullet"/>
      </w:pPr>
      <w:r w:rsidRPr="00D069A2">
        <w:rPr>
          <w:rFonts w:eastAsia="Cambria"/>
        </w:rPr>
        <w:t xml:space="preserve">Provide </w:t>
      </w:r>
      <w:r w:rsidR="00000000" w:rsidRPr="00D069A2">
        <w:rPr>
          <w:rFonts w:eastAsia="Cambria"/>
        </w:rPr>
        <w:t>the AI-BOM entry and training pipeline attestation for the implicated weight artifact</w:t>
      </w:r>
      <w:r w:rsidR="00000000" w:rsidRPr="00D069A2">
        <w:rPr>
          <w:rFonts w:eastAsia="Cambria"/>
        </w:rPr>
        <w:br/>
      </w:r>
    </w:p>
    <w:p w14:paraId="59EFC1C7" w14:textId="67BAC57C" w:rsidR="00245204" w:rsidRPr="00D069A2" w:rsidRDefault="005105A9" w:rsidP="005105A9">
      <w:pPr>
        <w:pStyle w:val="L1-Bullet"/>
      </w:pPr>
      <w:r w:rsidRPr="00D069A2">
        <w:rPr>
          <w:rFonts w:eastAsia="Cambria"/>
        </w:rPr>
        <w:t xml:space="preserve">Deliver </w:t>
      </w:r>
      <w:r w:rsidR="00000000" w:rsidRPr="00D069A2">
        <w:rPr>
          <w:rFonts w:eastAsia="Cambria"/>
        </w:rPr>
        <w:t xml:space="preserve">the Vendor’s own incident analysis within </w:t>
      </w:r>
      <w:r w:rsidR="00000000" w:rsidRPr="00D069A2">
        <w:rPr>
          <w:rFonts w:ascii="Consolas" w:eastAsia="Consolas" w:hAnsi="Consolas" w:cs="Consolas"/>
          <w:sz w:val="22"/>
          <w:szCs w:val="22"/>
        </w:rPr>
        <w:t>[DEFAULT: 24 hours]</w:t>
      </w:r>
    </w:p>
    <w:p w14:paraId="5DE9CC81" w14:textId="710BED3C" w:rsidR="00245204" w:rsidRPr="00D069A2" w:rsidRDefault="005105A9" w:rsidP="005105A9">
      <w:pPr>
        <w:pStyle w:val="L1-Bullet"/>
      </w:pPr>
      <w:r w:rsidRPr="00D069A2">
        <w:rPr>
          <w:rFonts w:eastAsia="Cambria"/>
        </w:rPr>
        <w:t xml:space="preserve">Refrain </w:t>
      </w:r>
      <w:r w:rsidR="00000000" w:rsidRPr="00D069A2">
        <w:rPr>
          <w:rFonts w:eastAsia="Cambria"/>
        </w:rPr>
        <w:t>from any modification, deletion, or overwriting of logs, weight artifacts, or configuration records relevant to the incident without written Operator authorization</w:t>
      </w:r>
    </w:p>
    <w:p w14:paraId="6D574934" w14:textId="77777777" w:rsidR="00245204" w:rsidRPr="00D069A2" w:rsidRDefault="00000000" w:rsidP="00A05123">
      <w:pPr>
        <w:pStyle w:val="P0-Paragraph"/>
        <w:rPr>
          <w:rFonts w:ascii="Consolas" w:eastAsia="Consolas" w:hAnsi="Consolas" w:cs="Consolas"/>
          <w:sz w:val="22"/>
          <w:szCs w:val="22"/>
        </w:rPr>
      </w:pPr>
      <w:r w:rsidRPr="00D069A2">
        <w:t>[Regulatory References: EU Revised Product Liability Directive Art. 9–10; NIS2 Art. 23; NIST SP 800-61 Rev. 3 (April 2025)]</w:t>
      </w:r>
    </w:p>
    <w:p w14:paraId="48A02FA6" w14:textId="77777777" w:rsidR="00245204" w:rsidRPr="00D069A2" w:rsidRDefault="00000000" w:rsidP="005105A9">
      <w:pPr>
        <w:pStyle w:val="HS-Heading3"/>
      </w:pPr>
      <w:bookmarkStart w:id="4" w:name="_heading=h.f5yumnt1xzd" w:colFirst="0" w:colLast="0"/>
      <w:bookmarkEnd w:id="4"/>
      <w:r w:rsidRPr="00D069A2">
        <w:t>Data protection overlay</w:t>
      </w:r>
    </w:p>
    <w:p w14:paraId="4450D28A" w14:textId="77777777" w:rsidR="00245204" w:rsidRPr="00D069A2" w:rsidRDefault="00000000" w:rsidP="00A05123">
      <w:pPr>
        <w:pStyle w:val="P0-Paragraph"/>
      </w:pPr>
      <w:r w:rsidRPr="00D069A2">
        <w:t xml:space="preserve">Where Decision Lineage Records or AI-BOM entries contain personal data within the meaning of the GDPR or an equivalent data protection regime, the parties shall execute a data processing agreement consistent with GDPR Article 28 (or the applicable equivalent) before production deployment, allocating controller/processor roles, lawful basis for the logging described in this section, and cross-border transfer mechanics for any audit </w:t>
      </w:r>
      <w:r w:rsidRPr="00D069A2">
        <w:lastRenderedPageBreak/>
        <w:t>export that leaves the Operator's jurisdiction. Retention under this Section 11.4 is subject to, and does not override, the parties' data minimization and data subject rights obligations under applicable law; where a conflict arises between the retention period specified here and a data subject erasure request, the parties shall resolve it consistent with the legal-retention exception applicable in their jurisdiction (e.g., GDPR Art. 17(3)(b)).</w:t>
      </w:r>
    </w:p>
    <w:p w14:paraId="6BA9CCCD" w14:textId="77777777" w:rsidR="00245204" w:rsidRPr="00D069A2" w:rsidRDefault="00000000" w:rsidP="00A05123">
      <w:pPr>
        <w:pStyle w:val="P0-Paragraph"/>
      </w:pPr>
      <w:r w:rsidRPr="00D069A2">
        <w:t>The Vendor shall notify the Operator without undue delay after becoming aware of a personal data breach affecting data processed under this instrument and shall provide, progressively as available, the information reasonably required for the Operator to satisfy applicable breach-notification duties, including the content required by GDPR Article 33(3) where GDPR applies.</w:t>
      </w:r>
    </w:p>
    <w:p w14:paraId="0AFBB400" w14:textId="19AF7CB2" w:rsidR="00245204" w:rsidRPr="005105A9" w:rsidRDefault="00000000" w:rsidP="00A05123">
      <w:pPr>
        <w:pStyle w:val="P0-Paragraph"/>
        <w:rPr>
          <w:rFonts w:ascii="Consolas" w:eastAsia="Consolas" w:hAnsi="Consolas" w:cs="Consolas"/>
          <w:sz w:val="22"/>
          <w:szCs w:val="22"/>
        </w:rPr>
      </w:pPr>
      <w:r w:rsidRPr="00D069A2">
        <w:t>[Regulatory References: GDPR Art. 5, Art. 6, Art. 17(3)(b), Art. 28, Art. 33, Chapter V — or the applicable non-EU equivalent]</w:t>
      </w:r>
    </w:p>
    <w:p w14:paraId="75351F6A" w14:textId="77777777" w:rsidR="00245204" w:rsidRPr="00D069A2" w:rsidRDefault="00000000" w:rsidP="005105A9">
      <w:pPr>
        <w:pStyle w:val="HS-Heading2"/>
      </w:pPr>
      <w:r w:rsidRPr="00D069A2">
        <w:t>Section 11.5 — Incident notification and response obligations</w:t>
      </w:r>
    </w:p>
    <w:p w14:paraId="12032749" w14:textId="77777777" w:rsidR="00245204" w:rsidRPr="00D069A2" w:rsidRDefault="00000000" w:rsidP="00F86F77">
      <w:pPr>
        <w:pStyle w:val="HS-Heading3"/>
      </w:pPr>
      <w:r w:rsidRPr="00D069A2">
        <w:t>Notification tiers</w:t>
      </w:r>
    </w:p>
    <w:p w14:paraId="1E06E613" w14:textId="77777777" w:rsidR="00245204" w:rsidRPr="00D069A2" w:rsidRDefault="00000000" w:rsidP="00A05123">
      <w:pPr>
        <w:pStyle w:val="P0-Paragraph"/>
      </w:pPr>
      <w:r w:rsidRPr="00D069A2">
        <w:rPr>
          <w:rFonts w:eastAsia="Cambria"/>
        </w:rPr>
        <w:t>The Vendor shall notify the Operator’s designated security operations contact according to the tiered schedule below.</w:t>
      </w:r>
    </w:p>
    <w:p w14:paraId="09B5367B" w14:textId="77777777" w:rsidR="00245204" w:rsidRPr="00D069A2" w:rsidRDefault="00000000" w:rsidP="00F86F77">
      <w:pPr>
        <w:pStyle w:val="L1-Bullet"/>
      </w:pPr>
      <w:r w:rsidRPr="00D069A2">
        <w:rPr>
          <w:rStyle w:val="CS-Keyword"/>
        </w:rPr>
        <w:t xml:space="preserve">Notification clock </w:t>
      </w:r>
      <w:proofErr w:type="gramStart"/>
      <w:r w:rsidRPr="00D069A2">
        <w:rPr>
          <w:rStyle w:val="CS-Keyword"/>
        </w:rPr>
        <w:t>start</w:t>
      </w:r>
      <w:r w:rsidRPr="00D069A2">
        <w:rPr>
          <w:rFonts w:eastAsia="Cambria"/>
        </w:rPr>
        <w:t xml:space="preserve"> begins</w:t>
      </w:r>
      <w:proofErr w:type="gramEnd"/>
      <w:r w:rsidRPr="00D069A2">
        <w:rPr>
          <w:rFonts w:eastAsia="Cambria"/>
        </w:rPr>
        <w:t xml:space="preserve"> at the </w:t>
      </w:r>
      <w:proofErr w:type="gramStart"/>
      <w:r w:rsidRPr="00D069A2">
        <w:rPr>
          <w:rFonts w:eastAsia="Cambria"/>
        </w:rPr>
        <w:t>earliest</w:t>
      </w:r>
      <w:proofErr w:type="gramEnd"/>
      <w:r w:rsidRPr="00D069A2">
        <w:rPr>
          <w:rFonts w:eastAsia="Cambria"/>
        </w:rPr>
        <w:t xml:space="preserve"> of:</w:t>
      </w:r>
    </w:p>
    <w:p w14:paraId="07F7BC6B" w14:textId="44F36782" w:rsidR="00245204" w:rsidRPr="00D069A2" w:rsidRDefault="00F86F77" w:rsidP="00F86F77">
      <w:pPr>
        <w:pStyle w:val="L2-Bullet"/>
      </w:pPr>
      <w:r w:rsidRPr="00D069A2">
        <w:rPr>
          <w:rFonts w:eastAsia="Cambria"/>
        </w:rPr>
        <w:t xml:space="preserve">The </w:t>
      </w:r>
      <w:r w:rsidR="00000000" w:rsidRPr="00D069A2">
        <w:rPr>
          <w:rFonts w:eastAsia="Cambria"/>
        </w:rPr>
        <w:t>timestamp in the Vendor’s SIEM or SOC log of the triggering event</w:t>
      </w:r>
    </w:p>
    <w:p w14:paraId="4603FD08" w14:textId="70F5106C" w:rsidR="00245204" w:rsidRPr="00D069A2" w:rsidRDefault="00F86F77" w:rsidP="00F86F77">
      <w:pPr>
        <w:pStyle w:val="L2-Bullet"/>
      </w:pPr>
      <w:r w:rsidRPr="00D069A2">
        <w:rPr>
          <w:rFonts w:eastAsia="Cambria"/>
        </w:rPr>
        <w:t xml:space="preserve">The </w:t>
      </w:r>
      <w:r w:rsidR="00000000" w:rsidRPr="00D069A2">
        <w:rPr>
          <w:rFonts w:eastAsia="Cambria"/>
        </w:rPr>
        <w:t>timestamp of the attestation report that first recorded the anomaly</w:t>
      </w:r>
    </w:p>
    <w:p w14:paraId="220F0389" w14:textId="2D9E7D2D" w:rsidR="00245204" w:rsidRPr="00D069A2" w:rsidRDefault="00F86F77" w:rsidP="00F86F77">
      <w:pPr>
        <w:pStyle w:val="L2-Bullet"/>
      </w:pPr>
      <w:r w:rsidRPr="00D069A2">
        <w:rPr>
          <w:rFonts w:eastAsia="Cambria"/>
        </w:rPr>
        <w:t xml:space="preserve">The </w:t>
      </w:r>
      <w:r w:rsidR="00000000" w:rsidRPr="00D069A2">
        <w:rPr>
          <w:rFonts w:eastAsia="Cambria"/>
        </w:rPr>
        <w:t>timestamp of any automated alert generated by the Vendor’s monitoring infrastructure</w:t>
      </w:r>
    </w:p>
    <w:p w14:paraId="35075A43" w14:textId="77777777" w:rsidR="00245204" w:rsidRPr="00D069A2" w:rsidRDefault="00000000" w:rsidP="00F86F77">
      <w:pPr>
        <w:pStyle w:val="L1-Bullet"/>
      </w:pPr>
      <w:r w:rsidRPr="00D069A2">
        <w:rPr>
          <w:rStyle w:val="CS-Keyword"/>
        </w:rPr>
        <w:t>Restriction on delays</w:t>
      </w:r>
      <w:r w:rsidRPr="00D069A2">
        <w:rPr>
          <w:rFonts w:eastAsia="Cambria"/>
        </w:rPr>
        <w:t>: The Vendor may not use any later human acknowledgment timestamp to reset or delay the notification clock.</w:t>
      </w:r>
    </w:p>
    <w:p w14:paraId="761E9EB8" w14:textId="77777777" w:rsidR="00245204" w:rsidRPr="00D069A2" w:rsidRDefault="00000000" w:rsidP="00A05123">
      <w:pPr>
        <w:pStyle w:val="P0-Paragraph"/>
      </w:pPr>
      <w:r w:rsidRPr="00D069A2">
        <w:t>Notification-tier precedence: Where an event satisfies more than one Notification Tier or more than one contractual notification period, the shortest applicable notification period governs. A specific shorter notification requirement elsewhere in this instrument overrides the general timing for the applicable Notification Tier.</w:t>
      </w:r>
    </w:p>
    <w:p w14:paraId="0FBBE5A5" w14:textId="77777777" w:rsidR="00245204" w:rsidRPr="00B52980" w:rsidRDefault="00000000" w:rsidP="00B52980">
      <w:pPr>
        <w:pStyle w:val="HS-Heading4"/>
      </w:pPr>
      <w:r w:rsidRPr="00B52980">
        <w:t>Tier 1 — Immediate Notification [DEFAULT: within 30 minutes]:</w:t>
      </w:r>
    </w:p>
    <w:p w14:paraId="36659487" w14:textId="77777777" w:rsidR="00245204" w:rsidRPr="00D069A2" w:rsidRDefault="00000000" w:rsidP="00A05123">
      <w:pPr>
        <w:pStyle w:val="P0-Paragraph"/>
        <w:rPr>
          <w:rStyle w:val="CS-Keyword"/>
        </w:rPr>
      </w:pPr>
      <w:r w:rsidRPr="00D069A2">
        <w:rPr>
          <w:rStyle w:val="CS-Keyword"/>
        </w:rPr>
        <w:t>Trigger:</w:t>
      </w:r>
    </w:p>
    <w:p w14:paraId="71FFD19C" w14:textId="472FAE6D" w:rsidR="00245204" w:rsidRPr="00D069A2" w:rsidRDefault="00000000" w:rsidP="00B52980">
      <w:pPr>
        <w:pStyle w:val="L1-Bullet"/>
      </w:pPr>
      <w:r w:rsidRPr="00D069A2">
        <w:rPr>
          <w:rFonts w:eastAsia="Cambria"/>
        </w:rPr>
        <w:t>Any unauthorized Physical Consequence Action</w:t>
      </w:r>
    </w:p>
    <w:p w14:paraId="7E195451" w14:textId="0B436F7B" w:rsidR="00245204" w:rsidRPr="00D069A2" w:rsidRDefault="00000000" w:rsidP="00B52980">
      <w:pPr>
        <w:pStyle w:val="L1-Bullet"/>
      </w:pPr>
      <w:r w:rsidRPr="00D069A2">
        <w:rPr>
          <w:rFonts w:eastAsia="Cambria"/>
        </w:rPr>
        <w:t>Any Objective Integrity Violation producing, or actively producing, physical consequence</w:t>
      </w:r>
    </w:p>
    <w:p w14:paraId="2CC49100" w14:textId="35187A08" w:rsidR="00245204" w:rsidRPr="00D069A2" w:rsidRDefault="00000000" w:rsidP="00B52980">
      <w:pPr>
        <w:pStyle w:val="L1-Bullet"/>
      </w:pPr>
      <w:r w:rsidRPr="00D069A2">
        <w:rPr>
          <w:rFonts w:eastAsia="Cambria"/>
        </w:rPr>
        <w:t>Any attestation failure on a system executing Physical Consequence Actions</w:t>
      </w:r>
    </w:p>
    <w:p w14:paraId="0BFB844C" w14:textId="77777777" w:rsidR="00245204" w:rsidRPr="00D069A2" w:rsidRDefault="00000000" w:rsidP="00B52980">
      <w:pPr>
        <w:pStyle w:val="L1-Bullet"/>
      </w:pPr>
      <w:r w:rsidRPr="00D069A2">
        <w:rPr>
          <w:rFonts w:eastAsia="Cambria"/>
        </w:rPr>
        <w:t xml:space="preserve">Any detection of malicious modification to model weights or the </w:t>
      </w:r>
      <w:proofErr w:type="spellStart"/>
      <w:r w:rsidRPr="00D069A2">
        <w:rPr>
          <w:rFonts w:eastAsia="Cambria"/>
        </w:rPr>
        <w:t>LoRA</w:t>
      </w:r>
      <w:proofErr w:type="spellEnd"/>
      <w:r w:rsidRPr="00D069A2">
        <w:rPr>
          <w:rFonts w:eastAsia="Cambria"/>
        </w:rPr>
        <w:t xml:space="preserve"> Update pipeline</w:t>
      </w:r>
    </w:p>
    <w:p w14:paraId="4B0EFC2D" w14:textId="77777777" w:rsidR="00245204" w:rsidRPr="00D069A2" w:rsidRDefault="00000000" w:rsidP="00A05123">
      <w:pPr>
        <w:pStyle w:val="P0-Paragraph"/>
        <w:rPr>
          <w:rStyle w:val="CS-Keyword"/>
        </w:rPr>
      </w:pPr>
      <w:r w:rsidRPr="00D069A2">
        <w:rPr>
          <w:rStyle w:val="CS-Keyword"/>
        </w:rPr>
        <w:t>Timing: Within the Tier 1 notification window stated above, measured from the earliest applicable timestamp defined above</w:t>
      </w:r>
    </w:p>
    <w:p w14:paraId="18ED1667" w14:textId="77777777" w:rsidR="00245204" w:rsidRPr="00D069A2" w:rsidRDefault="00000000" w:rsidP="00A05123">
      <w:pPr>
        <w:pStyle w:val="P0-Paragraph"/>
        <w:rPr>
          <w:rStyle w:val="CS-Keyword"/>
        </w:rPr>
      </w:pPr>
      <w:r w:rsidRPr="00D069A2">
        <w:rPr>
          <w:rStyle w:val="CS-Keyword"/>
        </w:rPr>
        <w:t>Escalation Path:</w:t>
      </w:r>
    </w:p>
    <w:p w14:paraId="5A812EE7" w14:textId="77777777" w:rsidR="00245204" w:rsidRPr="00D069A2" w:rsidRDefault="00000000" w:rsidP="00B52980">
      <w:pPr>
        <w:pStyle w:val="L1-Bullet"/>
      </w:pPr>
      <w:r w:rsidRPr="00D069A2">
        <w:t>Immediate escalation to the Vendor Containment-Decision Role recorded in Schedule C (Block 1), with simultaneous notification to the Operator’s designated security contact and activation of the Vendor’s incident response protocol for high-severity physical-impact systems.</w:t>
      </w:r>
    </w:p>
    <w:p w14:paraId="28F14AAE" w14:textId="77777777" w:rsidR="00245204" w:rsidRPr="00B52980" w:rsidRDefault="00000000" w:rsidP="00B52980">
      <w:pPr>
        <w:pStyle w:val="HS-Heading4"/>
      </w:pPr>
      <w:r w:rsidRPr="00B52980">
        <w:lastRenderedPageBreak/>
        <w:t>Tier 2 — Urgent Notification [DEFAULT: within 4 hours]:</w:t>
      </w:r>
    </w:p>
    <w:p w14:paraId="4BCACB3A" w14:textId="77777777" w:rsidR="00245204" w:rsidRPr="00D069A2" w:rsidRDefault="00000000" w:rsidP="00A05123">
      <w:pPr>
        <w:pStyle w:val="P0-Paragraph"/>
        <w:rPr>
          <w:rStyle w:val="CS-Keyword"/>
        </w:rPr>
      </w:pPr>
      <w:r w:rsidRPr="00D069A2">
        <w:rPr>
          <w:rStyle w:val="CS-Keyword"/>
        </w:rPr>
        <w:t>Trigger:</w:t>
      </w:r>
    </w:p>
    <w:p w14:paraId="3DE35DFE" w14:textId="77777777" w:rsidR="00245204" w:rsidRPr="00D069A2" w:rsidRDefault="00000000" w:rsidP="00B52980">
      <w:pPr>
        <w:pStyle w:val="L1-Bullet"/>
      </w:pPr>
      <w:r w:rsidRPr="00D069A2">
        <w:t>Any Schedule A HARD_BLOCK-level exceedance</w:t>
      </w:r>
    </w:p>
    <w:p w14:paraId="56999EA8" w14:textId="6F7EF9CF" w:rsidR="00245204" w:rsidRPr="00D069A2" w:rsidRDefault="00000000" w:rsidP="00B52980">
      <w:pPr>
        <w:pStyle w:val="L1-Bullet"/>
      </w:pPr>
      <w:r w:rsidRPr="00D069A2">
        <w:rPr>
          <w:rFonts w:eastAsia="Cambria"/>
        </w:rPr>
        <w:t>Any Execution Boundary breach, regardless of observed consequence</w:t>
      </w:r>
    </w:p>
    <w:p w14:paraId="5E687483" w14:textId="3C6450DD" w:rsidR="00245204" w:rsidRPr="00D069A2" w:rsidRDefault="00000000" w:rsidP="00B52980">
      <w:pPr>
        <w:pStyle w:val="L1-Bullet"/>
      </w:pPr>
      <w:r w:rsidRPr="00D069A2">
        <w:rPr>
          <w:rFonts w:eastAsia="Cambria"/>
        </w:rPr>
        <w:t>Any failed Safe-State transition</w:t>
      </w:r>
    </w:p>
    <w:p w14:paraId="684AAB7D" w14:textId="77777777" w:rsidR="00245204" w:rsidRPr="00D069A2" w:rsidRDefault="00000000" w:rsidP="00B52980">
      <w:pPr>
        <w:pStyle w:val="L1-Bullet"/>
      </w:pPr>
      <w:r w:rsidRPr="00D069A2">
        <w:rPr>
          <w:rFonts w:eastAsia="Cambria"/>
        </w:rPr>
        <w:t>Any unauthorized access to Decision Lineage Records</w:t>
      </w:r>
    </w:p>
    <w:p w14:paraId="13A1DBD0" w14:textId="77777777" w:rsidR="00245204" w:rsidRPr="00D069A2" w:rsidRDefault="00000000" w:rsidP="00B52980">
      <w:pPr>
        <w:pStyle w:val="L1-Bullet"/>
      </w:pPr>
      <w:r w:rsidRPr="00D069A2">
        <w:t>Any personal data breach affecting Decision Lineage Records, AI-BOM data, or other personal data processed by the Vendor under this instrument, unless the event independently satisfies a Notification Tier 1 trigger</w:t>
      </w:r>
    </w:p>
    <w:p w14:paraId="437A88A3" w14:textId="77777777" w:rsidR="00245204" w:rsidRPr="00D069A2" w:rsidRDefault="00000000" w:rsidP="00A05123">
      <w:pPr>
        <w:pStyle w:val="P0-Paragraph"/>
        <w:rPr>
          <w:rStyle w:val="CS-Keyword"/>
        </w:rPr>
      </w:pPr>
      <w:r w:rsidRPr="00D069A2">
        <w:rPr>
          <w:rStyle w:val="CS-Keyword"/>
        </w:rPr>
        <w:t>Timing: Within the Tier 2 notification window stated above, measured from the earliest applicable timestamp defined above</w:t>
      </w:r>
    </w:p>
    <w:p w14:paraId="4ED8B965" w14:textId="77777777" w:rsidR="00245204" w:rsidRPr="00D069A2" w:rsidRDefault="00000000" w:rsidP="00A05123">
      <w:pPr>
        <w:pStyle w:val="P0-Paragraph"/>
        <w:rPr>
          <w:rStyle w:val="CS-Keyword"/>
        </w:rPr>
      </w:pPr>
      <w:r w:rsidRPr="00D069A2">
        <w:rPr>
          <w:rStyle w:val="CS-Keyword"/>
        </w:rPr>
        <w:t>Escalation Path:</w:t>
      </w:r>
    </w:p>
    <w:p w14:paraId="6B4D2BE9" w14:textId="75427DFF" w:rsidR="00245204" w:rsidRPr="00D069A2" w:rsidRDefault="00000000" w:rsidP="00B52980">
      <w:pPr>
        <w:pStyle w:val="L1-Bullet"/>
      </w:pPr>
      <w:r w:rsidRPr="00D069A2">
        <w:rPr>
          <w:rFonts w:eastAsia="Cambria"/>
        </w:rPr>
        <w:t>Escalation to Vendor security operations team and system integrity function owners</w:t>
      </w:r>
    </w:p>
    <w:p w14:paraId="0A9A69C8" w14:textId="77777777" w:rsidR="00245204" w:rsidRPr="00D069A2" w:rsidRDefault="00000000" w:rsidP="00B52980">
      <w:pPr>
        <w:pStyle w:val="L1-Bullet"/>
      </w:pPr>
      <w:r w:rsidRPr="00D069A2">
        <w:rPr>
          <w:rFonts w:eastAsia="Cambria"/>
        </w:rPr>
        <w:t>Operator security contact notification with incident classification</w:t>
      </w:r>
    </w:p>
    <w:p w14:paraId="60D8D2EE" w14:textId="77777777" w:rsidR="00245204" w:rsidRPr="00B52980" w:rsidRDefault="00000000" w:rsidP="00B52980">
      <w:pPr>
        <w:pStyle w:val="HS-Heading4"/>
      </w:pPr>
      <w:r w:rsidRPr="00B52980">
        <w:t>Tier 3 — Standard Notification [DEFAULT: within 24 hours]:</w:t>
      </w:r>
    </w:p>
    <w:p w14:paraId="7920D3EB" w14:textId="77777777" w:rsidR="00245204" w:rsidRPr="00D069A2" w:rsidRDefault="00000000" w:rsidP="00A05123">
      <w:pPr>
        <w:pStyle w:val="P0-Paragraph"/>
        <w:rPr>
          <w:rStyle w:val="CS-Keyword"/>
        </w:rPr>
      </w:pPr>
      <w:r w:rsidRPr="00D069A2">
        <w:rPr>
          <w:rStyle w:val="CS-Keyword"/>
        </w:rPr>
        <w:t>Trigger:</w:t>
      </w:r>
    </w:p>
    <w:p w14:paraId="7B6EC7F1" w14:textId="53976B1B" w:rsidR="00245204" w:rsidRPr="00D069A2" w:rsidRDefault="00000000" w:rsidP="00B52980">
      <w:pPr>
        <w:pStyle w:val="L1-Bullet"/>
      </w:pPr>
      <w:r w:rsidRPr="00D069A2">
        <w:rPr>
          <w:rFonts w:eastAsia="Cambria"/>
        </w:rPr>
        <w:t>Any security event affecting the Vendor’s model update infrastructure that could plausibly affect the Operator’s deployed system</w:t>
      </w:r>
    </w:p>
    <w:p w14:paraId="63F96634" w14:textId="7E746D70" w:rsidR="00245204" w:rsidRPr="00D069A2" w:rsidRDefault="00000000" w:rsidP="00B52980">
      <w:pPr>
        <w:pStyle w:val="L1-Bullet"/>
      </w:pPr>
      <w:r w:rsidRPr="00D069A2">
        <w:rPr>
          <w:rFonts w:eastAsia="Cambria"/>
        </w:rPr>
        <w:t>Any third-party subcontractor security incident affecting pipeline operations</w:t>
      </w:r>
    </w:p>
    <w:p w14:paraId="71D2CA41" w14:textId="77777777" w:rsidR="00245204" w:rsidRPr="00D069A2" w:rsidRDefault="00000000" w:rsidP="00B52980">
      <w:pPr>
        <w:pStyle w:val="L1-Bullet"/>
      </w:pPr>
      <w:r w:rsidRPr="00D069A2">
        <w:rPr>
          <w:rFonts w:eastAsia="Cambria"/>
        </w:rPr>
        <w:t>Any attestation anomaly not meeting Tier 1 or Tier 2 thresholds</w:t>
      </w:r>
    </w:p>
    <w:p w14:paraId="3EA618FF" w14:textId="77777777" w:rsidR="00245204" w:rsidRPr="00D069A2" w:rsidRDefault="00000000" w:rsidP="00B52980">
      <w:pPr>
        <w:pStyle w:val="L1-Bullet"/>
      </w:pPr>
      <w:r w:rsidRPr="00D069A2">
        <w:t>Any other security event affecting the Agentic System, its supporting infrastructure, or the Vendor’s development, update, or delivery pipeline that does not meet a Notification Tier 1 or Notification Tier 2 trigger</w:t>
      </w:r>
    </w:p>
    <w:p w14:paraId="0519D25F" w14:textId="77777777" w:rsidR="00245204" w:rsidRPr="00D069A2" w:rsidRDefault="00000000" w:rsidP="00A05123">
      <w:pPr>
        <w:pStyle w:val="P0-Paragraph"/>
        <w:rPr>
          <w:rStyle w:val="CS-Keyword"/>
        </w:rPr>
      </w:pPr>
      <w:r w:rsidRPr="00D069A2">
        <w:rPr>
          <w:rStyle w:val="CS-Keyword"/>
        </w:rPr>
        <w:t>Timing: Within the Tier 3 notification window stated above, measured from the earliest applicable timestamp defined above</w:t>
      </w:r>
    </w:p>
    <w:p w14:paraId="4AA830EC" w14:textId="77777777" w:rsidR="00245204" w:rsidRPr="00D069A2" w:rsidRDefault="00000000" w:rsidP="00A05123">
      <w:pPr>
        <w:pStyle w:val="P0-Paragraph"/>
        <w:rPr>
          <w:rStyle w:val="CS-Keyword"/>
        </w:rPr>
      </w:pPr>
      <w:r w:rsidRPr="00D069A2">
        <w:rPr>
          <w:rStyle w:val="CS-Keyword"/>
        </w:rPr>
        <w:t>Escalation Path:</w:t>
      </w:r>
    </w:p>
    <w:p w14:paraId="3169A03B" w14:textId="12E88CF6" w:rsidR="00245204" w:rsidRPr="00D069A2" w:rsidRDefault="00000000" w:rsidP="00B52980">
      <w:pPr>
        <w:pStyle w:val="L1-Bullet"/>
      </w:pPr>
      <w:r w:rsidRPr="00D069A2">
        <w:rPr>
          <w:rFonts w:eastAsia="Cambria"/>
        </w:rPr>
        <w:t>Internal Vendor security operations review</w:t>
      </w:r>
    </w:p>
    <w:p w14:paraId="3C34D0C0" w14:textId="77777777" w:rsidR="00245204" w:rsidRPr="00D069A2" w:rsidRDefault="00000000" w:rsidP="00B52980">
      <w:pPr>
        <w:pStyle w:val="L1-Bullet"/>
      </w:pPr>
      <w:r w:rsidRPr="00D069A2">
        <w:rPr>
          <w:rFonts w:eastAsia="Cambria"/>
        </w:rPr>
        <w:t>Notification to Operator designated contact with incident summary and classification</w:t>
      </w:r>
    </w:p>
    <w:p w14:paraId="51391D02" w14:textId="77777777" w:rsidR="00245204" w:rsidRPr="00B52980" w:rsidRDefault="00000000" w:rsidP="00A05123">
      <w:pPr>
        <w:pStyle w:val="P0-Paragraph"/>
      </w:pPr>
      <w:r w:rsidRPr="00B52980">
        <w:t>[Regulatory References: NIS2 Art. 23 (Notification Obligations); EU AI Act Art. 73 (Serious Incident Reporting); DORA Art. 19 (ICT Incident Reporting); NIST SP 800-61 Rev. 3]</w:t>
      </w:r>
    </w:p>
    <w:p w14:paraId="171AA59A" w14:textId="77777777" w:rsidR="00245204" w:rsidRPr="00D069A2" w:rsidRDefault="00000000" w:rsidP="00B52980">
      <w:pPr>
        <w:pStyle w:val="HS-Heading4"/>
      </w:pPr>
      <w:r w:rsidRPr="00D069A2">
        <w:t>Notification content</w:t>
      </w:r>
    </w:p>
    <w:p w14:paraId="744FD08C" w14:textId="77777777" w:rsidR="00245204" w:rsidRPr="00D069A2" w:rsidRDefault="00000000" w:rsidP="00A05123">
      <w:pPr>
        <w:pStyle w:val="P0-Paragraph"/>
      </w:pPr>
      <w:r w:rsidRPr="00D069A2">
        <w:rPr>
          <w:rFonts w:eastAsia="Cambria"/>
        </w:rPr>
        <w:t>Each notification shall include, to the extent known at the time of notification:</w:t>
      </w:r>
    </w:p>
    <w:p w14:paraId="35006F44" w14:textId="7683D5B2" w:rsidR="00245204" w:rsidRPr="00D069A2" w:rsidRDefault="00B52980" w:rsidP="00B52980">
      <w:pPr>
        <w:pStyle w:val="L1-Bullet"/>
      </w:pPr>
      <w:r w:rsidRPr="00D069A2">
        <w:rPr>
          <w:rFonts w:eastAsia="Cambria"/>
        </w:rPr>
        <w:t>The timestamp of first detection</w:t>
      </w:r>
    </w:p>
    <w:p w14:paraId="6CB94676" w14:textId="26730B89" w:rsidR="00245204" w:rsidRPr="00D069A2" w:rsidRDefault="00B52980" w:rsidP="00B52980">
      <w:pPr>
        <w:pStyle w:val="L1-Bullet"/>
      </w:pPr>
      <w:r w:rsidRPr="00D069A2">
        <w:rPr>
          <w:rFonts w:eastAsia="Cambria"/>
        </w:rPr>
        <w:t>The affected system identifier and hardware-anchored identity reference</w:t>
      </w:r>
    </w:p>
    <w:p w14:paraId="1AD11701" w14:textId="3D2BC8B8" w:rsidR="00245204" w:rsidRPr="00D069A2" w:rsidRDefault="00B52980" w:rsidP="00B52980">
      <w:pPr>
        <w:pStyle w:val="L1-Bullet"/>
      </w:pPr>
      <w:r w:rsidRPr="00D069A2">
        <w:rPr>
          <w:rFonts w:eastAsia="Cambria"/>
        </w:rPr>
        <w:t>A description of the observed condition and its current operational status</w:t>
      </w:r>
    </w:p>
    <w:p w14:paraId="626C37D6" w14:textId="0870CB92" w:rsidR="00245204" w:rsidRPr="00D069A2" w:rsidRDefault="00B52980" w:rsidP="00B52980">
      <w:pPr>
        <w:pStyle w:val="L1-Bullet"/>
      </w:pPr>
      <w:r w:rsidRPr="00D069A2">
        <w:rPr>
          <w:rFonts w:eastAsia="Cambria"/>
        </w:rPr>
        <w:t>The immediate containment actions taken or in progress</w:t>
      </w:r>
    </w:p>
    <w:p w14:paraId="6CA6E89A" w14:textId="770ABE9C" w:rsidR="00245204" w:rsidRPr="00D069A2" w:rsidRDefault="00B52980" w:rsidP="00B52980">
      <w:pPr>
        <w:pStyle w:val="L1-Bullet"/>
      </w:pPr>
      <w:r w:rsidRPr="00D069A2">
        <w:rPr>
          <w:rFonts w:eastAsia="Cambria"/>
        </w:rPr>
        <w:t>A preliminary assessment of whether a physical consequence action has occurred or is imminent</w:t>
      </w:r>
    </w:p>
    <w:p w14:paraId="5A36504F" w14:textId="03D66283" w:rsidR="00245204" w:rsidRPr="00D069A2" w:rsidRDefault="00B52980" w:rsidP="00B52980">
      <w:pPr>
        <w:pStyle w:val="L1-Bullet"/>
      </w:pPr>
      <w:r w:rsidRPr="00D069A2">
        <w:rPr>
          <w:rFonts w:eastAsia="Cambria"/>
        </w:rPr>
        <w:lastRenderedPageBreak/>
        <w:t>The name and contact information of the vendor’s designated technical contact for the incident</w:t>
      </w:r>
    </w:p>
    <w:p w14:paraId="70B3C3FB" w14:textId="77777777" w:rsidR="00245204" w:rsidRPr="00D069A2" w:rsidRDefault="00000000" w:rsidP="00A05123">
      <w:pPr>
        <w:pStyle w:val="P0-Paragraph"/>
      </w:pPr>
      <w:r w:rsidRPr="00D069A2">
        <w:rPr>
          <w:rFonts w:eastAsia="Cambria"/>
        </w:rPr>
        <w:t xml:space="preserve">Notifications shall be transmitted through the </w:t>
      </w:r>
      <w:proofErr w:type="gramStart"/>
      <w:r w:rsidRPr="00D069A2">
        <w:rPr>
          <w:rFonts w:eastAsia="Cambria"/>
        </w:rPr>
        <w:t>secure</w:t>
      </w:r>
      <w:proofErr w:type="gramEnd"/>
      <w:r w:rsidRPr="00D069A2">
        <w:rPr>
          <w:rFonts w:eastAsia="Cambria"/>
        </w:rPr>
        <w:t xml:space="preserve"> channel specified in Schedule C. Notification by email alone does not satisfy this obligation for Tier 1 events.</w:t>
      </w:r>
    </w:p>
    <w:p w14:paraId="3B7279DB" w14:textId="77777777" w:rsidR="00245204" w:rsidRPr="00D069A2" w:rsidRDefault="00000000" w:rsidP="00A05123">
      <w:pPr>
        <w:pStyle w:val="P0-Paragraph"/>
      </w:pPr>
      <w:r w:rsidRPr="00D069A2">
        <w:t>Notification Tier designations stated elsewhere in Sections 11.3 and 11.9 supplement the trigger lists above and remain operative. Where a condition satisfies more than one notification-tier rule, the most urgent applicable Notification Tier governs.</w:t>
      </w:r>
    </w:p>
    <w:p w14:paraId="31B9A232" w14:textId="77777777" w:rsidR="00245204" w:rsidRPr="00D069A2" w:rsidRDefault="00000000" w:rsidP="00B52980">
      <w:pPr>
        <w:pStyle w:val="HS-Heading4"/>
      </w:pPr>
      <w:r w:rsidRPr="00D069A2">
        <w:t>Regulatory notification support</w:t>
      </w:r>
    </w:p>
    <w:p w14:paraId="399037A0" w14:textId="77777777" w:rsidR="00245204" w:rsidRPr="00D069A2" w:rsidRDefault="00000000" w:rsidP="00A05123">
      <w:pPr>
        <w:pStyle w:val="P0-Paragraph"/>
      </w:pPr>
      <w:r w:rsidRPr="00D069A2">
        <w:t>Where the Operator is subject to mandatory regulatory notification obligations triggered by a Vendor-sourced incident, including NIS2 Article 23 notifications, EU AI Act Article 73 serious-incident obligations, DORA incident-reporting obligations, or sector-specific reporting requirements, the Vendor shall provide the Operator with a complete, signed Vendor Incident Report containing the technical content required to support those notifications. This support obligation begins when the Vendor becomes aware of the triggering incident and is not deferred until the Operator submits a written request; information may be provided progressively as the investigation develops. The complete Vendor Incident Report shall be delivered no later than the earlier of: (a) [DEFAULT: 6 hours] after the Operator’s written request; or (b) [DEFAULT: 12 hours] before an applicable statutory deadline identified by the Operator, where the Vendor has been informed of that deadline. The Vendor Incident Report shall include, at minimum:</w:t>
      </w:r>
    </w:p>
    <w:p w14:paraId="6CB2B855" w14:textId="5339BA36" w:rsidR="00245204" w:rsidRPr="00D069A2" w:rsidRDefault="00B52980" w:rsidP="00B52980">
      <w:pPr>
        <w:pStyle w:val="L1-Bullet"/>
      </w:pPr>
      <w:r w:rsidRPr="00D069A2">
        <w:rPr>
          <w:rFonts w:eastAsia="Cambria"/>
        </w:rPr>
        <w:t xml:space="preserve">The </w:t>
      </w:r>
      <w:r w:rsidR="00000000" w:rsidRPr="00D069A2">
        <w:rPr>
          <w:rFonts w:eastAsia="Cambria"/>
        </w:rPr>
        <w:t>MITRE ATLAS technique and tactic identifiers applicable to the incident;</w:t>
      </w:r>
    </w:p>
    <w:p w14:paraId="1F569276" w14:textId="4D04D011" w:rsidR="00245204" w:rsidRPr="00D069A2" w:rsidRDefault="00B52980" w:rsidP="00B52980">
      <w:pPr>
        <w:pStyle w:val="L1-Bullet"/>
      </w:pPr>
      <w:r w:rsidRPr="00D069A2">
        <w:rPr>
          <w:rFonts w:eastAsia="Cambria"/>
        </w:rPr>
        <w:t xml:space="preserve">The </w:t>
      </w:r>
      <w:r w:rsidR="00000000" w:rsidRPr="00D069A2">
        <w:rPr>
          <w:rFonts w:eastAsia="Cambria"/>
        </w:rPr>
        <w:t>AI-BOM reference and version hash for all implicated components; and</w:t>
      </w:r>
    </w:p>
    <w:p w14:paraId="573D7CD3" w14:textId="71EF68CA" w:rsidR="00245204" w:rsidRPr="00D069A2" w:rsidRDefault="00B52980" w:rsidP="00B52980">
      <w:pPr>
        <w:pStyle w:val="L1-Bullet"/>
      </w:pPr>
      <w:r w:rsidRPr="00D069A2">
        <w:t xml:space="preserve">The </w:t>
      </w:r>
      <w:r w:rsidR="00000000" w:rsidRPr="00D069A2">
        <w:t>W3C Trace Context correlation, specifically the trace-id extracted from the traceparent header, forming the chain linking the model decision event, the actuation command, and the observed physical consequence. The trace-id establishes transactional correlation between these events. Correlation alone does not establish causation. Causal attribution requires reconstruction of the associated Decision Lineage Record entries required by Section 11.4 and the referenced ASCR-07 schema, including the applicable objective or goal reference, context and provenance references, tool invocations and parameters, authorization and policy results, runtime/model provenance, and actuation outputs associated with that trace. Structured planning or reasoning artifacts may be used as supplementary evidence where intentionally exposed; internal chain-of-thought is not required.</w:t>
      </w:r>
    </w:p>
    <w:p w14:paraId="003695EB" w14:textId="339D7C72" w:rsidR="00245204" w:rsidRPr="00B52980" w:rsidRDefault="00000000" w:rsidP="00A05123">
      <w:pPr>
        <w:pStyle w:val="P0-Paragraph"/>
      </w:pPr>
      <w:r w:rsidRPr="00B52980">
        <w:t>[Regulatory References: NIS2 Art. 23; EU AI Act Art. 73; EU Revised Product Liability Directive Art. 9–10; DORA Art. 19]</w:t>
      </w:r>
    </w:p>
    <w:p w14:paraId="49220601" w14:textId="77777777" w:rsidR="00245204" w:rsidRPr="00D069A2" w:rsidRDefault="00000000" w:rsidP="00B52980">
      <w:pPr>
        <w:pStyle w:val="HS-Heading2"/>
      </w:pPr>
      <w:r w:rsidRPr="00D069A2">
        <w:t>Section 11.6 — Ongoing security reporting</w:t>
      </w:r>
    </w:p>
    <w:p w14:paraId="394D1F98" w14:textId="77777777" w:rsidR="00245204" w:rsidRPr="00D069A2" w:rsidRDefault="00000000" w:rsidP="00B52980">
      <w:pPr>
        <w:pStyle w:val="HS-Heading3"/>
      </w:pPr>
      <w:r w:rsidRPr="00D069A2">
        <w:t>Monthly security report</w:t>
      </w:r>
    </w:p>
    <w:p w14:paraId="5EC1DA2A" w14:textId="77777777" w:rsidR="00245204" w:rsidRPr="00D069A2" w:rsidRDefault="00000000" w:rsidP="00A05123">
      <w:pPr>
        <w:pStyle w:val="P0-Paragraph"/>
      </w:pPr>
      <w:r w:rsidRPr="00A05123">
        <w:rPr>
          <w:rFonts w:eastAsiaTheme="minorHAnsi"/>
        </w:rPr>
        <w:t xml:space="preserve">The Vendor shall deliver to the Operator a signed Monthly Security Report within </w:t>
      </w:r>
      <w:r w:rsidRPr="00D069A2">
        <w:rPr>
          <w:rFonts w:ascii="Consolas" w:eastAsia="Consolas" w:hAnsi="Consolas" w:cs="Consolas"/>
          <w:sz w:val="22"/>
          <w:szCs w:val="22"/>
        </w:rPr>
        <w:t>[DEFAULT: 5 business days]</w:t>
      </w:r>
      <w:r w:rsidRPr="00A05123">
        <w:rPr>
          <w:rFonts w:eastAsiaTheme="minorHAnsi"/>
        </w:rPr>
        <w:t xml:space="preserve"> of the end of each calendar month. The report shall include:</w:t>
      </w:r>
    </w:p>
    <w:p w14:paraId="4DDB7631" w14:textId="3BBBF615" w:rsidR="00245204" w:rsidRPr="00D069A2" w:rsidRDefault="00000000" w:rsidP="00B52980">
      <w:pPr>
        <w:pStyle w:val="L1-Bullet"/>
      </w:pPr>
      <w:r w:rsidRPr="00D069A2">
        <w:rPr>
          <w:rFonts w:eastAsia="Cambria"/>
        </w:rPr>
        <w:t>A count and classification of all security events detected during the period, categorized by notification tier</w:t>
      </w:r>
    </w:p>
    <w:p w14:paraId="77521615" w14:textId="77777777" w:rsidR="00245204" w:rsidRPr="00D069A2" w:rsidRDefault="00000000" w:rsidP="00B52980">
      <w:pPr>
        <w:pStyle w:val="L1-Bullet"/>
      </w:pPr>
      <w:r w:rsidRPr="00D069A2">
        <w:t>Attestation compliance statistics — separately for active-operation and idle/standby periods, the percentage of required attestation reports generated within the specified interval for each operating state</w:t>
      </w:r>
    </w:p>
    <w:p w14:paraId="23260D21" w14:textId="77777777" w:rsidR="00245204" w:rsidRPr="00D069A2" w:rsidRDefault="00000000" w:rsidP="00B52980">
      <w:pPr>
        <w:pStyle w:val="L1-Bullet"/>
      </w:pPr>
      <w:r w:rsidRPr="00D069A2">
        <w:lastRenderedPageBreak/>
        <w:t xml:space="preserve">Schedule A threshold statistics — the measured results or distributions for each applicable Schedule A parameter, with identification of all SOFT_ALERT and HARD_BLOCK-level exceedances; separately, the ASCR-07 </w:t>
      </w:r>
      <w:proofErr w:type="spellStart"/>
      <w:r w:rsidRPr="00D069A2">
        <w:t>divergence_score</w:t>
      </w:r>
      <w:proofErr w:type="spellEnd"/>
      <w:r w:rsidRPr="00D069A2">
        <w:t xml:space="preserve"> distribution for operational cycles during the reporting period</w:t>
      </w:r>
    </w:p>
    <w:p w14:paraId="05D27B3E" w14:textId="34DC6736" w:rsidR="00245204" w:rsidRPr="00D069A2" w:rsidRDefault="00000000" w:rsidP="00B52980">
      <w:pPr>
        <w:pStyle w:val="L1-Bullet"/>
      </w:pPr>
      <w:r w:rsidRPr="00D069A2">
        <w:rPr>
          <w:rFonts w:eastAsia="Cambria"/>
        </w:rPr>
        <w:t xml:space="preserve">AI-BOM changes made during the period, including </w:t>
      </w:r>
      <w:proofErr w:type="spellStart"/>
      <w:r w:rsidRPr="00D069A2">
        <w:rPr>
          <w:rFonts w:eastAsia="Cambria"/>
        </w:rPr>
        <w:t>LoRA</w:t>
      </w:r>
      <w:proofErr w:type="spellEnd"/>
      <w:r w:rsidRPr="00D069A2">
        <w:rPr>
          <w:rFonts w:eastAsia="Cambria"/>
        </w:rPr>
        <w:t xml:space="preserve"> Updates deployed</w:t>
      </w:r>
    </w:p>
    <w:p w14:paraId="76CE9B3D" w14:textId="77777777" w:rsidR="00245204" w:rsidRPr="00D069A2" w:rsidRDefault="00000000" w:rsidP="00B52980">
      <w:pPr>
        <w:pStyle w:val="L1-Bullet"/>
      </w:pPr>
      <w:r w:rsidRPr="00D069A2">
        <w:rPr>
          <w:rFonts w:eastAsia="Cambria"/>
        </w:rPr>
        <w:t>the status of any open remediation items from prior periods.</w:t>
      </w:r>
    </w:p>
    <w:p w14:paraId="6F266952" w14:textId="77777777" w:rsidR="00245204" w:rsidRPr="00D069A2" w:rsidRDefault="00000000" w:rsidP="00A05123">
      <w:pPr>
        <w:pStyle w:val="P0-Paragraph"/>
      </w:pPr>
      <w:r w:rsidRPr="00D069A2">
        <w:t>[Regulatory References: EU AI Act Art. 72 (Post-Market Monitoring); NIST AI RMF Measure 2.4; IEC 62443-3-3 SR 6.2]</w:t>
      </w:r>
    </w:p>
    <w:p w14:paraId="2FA359DD" w14:textId="77777777" w:rsidR="00245204" w:rsidRPr="00D069A2" w:rsidRDefault="00000000" w:rsidP="00B52980">
      <w:pPr>
        <w:pStyle w:val="HS-Heading3"/>
      </w:pPr>
      <w:r w:rsidRPr="00D069A2">
        <w:t>Annual security assessment</w:t>
      </w:r>
    </w:p>
    <w:p w14:paraId="28BB3C7E" w14:textId="77777777" w:rsidR="00245204" w:rsidRPr="00D069A2" w:rsidRDefault="00000000" w:rsidP="00A05123">
      <w:pPr>
        <w:pStyle w:val="P0-Paragraph"/>
      </w:pPr>
      <w:r w:rsidRPr="00D069A2">
        <w:t>The Vendor shall conduct and deliver to the Operator an Annual Security Assessment of the deployed Agentic System. Unless the non-high-risk exception below applies, the assessment shall be performed by a qualified independent assessor. Assessment scope and independence requirements depend on the applicable deployment classification under the EU AI Act and on the contractual requirements stated below. For example:</w:t>
      </w:r>
    </w:p>
    <w:p w14:paraId="320C7302" w14:textId="77777777" w:rsidR="00245204" w:rsidRPr="00D069A2" w:rsidRDefault="00000000" w:rsidP="00B52980">
      <w:pPr>
        <w:pStyle w:val="L1-Bullet"/>
      </w:pPr>
      <w:r w:rsidRPr="00D069A2">
        <w:t xml:space="preserve">EU AI Act conformity assessment: Article 43 applies according to the system’s legal classification. For high-risk systems listed in Annex III point 1, Article 43(1) provides the applicable conformity-assessment pathways and may require notified-body involvement depending on the standards or common-specification conditions stated in that Article. For Annex III points 2–8, Article 43(2) uses the Annex VI internal-control procedure without notified-body involvement. For high-risk AI systems covered by Union </w:t>
      </w:r>
      <w:proofErr w:type="spellStart"/>
      <w:r w:rsidRPr="00D069A2">
        <w:t>harmonisation</w:t>
      </w:r>
      <w:proofErr w:type="spellEnd"/>
      <w:r w:rsidRPr="00D069A2">
        <w:t xml:space="preserve"> legislation listed in Section A of Annex I, Article 43(3), as amended by Regulation (EU) 2026/1744, requires the provider to follow the relevant conformity-assessment procedure under that Union </w:t>
      </w:r>
      <w:proofErr w:type="spellStart"/>
      <w:r w:rsidRPr="00D069A2">
        <w:t>harmonisation</w:t>
      </w:r>
      <w:proofErr w:type="spellEnd"/>
      <w:r w:rsidRPr="00D069A2">
        <w:t xml:space="preserve"> legislation, with the applicable AI Act requirements incorporated into that assessment. These statutory conformity-assessment requirements are distinct from the independent Annual Security Assessment required contractually by this Section. Chapter III Sections 1–3 apply from 2 December 2027 for Article 6(2)/Annex III systems and from 2 August 2028 for Article 6(1)/Annex I systems under Regulation (EU) 2026/1744; re-verify the applicable date before execution. For machinery and related products governed by Regulation (EU) 2023/1230, which Regulation (EU) 2026/1744 moved to Section B of AI Act Annex I, follow the applicable sectoral machinery conformity-assessment route rather than the Article 43(3) Section A route.</w:t>
      </w:r>
    </w:p>
    <w:p w14:paraId="22A4E746" w14:textId="77777777" w:rsidR="00245204" w:rsidRPr="00D069A2" w:rsidRDefault="00000000" w:rsidP="00B52980">
      <w:pPr>
        <w:pStyle w:val="L1-Bullet"/>
      </w:pPr>
      <w:r w:rsidRPr="00D069A2">
        <w:t>Non-high-risk systems: assessment by the Vendor’s internal team is permissible with the Operator’s prior written approval, provided that the continued accuracy of the Behavioral Boundary Specification and the effectiveness of adversarial robustness controls are reviewed by an independent party.</w:t>
      </w:r>
    </w:p>
    <w:p w14:paraId="2B493036" w14:textId="77777777" w:rsidR="00245204" w:rsidRPr="00D069A2" w:rsidRDefault="00000000" w:rsidP="00A05123">
      <w:pPr>
        <w:pStyle w:val="P0-Paragraph"/>
      </w:pPr>
      <w:r w:rsidRPr="00D069A2">
        <w:rPr>
          <w:rFonts w:eastAsia="Cambria"/>
        </w:rPr>
        <w:t>The assessment shall evaluate:</w:t>
      </w:r>
    </w:p>
    <w:p w14:paraId="31CB61E8" w14:textId="112B3D0C" w:rsidR="00245204" w:rsidRPr="00D069A2" w:rsidRDefault="00B52980" w:rsidP="00B52980">
      <w:pPr>
        <w:pStyle w:val="L1-Bullet"/>
      </w:pPr>
      <w:r w:rsidRPr="00D069A2">
        <w:rPr>
          <w:rFonts w:eastAsia="Cambria"/>
        </w:rPr>
        <w:t xml:space="preserve">The </w:t>
      </w:r>
      <w:r w:rsidR="00000000" w:rsidRPr="00D069A2">
        <w:rPr>
          <w:rFonts w:eastAsia="Cambria"/>
        </w:rPr>
        <w:t>continued accuracy of the Behavioral Boundary Specification</w:t>
      </w:r>
    </w:p>
    <w:p w14:paraId="6277D666" w14:textId="01637E9D" w:rsidR="00245204" w:rsidRPr="00D069A2" w:rsidRDefault="00B52980" w:rsidP="00B52980">
      <w:pPr>
        <w:pStyle w:val="L1-Bullet"/>
      </w:pPr>
      <w:r w:rsidRPr="00D069A2">
        <w:rPr>
          <w:rFonts w:eastAsia="Cambria"/>
        </w:rPr>
        <w:t xml:space="preserve">The </w:t>
      </w:r>
      <w:r w:rsidR="00000000" w:rsidRPr="00D069A2">
        <w:rPr>
          <w:rFonts w:eastAsia="Cambria"/>
        </w:rPr>
        <w:t>effectiveness of adversarial robustness controls against current MITRE ATLAS threat techniques</w:t>
      </w:r>
    </w:p>
    <w:p w14:paraId="2A68EE15" w14:textId="4A2A1713" w:rsidR="00245204" w:rsidRPr="00D069A2" w:rsidRDefault="00B52980" w:rsidP="00B52980">
      <w:pPr>
        <w:pStyle w:val="L1-Bullet"/>
      </w:pPr>
      <w:r w:rsidRPr="00D069A2">
        <w:rPr>
          <w:rFonts w:eastAsia="Cambria"/>
        </w:rPr>
        <w:t xml:space="preserve">The </w:t>
      </w:r>
      <w:r w:rsidR="00000000" w:rsidRPr="00D069A2">
        <w:rPr>
          <w:rFonts w:eastAsia="Cambria"/>
        </w:rPr>
        <w:t xml:space="preserve">integrity of the </w:t>
      </w:r>
      <w:r w:rsidRPr="00D069A2">
        <w:rPr>
          <w:rFonts w:eastAsia="Cambria"/>
        </w:rPr>
        <w:t xml:space="preserve">lora </w:t>
      </w:r>
      <w:r w:rsidR="00000000" w:rsidRPr="00D069A2">
        <w:rPr>
          <w:rFonts w:eastAsia="Cambria"/>
        </w:rPr>
        <w:t>Update pipeline security controls</w:t>
      </w:r>
    </w:p>
    <w:p w14:paraId="16826C1B" w14:textId="38E8DF5F" w:rsidR="00245204" w:rsidRPr="00D069A2" w:rsidRDefault="00B52980" w:rsidP="00B52980">
      <w:pPr>
        <w:pStyle w:val="L1-Bullet"/>
      </w:pPr>
      <w:r w:rsidRPr="00D069A2">
        <w:rPr>
          <w:rFonts w:eastAsia="Cambria"/>
        </w:rPr>
        <w:t xml:space="preserve">The </w:t>
      </w:r>
      <w:r w:rsidR="00000000" w:rsidRPr="00D069A2">
        <w:rPr>
          <w:rFonts w:eastAsia="Cambria"/>
        </w:rPr>
        <w:t>completeness and forensic sufficiency of Decision Lineage Records</w:t>
      </w:r>
    </w:p>
    <w:p w14:paraId="2479FE6F" w14:textId="758CE4EB" w:rsidR="00245204" w:rsidRPr="00D069A2" w:rsidRDefault="00B52980" w:rsidP="00B52980">
      <w:pPr>
        <w:pStyle w:val="L1-Bullet"/>
      </w:pPr>
      <w:r w:rsidRPr="00D069A2">
        <w:t xml:space="preserve">Any </w:t>
      </w:r>
      <w:r w:rsidR="00000000" w:rsidRPr="00D069A2">
        <w:t xml:space="preserve">identified gaps between the Vendor’s security posture and the obligations of this instrument, with a proposed remediation timeline for each gap. Identified gaps without a remediation timeline do not satisfy this obligation. Unresolved gaps from a prior assessment year that remain unresolved </w:t>
      </w:r>
      <w:r w:rsidR="00000000" w:rsidRPr="00D069A2">
        <w:lastRenderedPageBreak/>
        <w:t>in the current assessment constitute a continuing contractual nonconformance under Section 11.6 and shall be escalated under the breach-classification and remedies provisions of the Master Agreement. Where the Operator has provided written acceptance of a documented risk exception, the accepted gap is not treated as a continuing contractual nonconformance for the scope and duration of that acceptance. Any nonconformance not covered by such an acceptance shall be treated as a Material Breach only to the extent the Master Agreement expressly provides that the condition satisfies, or permits this exhibit to designate, the applicable Material Breach criterion.</w:t>
      </w:r>
    </w:p>
    <w:p w14:paraId="08241D9A" w14:textId="0B9C4801" w:rsidR="00245204" w:rsidRPr="00D069A2" w:rsidRDefault="00000000" w:rsidP="00A05123">
      <w:pPr>
        <w:pStyle w:val="P0-Paragraph"/>
      </w:pPr>
      <w:r w:rsidRPr="00D069A2">
        <w:t>[Regulatory References: EU AI Act Art. 43 (Conformity Assessment); Regulation (EU) 2023/1230 (Machinery), where applicable; NIST AI RMF Govern 5.2]</w:t>
      </w:r>
    </w:p>
    <w:p w14:paraId="6C90549D" w14:textId="77777777" w:rsidR="00245204" w:rsidRPr="00D069A2" w:rsidRDefault="00000000" w:rsidP="00B52980">
      <w:pPr>
        <w:pStyle w:val="HS-Heading2"/>
      </w:pPr>
      <w:r w:rsidRPr="00D069A2">
        <w:t>Section 11.7 — Liability allocation and physical consequence attribution</w:t>
      </w:r>
    </w:p>
    <w:p w14:paraId="780B09A9" w14:textId="77777777" w:rsidR="00245204" w:rsidRPr="00D069A2" w:rsidRDefault="00000000" w:rsidP="00A05123">
      <w:pPr>
        <w:pStyle w:val="P0-Paragraph"/>
      </w:pPr>
      <w:r w:rsidRPr="00D069A2">
        <w:rPr>
          <w:rFonts w:eastAsia="Cambria"/>
        </w:rPr>
        <w:t>The obligations in Section 11 define what each party must do. This section specifies who bears the consequences when those obligations are not met and physical harm occurs. Causal attribution is the technical determination of whether a Physical Consequence Action originated from a Vendor-component failure or from an Operator-side decision. This determination governs liability allocation throughout this section. The forensic reconstruction process, together with the Decision Lineage Record requirements defined in this artifact, provides the evidentiary basis for that determination.</w:t>
      </w:r>
    </w:p>
    <w:p w14:paraId="5A7E97B2" w14:textId="77777777" w:rsidR="00245204" w:rsidRPr="00D069A2" w:rsidRDefault="00000000" w:rsidP="00B52980">
      <w:pPr>
        <w:pStyle w:val="HS-Heading3"/>
      </w:pPr>
      <w:r w:rsidRPr="00D069A2">
        <w:t>Vendor liability for objective integrity violations</w:t>
      </w:r>
    </w:p>
    <w:p w14:paraId="458E78E1" w14:textId="77777777" w:rsidR="00245204" w:rsidRPr="00D069A2" w:rsidRDefault="00000000" w:rsidP="00A05123">
      <w:pPr>
        <w:pStyle w:val="P0-Paragraph"/>
      </w:pPr>
      <w:r w:rsidRPr="00D069A2">
        <w:rPr>
          <w:rFonts w:eastAsia="Cambria"/>
        </w:rPr>
        <w:t>The Vendor shall bear primary liability for any Objective Integrity Violation that is causally attributable to:</w:t>
      </w:r>
    </w:p>
    <w:p w14:paraId="05C03B30" w14:textId="5AF62FF1" w:rsidR="00245204" w:rsidRPr="00D069A2" w:rsidRDefault="00B52980" w:rsidP="00B52980">
      <w:pPr>
        <w:pStyle w:val="L1-Bullet"/>
      </w:pPr>
      <w:r w:rsidRPr="00D069A2">
        <w:rPr>
          <w:rFonts w:eastAsia="Cambria"/>
        </w:rPr>
        <w:t xml:space="preserve">A </w:t>
      </w:r>
      <w:r w:rsidR="00000000" w:rsidRPr="00D069A2">
        <w:rPr>
          <w:rFonts w:eastAsia="Cambria"/>
        </w:rPr>
        <w:t xml:space="preserve">defect in the Vendor’s model weights, training pipeline, or </w:t>
      </w:r>
      <w:r w:rsidRPr="00D069A2">
        <w:rPr>
          <w:rFonts w:eastAsia="Cambria"/>
        </w:rPr>
        <w:t xml:space="preserve">lora </w:t>
      </w:r>
      <w:r w:rsidR="00000000" w:rsidRPr="00D069A2">
        <w:rPr>
          <w:rFonts w:eastAsia="Cambria"/>
        </w:rPr>
        <w:t>Update</w:t>
      </w:r>
    </w:p>
    <w:p w14:paraId="3AAB660C" w14:textId="7D6AF18C" w:rsidR="00245204" w:rsidRPr="00D069A2" w:rsidRDefault="00B52980" w:rsidP="00B52980">
      <w:pPr>
        <w:pStyle w:val="L1-Bullet"/>
      </w:pPr>
      <w:r w:rsidRPr="00D069A2">
        <w:rPr>
          <w:rFonts w:eastAsia="Cambria"/>
        </w:rPr>
        <w:t xml:space="preserve">A </w:t>
      </w:r>
      <w:r w:rsidR="00000000" w:rsidRPr="00D069A2">
        <w:rPr>
          <w:rFonts w:eastAsia="Cambria"/>
        </w:rPr>
        <w:t>failure of the Vendor’s adversarial robustness controls to prevent a documented MITRE ATLAS attack technique from producing an Objective Integrity Violation</w:t>
      </w:r>
    </w:p>
    <w:p w14:paraId="5C76AA62" w14:textId="3F25CD32" w:rsidR="00245204" w:rsidRPr="00D069A2" w:rsidRDefault="00B52980" w:rsidP="00B52980">
      <w:pPr>
        <w:pStyle w:val="L1-Bullet"/>
      </w:pPr>
      <w:r w:rsidRPr="00D069A2">
        <w:rPr>
          <w:rFonts w:eastAsia="Cambria"/>
        </w:rPr>
        <w:t xml:space="preserve">A </w:t>
      </w:r>
      <w:r w:rsidR="00000000" w:rsidRPr="00D069A2">
        <w:rPr>
          <w:rFonts w:eastAsia="Cambria"/>
        </w:rPr>
        <w:t>failure of the Vendor to deliver conforming attestation reports, AI-BOM updates, or Decision Lineage Records that would have enabled the Operator to detect the violation before physical consequence occurred.</w:t>
      </w:r>
    </w:p>
    <w:p w14:paraId="4F734B24" w14:textId="77777777" w:rsidR="00245204" w:rsidRPr="00D069A2" w:rsidRDefault="00000000" w:rsidP="00A05123">
      <w:pPr>
        <w:pStyle w:val="P0-Paragraph"/>
      </w:pPr>
      <w:r w:rsidRPr="00D069A2">
        <w:t xml:space="preserve">Causal attribution shall be established through the forensic reconstruction process in Section 11.4, using W3C Trace Context to correlate distributed decision and execution events and the Decision Lineage Record runtime/model provenance reference, including the applicable AI-BOM component hash or other version-resolved component identifier, to identify the implicated AI-BOM entry. Where the Vendor has met all notification, attestation, and reporting obligations under this instrument, and the Objective Integrity Violation is attributable solely to Operator-side configuration, deployment, or integration decisions, liability shall be </w:t>
      </w:r>
      <w:proofErr w:type="gramStart"/>
      <w:r w:rsidRPr="00D069A2">
        <w:t>allocated to the Operator</w:t>
      </w:r>
      <w:proofErr w:type="gramEnd"/>
      <w:r w:rsidRPr="00D069A2">
        <w:t xml:space="preserve"> to the extent permitted by applicable law. Where Vendor-side and Operator-side causes concurrently contribute to a Physical Consequence Action, responsibility between the parties shall be allocated in proportion to their established causal contribution, subject to any non-waivable allocation imposed by applicable law. A disputed technical attribution shall first be reviewed by a joint Vendor-Operator technical panel; if unresolved, it shall be referred to an independent technical expert agreed by the parties before proceeding under the Master Agreement’s dispute-resolution process.</w:t>
      </w:r>
    </w:p>
    <w:p w14:paraId="1516803E" w14:textId="77777777" w:rsidR="00245204" w:rsidRPr="00D069A2" w:rsidRDefault="00000000" w:rsidP="00A05123">
      <w:pPr>
        <w:pStyle w:val="P0-Paragraph"/>
      </w:pPr>
      <w:r w:rsidRPr="00D069A2">
        <w:t>[Regulatory References: EU Revised Product Liability Directive Art. 8–15; EU AI Act Art. 25; NIST AI RMF Govern 6.2]</w:t>
      </w:r>
    </w:p>
    <w:p w14:paraId="1B428E09" w14:textId="77777777" w:rsidR="00245204" w:rsidRPr="00D069A2" w:rsidRDefault="00000000" w:rsidP="00B52980">
      <w:pPr>
        <w:pStyle w:val="HS-Heading3"/>
      </w:pPr>
      <w:r w:rsidRPr="00D069A2">
        <w:lastRenderedPageBreak/>
        <w:t>Physical impact liability cap and carve-outs</w:t>
      </w:r>
    </w:p>
    <w:p w14:paraId="6923637F" w14:textId="77777777" w:rsidR="00B52980" w:rsidRDefault="00000000" w:rsidP="00B52980">
      <w:pPr>
        <w:pStyle w:val="P0-Paragraph"/>
      </w:pPr>
      <w:r w:rsidRPr="00D069A2">
        <w:rPr>
          <w:rFonts w:eastAsia="Cambria"/>
        </w:rPr>
        <w:t>In the base case, where a Physical Consequence Action is caused by the Vendor’s model weights and all parties have met their obligations, the Vendor’s aggregate liability for physical damage from a single Physical Consequence Action or related series shall not exceed</w:t>
      </w:r>
      <w:r w:rsidRPr="00D069A2">
        <w:t xml:space="preserve"> </w:t>
      </w:r>
    </w:p>
    <w:p w14:paraId="634FBBFF" w14:textId="50730F6B" w:rsidR="00245204" w:rsidRPr="00B52980" w:rsidRDefault="00000000" w:rsidP="00A05123">
      <w:pPr>
        <w:pStyle w:val="P0-Paragraph"/>
      </w:pPr>
      <w:r w:rsidRPr="00B52980">
        <w:rPr>
          <w:rFonts w:eastAsia="Consolas"/>
        </w:rPr>
        <w:t>[NEGOTIATED CAP]. This cap allocates liability between the parties only and does not limit or exclude either party's liability to an injured person to the extent such limitation or exclusion is prohibited by applicable law, including national law implementing Article 15 of Directive (EU) 2024/2853 where applicable. The cap does not apply</w:t>
      </w:r>
      <w:r w:rsidRPr="00B52980">
        <w:rPr>
          <w:rFonts w:eastAsia="Cambria"/>
        </w:rPr>
        <w:t xml:space="preserve"> in three circumstances where the Vendor’s own process failures compounded the harm:</w:t>
      </w:r>
    </w:p>
    <w:p w14:paraId="04EBFF7B" w14:textId="14A53938" w:rsidR="00245204" w:rsidRPr="00D069A2" w:rsidRDefault="00B52980" w:rsidP="00B52980">
      <w:pPr>
        <w:pStyle w:val="L1-Bullet"/>
      </w:pPr>
      <w:r w:rsidRPr="00D069A2">
        <w:rPr>
          <w:rFonts w:eastAsia="Cambria"/>
        </w:rPr>
        <w:t xml:space="preserve">The </w:t>
      </w:r>
      <w:r w:rsidR="00000000" w:rsidRPr="00D069A2">
        <w:rPr>
          <w:rFonts w:eastAsia="Cambria"/>
        </w:rPr>
        <w:t>Vendor failed to deliver a conforming Robustness Assessment Report before the deployment that introduced the implicated model weights</w:t>
      </w:r>
    </w:p>
    <w:p w14:paraId="6CB4BCFD" w14:textId="4DE8851D" w:rsidR="00245204" w:rsidRPr="00D069A2" w:rsidRDefault="00B52980" w:rsidP="00B52980">
      <w:pPr>
        <w:pStyle w:val="L1-Bullet"/>
      </w:pPr>
      <w:r w:rsidRPr="00D069A2">
        <w:rPr>
          <w:rFonts w:eastAsia="Cambria"/>
        </w:rPr>
        <w:t xml:space="preserve">The </w:t>
      </w:r>
      <w:r w:rsidR="00000000" w:rsidRPr="00D069A2">
        <w:rPr>
          <w:rFonts w:eastAsia="Cambria"/>
        </w:rPr>
        <w:t>Vendor failed to notify the Operator within the Tier 1 notification window after detecting the triggering condition</w:t>
      </w:r>
    </w:p>
    <w:p w14:paraId="6CC335A9" w14:textId="0CD2DF35" w:rsidR="00245204" w:rsidRPr="00D069A2" w:rsidRDefault="00B52980" w:rsidP="00B52980">
      <w:pPr>
        <w:pStyle w:val="L1-Bullet"/>
      </w:pPr>
      <w:r w:rsidRPr="00D069A2">
        <w:rPr>
          <w:rFonts w:eastAsia="Cambria"/>
        </w:rPr>
        <w:t xml:space="preserve">The </w:t>
      </w:r>
      <w:r w:rsidR="00000000" w:rsidRPr="00D069A2">
        <w:rPr>
          <w:rFonts w:eastAsia="Cambria"/>
        </w:rPr>
        <w:t>Vendor modified, deleted, or withheld Decision Lineage Records relevant to the incident.</w:t>
      </w:r>
    </w:p>
    <w:p w14:paraId="17EE8910" w14:textId="77777777" w:rsidR="00245204" w:rsidRPr="00D069A2" w:rsidRDefault="00000000" w:rsidP="00A05123">
      <w:pPr>
        <w:pStyle w:val="P0-Paragraph"/>
        <w:rPr>
          <w:rFonts w:ascii="Consolas" w:eastAsia="Consolas" w:hAnsi="Consolas" w:cs="Consolas"/>
          <w:sz w:val="22"/>
          <w:szCs w:val="22"/>
        </w:rPr>
      </w:pPr>
      <w:r w:rsidRPr="00D069A2">
        <w:t>[Regulatory References: EU Revised Product Liability Directive Art. 12–15]</w:t>
      </w:r>
    </w:p>
    <w:p w14:paraId="350CD73F" w14:textId="77777777" w:rsidR="00245204" w:rsidRPr="00D069A2" w:rsidRDefault="00000000" w:rsidP="00B52980">
      <w:pPr>
        <w:pStyle w:val="HS-Heading3"/>
        <w:rPr>
          <w:rFonts w:ascii="Consolas" w:eastAsia="Consolas" w:hAnsi="Consolas" w:cs="Consolas"/>
          <w:sz w:val="22"/>
          <w:szCs w:val="22"/>
        </w:rPr>
      </w:pPr>
      <w:bookmarkStart w:id="5" w:name="_heading=h.ke1mt1kpusm0" w:colFirst="0" w:colLast="0"/>
      <w:bookmarkEnd w:id="5"/>
      <w:r w:rsidRPr="00D069A2">
        <w:t>Insurance requirements</w:t>
      </w:r>
    </w:p>
    <w:p w14:paraId="48AA5AB6" w14:textId="77777777" w:rsidR="00245204" w:rsidRPr="00D069A2" w:rsidRDefault="00000000" w:rsidP="00A05123">
      <w:pPr>
        <w:pStyle w:val="P0-Paragraph"/>
      </w:pPr>
      <w:r w:rsidRPr="00D069A2">
        <w:t>The Vendor shall maintain, for the duration of this instrument and [NEGOTIATED POST-TERMINATION PERIOD] thereafter: (a) technology errors and omissions / cyber liability insurance with per-occurrence limits of not less than [NEGOTIATED AMOUNT], and (b) product/general liability insurance expressly covering bodily injury, death, and property damage arising from a Physical Consequence Action, with per-occurrence and aggregate limits of not less than [NEGOTIATED AMOUNT], naming the Operator as an additional insured on the product/general liability policy to the extent available for the applicable coverage and requiring at least [DEFAULT: 30 days] written notice of cancellation, non-renewal, or material reduction in coverage to the extent commercially available. The Vendor shall disclose before execution any exclusion for AI/autonomous-system operation, cyber-physical loss, or algorithmic decision-making that could materially limit coverage for the risks allocated to the Vendor under this instrument. The negotiated post-termination period shall take account of the policy form, whether coverage is occurrence-based or claims-made, and the applicable liability exposure period. Insurance limits under this section do not create, expand, or cap the Vendor’s liability under this Section 11.7; they are a financial-assurance mechanism, not a substitute for the liability allocation defined here.</w:t>
      </w:r>
    </w:p>
    <w:p w14:paraId="4A66D541" w14:textId="77777777" w:rsidR="00245204" w:rsidRPr="00D069A2" w:rsidRDefault="00000000" w:rsidP="00B52980">
      <w:pPr>
        <w:pStyle w:val="HS-Heading3"/>
      </w:pPr>
      <w:r w:rsidRPr="00D069A2">
        <w:lastRenderedPageBreak/>
        <w:t>Subcontractor liability pass-through</w:t>
      </w:r>
    </w:p>
    <w:p w14:paraId="660FEFFC" w14:textId="77777777" w:rsidR="00245204" w:rsidRPr="00D069A2" w:rsidRDefault="00000000" w:rsidP="00A05123">
      <w:pPr>
        <w:pStyle w:val="P0-Paragraph"/>
      </w:pPr>
      <w:r w:rsidRPr="00D069A2">
        <w:rPr>
          <w:rFonts w:eastAsia="Cambria"/>
        </w:rPr>
        <w:t xml:space="preserve">Delegation to a subcontractor does not reduce the Vendor’s obligations under this instrument. Where the Vendor has delegated any obligation — including fine-tuning pipeline operations, hardware attestation services, or AI-BOM generation — the Vendor remains fully liable to the Operator for that subcontractor’s performance. The Vendor shall maintain enforceable contractual rights against each </w:t>
      </w:r>
      <w:proofErr w:type="gramStart"/>
      <w:r w:rsidRPr="00D069A2">
        <w:rPr>
          <w:rFonts w:eastAsia="Cambria"/>
        </w:rPr>
        <w:t>subcontractor, and</w:t>
      </w:r>
      <w:proofErr w:type="gramEnd"/>
      <w:r w:rsidRPr="00D069A2">
        <w:rPr>
          <w:rFonts w:eastAsia="Cambria"/>
        </w:rPr>
        <w:t xml:space="preserve"> shall provide the Operator with evidence of those rights upon written request.</w:t>
      </w:r>
    </w:p>
    <w:p w14:paraId="0C767A6E" w14:textId="77777777" w:rsidR="00245204" w:rsidRPr="00D069A2" w:rsidRDefault="00000000" w:rsidP="00A05123">
      <w:pPr>
        <w:pStyle w:val="P0-Paragraph"/>
        <w:rPr>
          <w:rFonts w:eastAsia="Consolas"/>
        </w:rPr>
      </w:pPr>
      <w:r w:rsidRPr="00D069A2">
        <w:rPr>
          <w:rFonts w:eastAsia="Consolas"/>
        </w:rPr>
        <w:t>[Regulatory References: EU AI Act Art. 25; NIS2 Art. 21(3) (Supply Chain); NIST SP 800-161 Rev. 1 C-SCRM controls SR-3(3), SA-9]</w:t>
      </w:r>
    </w:p>
    <w:p w14:paraId="3843864F" w14:textId="77777777" w:rsidR="00245204" w:rsidRPr="00D069A2" w:rsidRDefault="00000000" w:rsidP="00B52980">
      <w:pPr>
        <w:pStyle w:val="HS-Heading3"/>
      </w:pPr>
      <w:bookmarkStart w:id="6" w:name="_heading=h.a2494fc8l7gv" w:colFirst="0" w:colLast="0"/>
      <w:bookmarkEnd w:id="6"/>
      <w:r w:rsidRPr="00D069A2">
        <w:t>ICT third-party exit strategy and continuity</w:t>
      </w:r>
    </w:p>
    <w:p w14:paraId="11844EF5" w14:textId="77777777" w:rsidR="00245204" w:rsidRPr="00D069A2" w:rsidRDefault="00000000" w:rsidP="00A05123">
      <w:pPr>
        <w:pStyle w:val="P0-Paragraph"/>
      </w:pPr>
      <w:r w:rsidRPr="00D069A2">
        <w:t>Where the Operator is a financial entity subject to DORA, the Vendor shall maintain and provide to the Operator, upon request and no less than annually, a documented exit plan covering: data and AI-BOM portability in a structured, machine-readable format; a transition period of not less than [DEFAULT: 90 days] during which the Vendor shall continue to perform all obligations under this instrument; and identification of any single-vendor dependency or concentration risk in the actuation or model-update pipeline that would materially impede transition to an alternative provider. The Vendor shall notify the Operator of any material change to its subcontracting structure that would affect this exit plan.</w:t>
      </w:r>
    </w:p>
    <w:p w14:paraId="1BD5C0B5" w14:textId="77777777" w:rsidR="00245204" w:rsidRPr="00D069A2" w:rsidRDefault="00000000" w:rsidP="00A05123">
      <w:pPr>
        <w:pStyle w:val="P0-Paragraph"/>
      </w:pPr>
      <w:r w:rsidRPr="00D069A2">
        <w:t>Where the Operator is subject to DORA and the Vendor provides ICT services supporting a critical or important function, the parties shall ensure that the executed contractual arrangement includes all additional provisions applicable under DORA Article 30, including applicable quantitative and qualitative service levels, service and data-processing locations and advance notice of changes, contingency and business-continuity testing obligations, cooperation with competent authorities, applicable threat-led penetration-testing participation, termination rights and notice periods, and rights of access, inspection, and audit for the Operator, its appointed auditors, and competent authorities. Where those provisions are already contained in the Master Agreement or a DORA addendum, they are incorporated here by reference and shall not be duplicated inconsistently.</w:t>
      </w:r>
    </w:p>
    <w:p w14:paraId="4D5BBA1F" w14:textId="4DA3833F" w:rsidR="00245204" w:rsidRPr="00D069A2" w:rsidRDefault="00000000" w:rsidP="00A05123">
      <w:pPr>
        <w:pStyle w:val="P0-Paragraph"/>
      </w:pPr>
      <w:r w:rsidRPr="00D069A2">
        <w:rPr>
          <w:rFonts w:ascii="Consolas" w:eastAsia="Consolas" w:hAnsi="Consolas" w:cs="Consolas"/>
          <w:sz w:val="22"/>
          <w:szCs w:val="22"/>
        </w:rPr>
        <w:t>[Regulatory References:</w:t>
      </w:r>
      <w:r w:rsidRPr="00D069A2">
        <w:t xml:space="preserve"> DORA Art. 28 (ICT Third-Party Risk), Art. 30 (Contractual Provisions)]</w:t>
      </w:r>
    </w:p>
    <w:p w14:paraId="5300069C" w14:textId="77777777" w:rsidR="00245204" w:rsidRPr="00D069A2" w:rsidRDefault="00000000" w:rsidP="00B52980">
      <w:pPr>
        <w:pStyle w:val="HS-Heading2"/>
      </w:pPr>
      <w:r w:rsidRPr="00D069A2">
        <w:t>Section 11.8 — Regulatory crosswalk and extension protocol</w:t>
      </w:r>
    </w:p>
    <w:p w14:paraId="430A7639" w14:textId="77777777" w:rsidR="00245204" w:rsidRPr="00D069A2" w:rsidRDefault="00000000" w:rsidP="00A05123">
      <w:pPr>
        <w:pStyle w:val="P0-Paragraph"/>
      </w:pPr>
      <w:r w:rsidRPr="00D069A2">
        <w:t>The clause-by-clause crosswalk is maintained in the companion workbook ASCR-11-OE01-Supplemental-Schedules-and-Tables.xlsx, sheet 11.8 Regulatory Crosswalk. The sheet maps each instrument section to EU AI Act, EU Revised Product Liability Directive, NIS2, DORA, IEC 62443-3-3, NIST AI RMF, NIST SP 800-53 Rev 5, NIST SP 800-161 Rev. 1, and GDPR / Data Protection (or Equivalent) provisions and carries filtering/sorting plus the Extension Protocol below. The mappings are subject to execution-date verification in accordance with the Point-in-Time and Jurisdictional Scope Statement.</w:t>
      </w:r>
    </w:p>
    <w:p w14:paraId="03664399" w14:textId="77777777" w:rsidR="00245204" w:rsidRPr="00D069A2" w:rsidRDefault="00000000" w:rsidP="00A05123">
      <w:pPr>
        <w:pStyle w:val="P0-Paragraph"/>
      </w:pPr>
      <w:r w:rsidRPr="00D069A2">
        <w:t>Organizations should verify article numbering against the consolidated version in force at execution. Organizations operating under additional regulatory regimes may extend the workbook sheet by inserting a new regulatory-regime column without modifying clause language in this document.</w:t>
      </w:r>
    </w:p>
    <w:p w14:paraId="6A8DF343" w14:textId="2B704D14" w:rsidR="00245204" w:rsidRPr="00D069A2" w:rsidRDefault="00000000" w:rsidP="00A05123">
      <w:pPr>
        <w:pStyle w:val="P0-Paragraph"/>
      </w:pPr>
      <w:r w:rsidRPr="00D069A2">
        <w:rPr>
          <w:rStyle w:val="CS-Keyword"/>
        </w:rPr>
        <w:t>Extension Protocol:</w:t>
      </w:r>
      <w:r w:rsidRPr="00A05123">
        <w:rPr>
          <w:rFonts w:eastAsiaTheme="minorHAnsi"/>
        </w:rPr>
        <w:t xml:space="preserve"> To add a regulatory regime, insert a column with the regime identifier and populate each row with the applicable provision reference. Where no provision applies, insert “—”. Submit the extended table to both parties’ legal counsel for countersignature before operational reliance. Suggested candidate regimes for near-term extension: ISO/SAE 21434 (automotive cybersecurity), NIST CSF 2.0, UK Product Security and Telecommunications Infrastructure Act 2022, Australian Security of Critical Infrastructure Act 2018. </w:t>
      </w:r>
      <w:r w:rsidRPr="00A05123">
        <w:rPr>
          <w:rFonts w:eastAsiaTheme="minorHAnsi"/>
        </w:rPr>
        <w:lastRenderedPageBreak/>
        <w:t>Complete all extension columns before execution. Post-execution additions require countersignature and create ambiguity about which version governs interim operations. Treat the crosswalk table as a pre-execution deliverable, not a post-execution annotation.</w:t>
      </w:r>
    </w:p>
    <w:p w14:paraId="62BA4B2C" w14:textId="77777777" w:rsidR="00245204" w:rsidRPr="00D069A2" w:rsidRDefault="00000000" w:rsidP="000349DF">
      <w:pPr>
        <w:pStyle w:val="HS-Heading2"/>
      </w:pPr>
      <w:r w:rsidRPr="00D069A2">
        <w:t>Section 11.9 — Schedule templates</w:t>
      </w:r>
    </w:p>
    <w:p w14:paraId="1FE2BE2A" w14:textId="77777777" w:rsidR="00245204" w:rsidRPr="00D069A2" w:rsidRDefault="00000000" w:rsidP="00A05123">
      <w:pPr>
        <w:pStyle w:val="P0-Paragraph"/>
      </w:pPr>
      <w:r w:rsidRPr="00D069A2">
        <w:rPr>
          <w:rFonts w:eastAsia="Cambria"/>
        </w:rPr>
        <w:t xml:space="preserve">Schedules A, B, C, and </w:t>
      </w:r>
      <w:proofErr w:type="spellStart"/>
      <w:r w:rsidRPr="00D069A2">
        <w:rPr>
          <w:rFonts w:eastAsia="Cambria"/>
        </w:rPr>
        <w:t>D are</w:t>
      </w:r>
      <w:proofErr w:type="spellEnd"/>
      <w:r w:rsidRPr="00D069A2">
        <w:rPr>
          <w:rFonts w:eastAsia="Cambria"/>
        </w:rPr>
        <w:t xml:space="preserve"> fillable parameter tables completed by the parties at execution and updated across the operational lifecycle (see Update Triggers in the front-matter table). To keep those updates from requiring a redline of this instrument, the fillable tables are maintained in the companion workbook ASCR-11-OE01-Supplemental-Schedules-and-Tables.xlsx, sheets Schedule A, Schedule B, Schedule C, and Schedule D. The governing instructions, required participants, and definitional notes below control completion of the corresponding workbook tables.</w:t>
      </w:r>
    </w:p>
    <w:p w14:paraId="58A6094E" w14:textId="77777777" w:rsidR="00245204" w:rsidRPr="00D069A2" w:rsidRDefault="00000000" w:rsidP="00A05123">
      <w:pPr>
        <w:pStyle w:val="P0-Paragraph"/>
      </w:pPr>
      <w:r w:rsidRPr="00D069A2">
        <w:rPr>
          <w:b/>
          <w:bCs/>
        </w:rPr>
        <w:t xml:space="preserve">Schedule execution and countersignature. </w:t>
      </w:r>
      <w:r w:rsidRPr="00D069A2">
        <w:t xml:space="preserve">A Schedule A, B, C, or D value becomes effective only after the applicable schedule is completed and the corresponding entry in the OE01 Index execution register records the schedule identifier, the effective ASCR-11/OE01 version or other approved version-resolved document identifier, the effective date, the Operator authorized signatory and title, the Vendor authorized signatory and title, the applicable signature or execution-evidence reference, and any superseded version. Signatures may use the execution method authorized by the governing Master Agreement. A post-execution schedule change does not supersede the previously effective value until the replacement entry is completed and countersigned. The execution </w:t>
      </w:r>
      <w:proofErr w:type="gramStart"/>
      <w:r w:rsidRPr="00D069A2">
        <w:t>register</w:t>
      </w:r>
      <w:proofErr w:type="gramEnd"/>
      <w:r w:rsidRPr="00D069A2">
        <w:t xml:space="preserve"> </w:t>
      </w:r>
      <w:proofErr w:type="gramStart"/>
      <w:r w:rsidRPr="00D069A2">
        <w:t>evidences</w:t>
      </w:r>
      <w:proofErr w:type="gramEnd"/>
      <w:r w:rsidRPr="00D069A2">
        <w:t xml:space="preserve"> contractual execution; it does not reassign runtime ownership of values governed by another ASCR artifact.</w:t>
      </w:r>
    </w:p>
    <w:p w14:paraId="74BFCA14" w14:textId="77777777" w:rsidR="00245204" w:rsidRPr="000349DF" w:rsidRDefault="00000000" w:rsidP="000349DF">
      <w:pPr>
        <w:pStyle w:val="HS-Heading3"/>
      </w:pPr>
      <w:r w:rsidRPr="000349DF">
        <w:t>Schedule A — Semantic Drift Tolerance Parameters</w:t>
      </w:r>
    </w:p>
    <w:p w14:paraId="7CB84BCF" w14:textId="77777777" w:rsidR="00245204" w:rsidRPr="00D069A2" w:rsidRDefault="00000000" w:rsidP="00A05123">
      <w:pPr>
        <w:pStyle w:val="P0-Paragraph"/>
      </w:pPr>
      <w:r w:rsidRPr="00D069A2">
        <w:t xml:space="preserve">Completion requires joint input from the AI/ML Engineering team (who own model and semantic measurement configuration, including the embedding model where applicable), the OT Engineering team (who own the actuation-domain units and cycle measurement points), and legal counsel (who confirm that the threshold values here become enforceable measurement obligations). ASCR-07 owns the </w:t>
      </w:r>
      <w:proofErr w:type="spellStart"/>
      <w:r w:rsidRPr="00D069A2">
        <w:t>divergence_score</w:t>
      </w:r>
      <w:proofErr w:type="spellEnd"/>
      <w:r w:rsidRPr="00D069A2">
        <w:t xml:space="preserve"> field and methodology under ASCR-07 Sections 1.1 and 1.3; Schedule A does not redefine that measure unless an executed Schedule </w:t>
      </w:r>
      <w:proofErr w:type="spellStart"/>
      <w:r w:rsidRPr="00D069A2">
        <w:t>A</w:t>
      </w:r>
      <w:proofErr w:type="spellEnd"/>
      <w:r w:rsidRPr="00D069A2">
        <w:t xml:space="preserve"> entry expressly maps a contractual measurand to the ASCR-07 methodology. Do not complete this schedule without all three represented.</w:t>
      </w:r>
    </w:p>
    <w:p w14:paraId="45414FCA" w14:textId="77777777" w:rsidR="00245204" w:rsidRPr="00D069A2" w:rsidRDefault="00000000" w:rsidP="00A05123">
      <w:pPr>
        <w:pStyle w:val="P0-Paragraph"/>
      </w:pPr>
      <w:r w:rsidRPr="00D069A2">
        <w:t>The workbook sheet carries six parameters: z-axis force deviation, trajectory angular deviation, Token Output Semantic Divergence, actuation command latency, MCP context scope violation, and the deployment anchor cosine-distance threshold. Each row records its SOFT_ALERT threshold, HARD_BLOCK threshold, measurement unit, measurement frequency, Enforcement State response, and the applicable Notification Tier reference governed by Section 11.5. Where a parameter has no graded response (MCP context scope violation; deployment anchor), the SOFT_ALERT column is recorded as N/A.</w:t>
      </w:r>
    </w:p>
    <w:p w14:paraId="6B3E0BFE" w14:textId="56B93227" w:rsidR="00245204" w:rsidRPr="00D069A2" w:rsidRDefault="00000000" w:rsidP="000349DF">
      <w:pPr>
        <w:pStyle w:val="I0-InfoBox"/>
      </w:pPr>
      <w:r w:rsidRPr="00D069A2">
        <w:t xml:space="preserve">Note (Token Output Semantic Divergence and deployment anchor rows only): Token Output Semantic Divergence is the cosine distance (1 − cosine similarity) between the embedding of a single valid inference call’s output, produced by the embedding model identified in Schedule A, and a reference vector. Two reference vectors are used: (a) the deployment anchor centroid, which is the mean embedding of the outputs in the approved production-deployment reference set, fixed at deployment and changed only through an ASCR-10 recalibration event; and (b) the rolling centroid, which is the mean embedding of the most recent deployment-approved rolling-window population recorded in Schedule A [DEFAULT: 50 valid inference calls]. The parties shall document in the Schedule A Measurement Configuration block the embedding model identifier and version, embedding dimensionality, distance </w:t>
      </w:r>
      <w:r w:rsidRPr="00D069A2">
        <w:lastRenderedPageBreak/>
        <w:t xml:space="preserve">convention, reference-set composition, and rolling-window size, </w:t>
      </w:r>
      <w:proofErr w:type="gramStart"/>
      <w:r w:rsidRPr="00D069A2">
        <w:t>and shall</w:t>
      </w:r>
      <w:proofErr w:type="gramEnd"/>
      <w:r w:rsidRPr="00D069A2">
        <w:t xml:space="preserve"> treat those values as the fixed measurement reference for the evaluation period.</w:t>
      </w:r>
    </w:p>
    <w:p w14:paraId="465F1279" w14:textId="77777777" w:rsidR="00245204" w:rsidRPr="00D069A2" w:rsidRDefault="00000000" w:rsidP="00A05123">
      <w:pPr>
        <w:pStyle w:val="P0-Paragraph"/>
      </w:pPr>
      <w:r w:rsidRPr="00D069A2">
        <w:t>Evaluation rules: (1) Per-call check: once the deployment-approved rolling-window population is available, each call’s cosine distance to the rolling centroid is compared with the Schedule A SOFT_ALERT and HARD_BLOCK values for Token Output Semantic Divergence. Before the configured rolling-window population is available, the per-call check uses the deployment anchor centroid in place of the rolling centroid, with the same Schedule A values, so that evaluation is never suppressed. (2) Anchor check: at all times, if the cosine distance between the rolling centroid, or before the configured rolling-window population is available the mean embedding of all valid calls to date, and the deployment anchor centroid exceeds [ANCHOR_THRESHOLD: X cosine distance], a HARD_BLOCK-level exceedance exists regardless of per-call results. The anchor check is intended to limit gradual drift from accumulating beneath the per-call threshold. Rolling recalculation does not redefine the deployment anchor centroid. All thresholds in this note shall be recalibrated through the applicable ASCR-10 process whenever the embedding model, its version, its dimensionality, the distance convention, the reference-set composition, or the rolling-window size changes, because such changes can invalidate comparability of embedding-space distances or the governed baseline.</w:t>
      </w:r>
    </w:p>
    <w:p w14:paraId="485487E5" w14:textId="77777777" w:rsidR="00245204" w:rsidRPr="000349DF" w:rsidRDefault="00000000" w:rsidP="000349DF">
      <w:pPr>
        <w:pStyle w:val="HS-Heading3"/>
      </w:pPr>
      <w:r w:rsidRPr="000349DF">
        <w:t>Schedule B — Safe-State Trigger Conditions</w:t>
      </w:r>
    </w:p>
    <w:p w14:paraId="6DEE3128" w14:textId="77777777" w:rsidR="00245204" w:rsidRPr="00D069A2" w:rsidRDefault="00000000" w:rsidP="00A05123">
      <w:pPr>
        <w:pStyle w:val="P0-Paragraph"/>
      </w:pPr>
      <w:r w:rsidRPr="00D069A2">
        <w:rPr>
          <w:rFonts w:eastAsia="Cambria"/>
        </w:rPr>
        <w:t xml:space="preserve">Minimum required triggers — parties may add facility-specific triggers </w:t>
      </w:r>
      <w:proofErr w:type="gramStart"/>
      <w:r w:rsidRPr="00D069A2">
        <w:rPr>
          <w:rFonts w:eastAsia="Cambria"/>
        </w:rPr>
        <w:t>in</w:t>
      </w:r>
      <w:proofErr w:type="gramEnd"/>
      <w:r w:rsidRPr="00D069A2">
        <w:rPr>
          <w:rFonts w:eastAsia="Cambria"/>
        </w:rPr>
        <w:t xml:space="preserve"> the workbook sheet:</w:t>
      </w:r>
    </w:p>
    <w:p w14:paraId="65E0CAFB" w14:textId="77777777" w:rsidR="00245204" w:rsidRPr="00D069A2" w:rsidRDefault="00000000" w:rsidP="000349DF">
      <w:pPr>
        <w:pStyle w:val="L1-Bullet"/>
      </w:pPr>
      <w:r w:rsidRPr="00D069A2">
        <w:t>Any Schedule A HARD_BLOCK-level exceedance</w:t>
      </w:r>
    </w:p>
    <w:p w14:paraId="7BD7FE55" w14:textId="3A6239C2" w:rsidR="00245204" w:rsidRPr="00D069A2" w:rsidRDefault="00000000" w:rsidP="000349DF">
      <w:pPr>
        <w:pStyle w:val="L1-Bullet"/>
      </w:pPr>
      <w:r w:rsidRPr="00D069A2">
        <w:rPr>
          <w:rFonts w:eastAsia="Cambria"/>
        </w:rPr>
        <w:t>Attestation failure as defined in Section 11.3</w:t>
      </w:r>
    </w:p>
    <w:p w14:paraId="28450C73" w14:textId="03359A04" w:rsidR="00245204" w:rsidRPr="00D069A2" w:rsidRDefault="00000000" w:rsidP="000349DF">
      <w:pPr>
        <w:pStyle w:val="L1-Bullet"/>
      </w:pPr>
      <w:r w:rsidRPr="00D069A2">
        <w:rPr>
          <w:rFonts w:eastAsia="Cambria"/>
        </w:rPr>
        <w:t>MCP context scope violation</w:t>
      </w:r>
    </w:p>
    <w:p w14:paraId="7BFB5E22" w14:textId="061F8B74" w:rsidR="00245204" w:rsidRPr="00D069A2" w:rsidRDefault="00000000" w:rsidP="000349DF">
      <w:pPr>
        <w:pStyle w:val="L1-Bullet"/>
      </w:pPr>
      <w:r w:rsidRPr="00D069A2">
        <w:rPr>
          <w:rFonts w:eastAsia="Cambria"/>
        </w:rPr>
        <w:t xml:space="preserve">Execution Boundary </w:t>
      </w:r>
      <w:proofErr w:type="gramStart"/>
      <w:r w:rsidRPr="00D069A2">
        <w:rPr>
          <w:rFonts w:eastAsia="Cambria"/>
        </w:rPr>
        <w:t>breach</w:t>
      </w:r>
      <w:proofErr w:type="gramEnd"/>
    </w:p>
    <w:p w14:paraId="75572DB1" w14:textId="26FAFF44" w:rsidR="00245204" w:rsidRPr="00D069A2" w:rsidRDefault="00000000" w:rsidP="000349DF">
      <w:pPr>
        <w:pStyle w:val="L1-Bullet"/>
      </w:pPr>
      <w:r w:rsidRPr="00D069A2">
        <w:rPr>
          <w:rFonts w:eastAsia="Cambria"/>
        </w:rPr>
        <w:t>Hardware interlock signal from OT safety system</w:t>
      </w:r>
    </w:p>
    <w:p w14:paraId="2C80DC82" w14:textId="36564753" w:rsidR="00245204" w:rsidRPr="00D069A2" w:rsidRDefault="00000000" w:rsidP="000349DF">
      <w:pPr>
        <w:pStyle w:val="L1-Bullet"/>
      </w:pPr>
      <w:r w:rsidRPr="00D069A2">
        <w:rPr>
          <w:rFonts w:eastAsia="Cambria"/>
        </w:rPr>
        <w:t>Manual operator override</w:t>
      </w:r>
    </w:p>
    <w:p w14:paraId="66982EC8" w14:textId="77777777" w:rsidR="00245204" w:rsidRPr="00D069A2" w:rsidRDefault="00000000" w:rsidP="000349DF">
      <w:pPr>
        <w:pStyle w:val="L1-Bullet"/>
      </w:pPr>
      <w:r w:rsidRPr="00D069A2">
        <w:t>Kinetic Quarantine Protocol (KQP) trigger (K-1 through K-4) as defined in ASCR-04 Section 3.6 — KQP initiation begins the governed kinetic-quarantine response. Autonomous operation may resume only after KQP completion, including physical Safe-State confirmation for affected assets or completion of the deployment-approved independent safety response and subsequent confirmed physical Safe-State. Where a KQP event changes physical configuration or operational context sufficiently to invalidate an ASCR-07 behavioral baseline or require an AI-BOM/configuration change, perform an ASCR-10 recalibration/change review before autonomous re-entry. Classify the resulting governed change under ASCR-10 Section 2.3 using the ASCR-10 OE01 Classification Matrix. Complete any required shadow-mode re-baselining under ASCR-10 Section 2.5 and any phase-gate authorization required under Sections 2.6 and 3 before autonomous re-entry. ASCR-10 governs the resulting behavioral, AI-BOM, configuration, baseline, and production-authorization consequences; it does not govern the physical-system modification itself.</w:t>
      </w:r>
    </w:p>
    <w:p w14:paraId="77479A66" w14:textId="77777777" w:rsidR="00245204" w:rsidRPr="00D069A2" w:rsidRDefault="00000000" w:rsidP="00A05123">
      <w:pPr>
        <w:pStyle w:val="P0-Paragraph"/>
      </w:pPr>
      <w:r w:rsidRPr="00D069A2">
        <w:t>The workbook sheet restates each minimum required trigger as an always-active row with a cross-reference column. The Active field is fixed to “Y” for minimum required triggers and is fillable only for facility-specific additional triggers.</w:t>
      </w:r>
    </w:p>
    <w:p w14:paraId="10FB42E7" w14:textId="77777777" w:rsidR="00245204" w:rsidRPr="000349DF" w:rsidRDefault="00000000" w:rsidP="000349DF">
      <w:pPr>
        <w:pStyle w:val="HS-Heading3"/>
      </w:pPr>
      <w:r w:rsidRPr="000349DF">
        <w:lastRenderedPageBreak/>
        <w:t>Schedule C — Secure Communication Channels</w:t>
      </w:r>
    </w:p>
    <w:p w14:paraId="12425789" w14:textId="77777777" w:rsidR="00245204" w:rsidRPr="00D069A2" w:rsidRDefault="00000000" w:rsidP="00A05123">
      <w:pPr>
        <w:pStyle w:val="P0-Paragraph"/>
      </w:pPr>
      <w:r w:rsidRPr="00D069A2">
        <w:t xml:space="preserve">The workbook sheet carries two blocks. Block 1 (Vendor-to-Operator notifications under Section 11.5) records, for each of the three Notification Tiers, the Operator Primary Channel, Operator Backup Channel, Encryption Requirement, Operator Recipient Role, Operator 24x7 Contact, and Operator Escalation Contact, together with the Vendor Containment-Decision Role and Vendor 24x7 Contact to which Tier 1 events are escalated. Block 2 (Operator-to-Vendor notifications under Section 11.10) records, for each Notification Tier, the Vendor Primary Channel, Vendor Backup Channel, Encryption Requirement, Vendor Recipient Role, Vendor 24x7 Contact, and Vendor Escalation Contact. Tier 1 and Tier 2 use a TLS 1.3 minimum. Tier 3 requires TLS 1.2 or later, authenticated and enforced, with no </w:t>
      </w:r>
      <w:proofErr w:type="gramStart"/>
      <w:r w:rsidRPr="00D069A2">
        <w:t>cleartext</w:t>
      </w:r>
      <w:proofErr w:type="gramEnd"/>
      <w:r w:rsidRPr="00D069A2">
        <w:t xml:space="preserve"> fallback. Failure of a primary channel does not toll the notification deadline; the designated backup channel shall be used immediately.</w:t>
      </w:r>
    </w:p>
    <w:p w14:paraId="1624DE6A" w14:textId="77777777" w:rsidR="00245204" w:rsidRPr="000349DF" w:rsidRDefault="00000000" w:rsidP="000349DF">
      <w:pPr>
        <w:pStyle w:val="HS-Heading3"/>
      </w:pPr>
      <w:r w:rsidRPr="000349DF">
        <w:t>Schedule D — Identity Continuity Service-Level Objectives</w:t>
      </w:r>
    </w:p>
    <w:p w14:paraId="1F755277" w14:textId="77777777" w:rsidR="00245204" w:rsidRPr="00D069A2" w:rsidRDefault="00000000" w:rsidP="00A05123">
      <w:pPr>
        <w:pStyle w:val="P0-Paragraph"/>
      </w:pPr>
      <w:r w:rsidRPr="00D069A2">
        <w:t>Schedule D records the deployment-approved effective values for the identity-continuity service-level objectives defined by the Chapter 7 metric model. Chapter 7 provides reference targets for engineering and capacity planning; Schedule D governs the effective contractual values for the deployment; ASCR-12 reports performance; and ASCR-10 validates and recalibrates those values using deployment evidence.</w:t>
      </w:r>
    </w:p>
    <w:p w14:paraId="72E95D6B" w14:textId="77777777" w:rsidR="00245204" w:rsidRPr="00D069A2" w:rsidRDefault="00000000" w:rsidP="00A05123">
      <w:pPr>
        <w:pStyle w:val="P0-Paragraph"/>
      </w:pPr>
      <w:r w:rsidRPr="00D069A2">
        <w:t xml:space="preserve">Chapter 7 numerical values are reference targets, not universal thresholds. The effective values recorded in Schedule D are deployment-governed values and must be validated and recalibrated through the applicable ASCR-10 process. The authoritative fillable Schedule D table is maintained only in the companion workbook; this document intentionally does not duplicate the data-entry table. Metric terms used in Schedule D, including Steel Handshake verification, the bounded-execution-envelope pattern, and authorization-lineage evidence, have the meanings given in the Chapter 7 metric model. For SLO-I5, the Version 1.0 ASCR-07 artifact set represents authorization-lineage evidence through </w:t>
      </w:r>
      <w:proofErr w:type="spellStart"/>
      <w:r w:rsidRPr="00D069A2">
        <w:t>auth_chain_agent</w:t>
      </w:r>
      <w:proofErr w:type="spellEnd"/>
      <w:r w:rsidRPr="00D069A2">
        <w:t xml:space="preserve"> and the applicable infrastructure authorization evidence, including </w:t>
      </w:r>
      <w:proofErr w:type="spellStart"/>
      <w:r w:rsidRPr="00D069A2">
        <w:t>auth_chain_infra</w:t>
      </w:r>
      <w:proofErr w:type="spellEnd"/>
      <w:r w:rsidRPr="00D069A2">
        <w:t xml:space="preserve"> where required; </w:t>
      </w:r>
      <w:proofErr w:type="spellStart"/>
      <w:r w:rsidRPr="00D069A2">
        <w:t>auth_chain</w:t>
      </w:r>
      <w:proofErr w:type="spellEnd"/>
      <w:r w:rsidRPr="00D069A2">
        <w:t xml:space="preserve"> is retained only as architectural shorthand.</w:t>
      </w:r>
    </w:p>
    <w:p w14:paraId="7DB1C8EE" w14:textId="77777777" w:rsidR="00245204" w:rsidRPr="00D069A2" w:rsidRDefault="00000000" w:rsidP="000349DF">
      <w:pPr>
        <w:pStyle w:val="HS-Heading4"/>
      </w:pPr>
      <w:r w:rsidRPr="00D069A2">
        <w:t>Additional schedules</w:t>
      </w:r>
    </w:p>
    <w:p w14:paraId="5C2BEE13" w14:textId="1605384B" w:rsidR="00245204" w:rsidRPr="00D069A2" w:rsidRDefault="00000000" w:rsidP="00A05123">
      <w:pPr>
        <w:pStyle w:val="P0-Paragraph"/>
      </w:pPr>
      <w:r w:rsidRPr="00D069A2">
        <w:t>ASCR-11 Version 1.0 carries governed effective values in Schedules A through D only. Vendor qualification evidence remains governed by the current signed ASCR-17 qualification record. Where current ASCR-17 qualification is a contractual or procurement condition, the executed ASCR-11 agreement or governing procurement record shall reference the applicable ASCR-17 qualification record and its currency. Additional operational values that the parties elect to govern contractually shall be incorporated through the applicable executed agreement and change-control process without reassigning ownership of ASCR-17 vendor qualification evidence.</w:t>
      </w:r>
    </w:p>
    <w:p w14:paraId="1C593EFF" w14:textId="77777777" w:rsidR="00245204" w:rsidRPr="00D069A2" w:rsidRDefault="00000000" w:rsidP="000349DF">
      <w:pPr>
        <w:pStyle w:val="HS-Heading2"/>
      </w:pPr>
      <w:r w:rsidRPr="00D069A2">
        <w:t>Section 11.10 — Practitioner operating guide</w:t>
      </w:r>
    </w:p>
    <w:p w14:paraId="26D28C4A" w14:textId="77777777" w:rsidR="00245204" w:rsidRPr="00D069A2" w:rsidRDefault="00000000" w:rsidP="00A05123">
      <w:pPr>
        <w:pStyle w:val="P0-Paragraph"/>
      </w:pPr>
      <w:r w:rsidRPr="00D069A2">
        <w:t>Practitioners should read this guide before operational use of the ASCR-11 pack. It translates the contractual instrument into operational actions across the system lifecycle. This Practitioner Operating Guide is provided for operational convenience and does not independently create, waive, or modify a contractual obligation. Where this guide conflicts with an operative clause or an executed Schedule, the operative clause or executed Schedule controls.</w:t>
      </w:r>
    </w:p>
    <w:p w14:paraId="765CA994" w14:textId="77777777" w:rsidR="00245204" w:rsidRPr="000349DF" w:rsidRDefault="00000000" w:rsidP="000349DF">
      <w:pPr>
        <w:pStyle w:val="HS-Heading3"/>
      </w:pPr>
      <w:r w:rsidRPr="000349DF">
        <w:t>Before Deployment — required actions in sequence:</w:t>
      </w:r>
    </w:p>
    <w:p w14:paraId="671A53D3" w14:textId="77777777" w:rsidR="000349DF" w:rsidRDefault="000349DF" w:rsidP="000349DF">
      <w:pPr>
        <w:pStyle w:val="L1-Numbered"/>
        <w:numPr>
          <w:ilvl w:val="0"/>
          <w:numId w:val="0"/>
        </w:numPr>
        <w:ind w:left="990" w:hanging="360"/>
      </w:pPr>
    </w:p>
    <w:p w14:paraId="5BE28388" w14:textId="36975811" w:rsidR="00245204" w:rsidRPr="000349DF" w:rsidRDefault="00000000">
      <w:pPr>
        <w:pStyle w:val="L1-Numbered"/>
        <w:numPr>
          <w:ilvl w:val="0"/>
          <w:numId w:val="15"/>
        </w:numPr>
        <w:ind w:left="990"/>
      </w:pPr>
      <w:r w:rsidRPr="000349DF">
        <w:lastRenderedPageBreak/>
        <w:t>Complete and retain the Operator’s documented EU AI Act Article 6 classification assessment, including whether Annex III applies, the applicable Annex III category where relevant, and the date on which the resulting high-risk obligations become applicable. As of this instrument version, Chapter III Sections 1–3 apply from 2 December 2027 for systems classified as high-risk under Article 6(2) and Annex III and from 2 August 2028 for systems classified as high-risk under Article 6(1) and Annex I; re-verify those dates before execution.</w:t>
      </w:r>
    </w:p>
    <w:p w14:paraId="1BDCE07C" w14:textId="5D705FCE" w:rsidR="00245204" w:rsidRPr="000349DF" w:rsidRDefault="00000000" w:rsidP="000349DF">
      <w:pPr>
        <w:pStyle w:val="L1-Numbered"/>
      </w:pPr>
      <w:r w:rsidRPr="000349DF">
        <w:t>Embed</w:t>
      </w:r>
      <w:r w:rsidRPr="000349DF">
        <w:rPr>
          <w:rFonts w:eastAsia="Cambria"/>
        </w:rPr>
        <w:t xml:space="preserve"> ASCR-11 into vendor agreements before authorizing production operation.</w:t>
      </w:r>
    </w:p>
    <w:p w14:paraId="039CB3FE" w14:textId="3B185800" w:rsidR="00245204" w:rsidRPr="000349DF" w:rsidRDefault="00000000" w:rsidP="000349DF">
      <w:pPr>
        <w:pStyle w:val="L1-Numbered"/>
      </w:pPr>
      <w:r w:rsidRPr="000349DF">
        <w:t>Verify</w:t>
      </w:r>
      <w:r w:rsidRPr="000349DF">
        <w:rPr>
          <w:rFonts w:eastAsia="Cambria"/>
        </w:rPr>
        <w:t xml:space="preserve"> receipt and technical review of the Vendor Robustness Assessment Report (Section 11.1) before issuing deployment approval.</w:t>
      </w:r>
    </w:p>
    <w:p w14:paraId="2DB1BA91" w14:textId="77777777" w:rsidR="00245204" w:rsidRPr="000349DF" w:rsidRDefault="00000000" w:rsidP="000349DF">
      <w:pPr>
        <w:pStyle w:val="L1-Numbered"/>
      </w:pPr>
      <w:r w:rsidRPr="000349DF">
        <w:t>Complete</w:t>
      </w:r>
      <w:r w:rsidRPr="000349DF">
        <w:rPr>
          <w:rFonts w:eastAsia="Cambria"/>
        </w:rPr>
        <w:t xml:space="preserve"> Schedules A, B, C, and D with participation from the roles identified for each schedule. Schedule A and Schedule D threshold values become enforceable measurement obligations upon execution.</w:t>
      </w:r>
    </w:p>
    <w:p w14:paraId="164F155C" w14:textId="77777777" w:rsidR="00245204" w:rsidRPr="000349DF" w:rsidRDefault="00000000" w:rsidP="000349DF">
      <w:pPr>
        <w:pStyle w:val="L1-Numbered"/>
      </w:pPr>
      <w:r w:rsidRPr="000349DF">
        <w:t>Assign</w:t>
      </w:r>
      <w:r w:rsidRPr="000349DF">
        <w:rPr>
          <w:rFonts w:eastAsia="Cambria"/>
        </w:rPr>
        <w:t xml:space="preserve"> RACI ownership using the responsibility map in Section 11.11.</w:t>
      </w:r>
    </w:p>
    <w:p w14:paraId="72F3253D" w14:textId="77777777" w:rsidR="00245204" w:rsidRPr="00D069A2" w:rsidRDefault="00000000" w:rsidP="00A05123">
      <w:pPr>
        <w:pStyle w:val="P0-Paragraph"/>
      </w:pPr>
      <w:r w:rsidRPr="00D069A2">
        <w:rPr>
          <w:b/>
          <w:bCs/>
        </w:rPr>
        <w:t>During Normal Operation:</w:t>
      </w:r>
      <w:r w:rsidRPr="00D069A2">
        <w:t xml:space="preserve"> Verify that Monthly Security Reports are received within the contractual deadline and separately state active-operation and idle/standby attestation compliance for each calendar month. Compliance is calculated for each operating state as conforming reports generated within the required interval divided by the number of reports required during that operating state, using the Vendor attestation-service log as the measurement source. [DEFAULT: 99.5%] may be used as an aggregate reporting KPI, but it does not create an allowance for an individual missed attestation and does not waive the Safe-State or notification response required by Section 11.3. Maintain evidence readiness by confirming that Decision Lineage Records are accessible through the audit endpoint specified in Section 11.4 on a quarterly basis without advance notice to the Vendor.</w:t>
      </w:r>
    </w:p>
    <w:p w14:paraId="74E8858D" w14:textId="77777777" w:rsidR="00245204" w:rsidRPr="00D069A2" w:rsidRDefault="00000000" w:rsidP="00A05123">
      <w:pPr>
        <w:pStyle w:val="P0-Paragraph"/>
      </w:pPr>
      <w:r w:rsidRPr="00D069A2">
        <w:rPr>
          <w:b/>
          <w:bCs/>
        </w:rPr>
        <w:t>During an Incident:</w:t>
      </w:r>
      <w:r w:rsidRPr="00D069A2">
        <w:t xml:space="preserve"> Perform Steps 1–3 below, in parallel where applicable.</w:t>
      </w:r>
    </w:p>
    <w:p w14:paraId="17585DBF" w14:textId="77777777" w:rsidR="00245204" w:rsidRPr="00D069A2" w:rsidRDefault="00000000" w:rsidP="00A05123">
      <w:pPr>
        <w:pStyle w:val="L1-Bullet"/>
      </w:pPr>
      <w:r w:rsidRPr="00D069A2">
        <w:rPr>
          <w:b/>
          <w:bCs/>
        </w:rPr>
        <w:t>Step 1:</w:t>
      </w:r>
      <w:r w:rsidRPr="00D069A2">
        <w:t xml:space="preserve"> Activate ASCR-08 and begin local evidence preservation immediately. Preserve available evidence before destructive change or Vendor access where safe, lawful, and feasible. Do not delay emergency protective action or an applicable contractual or statutory notification deadline. A pre-notification timestamp strengthens evidentiary integrity; it is not a universal condition of contractual enforceability. Step 1 evidence preservation and Step 2 Vendor notification may proceed in parallel.</w:t>
      </w:r>
    </w:p>
    <w:p w14:paraId="3411350A" w14:textId="77777777" w:rsidR="00245204" w:rsidRPr="00D069A2" w:rsidRDefault="00000000" w:rsidP="00A05123">
      <w:pPr>
        <w:pStyle w:val="L1-Bullet"/>
      </w:pPr>
      <w:r w:rsidRPr="00D069A2">
        <w:rPr>
          <w:rStyle w:val="CS-Keyword"/>
        </w:rPr>
        <w:t>Step 2:</w:t>
      </w:r>
      <w:r w:rsidRPr="00D069A2">
        <w:t xml:space="preserve"> Issue written notification to the Vendor through the Operator-to-Vendor channel recorded in Schedule C (Block 2), using the Tier classification established in Section 11.5, and document the notification timestamp.</w:t>
      </w:r>
    </w:p>
    <w:p w14:paraId="132C9382" w14:textId="77777777" w:rsidR="00245204" w:rsidRPr="00D069A2" w:rsidRDefault="00000000" w:rsidP="00A05123">
      <w:pPr>
        <w:pStyle w:val="L1-Bullet"/>
      </w:pPr>
      <w:r w:rsidRPr="00D069A2">
        <w:rPr>
          <w:rStyle w:val="CS-Keyword"/>
        </w:rPr>
        <w:t>Step 3:</w:t>
      </w:r>
      <w:r w:rsidRPr="00D069A2">
        <w:t xml:space="preserve"> Enforce the Vendor’s forensic cooperation obligation under Section 11.4 in accordance with the applicable Section 11.4 response and contact deadlines.</w:t>
      </w:r>
    </w:p>
    <w:p w14:paraId="302391A8" w14:textId="77777777" w:rsidR="00245204" w:rsidRPr="00D069A2" w:rsidRDefault="00000000" w:rsidP="00A05123">
      <w:pPr>
        <w:pStyle w:val="P0-Paragraph"/>
      </w:pPr>
      <w:r w:rsidRPr="00D069A2">
        <w:rPr>
          <w:rStyle w:val="CS-Keyword"/>
        </w:rPr>
        <w:t>After an Incident:</w:t>
      </w:r>
      <w:r w:rsidRPr="00D069A2">
        <w:t xml:space="preserve"> Use W3C Trace Context to correlate distributed decision and execution events and the Decision Lineage Record runtime/model provenance reference, including the applicable AI-BOM component hash or other version-resolved component identifier, to establish causal attribution before engaging the Vendor’s legal team. The evidentiary package assembled from ASCR-07 records supports technical attribution and the contractual or legal liability-allocation analysis; it does not by itself determine legal liability. Submit regulatory notifications using the Vendor Incident Report delivered under Section 11.5 as the technical foundation.</w:t>
      </w:r>
    </w:p>
    <w:p w14:paraId="5F97B30B" w14:textId="77777777" w:rsidR="00245204" w:rsidRPr="00D069A2" w:rsidRDefault="00000000" w:rsidP="00A05123">
      <w:pPr>
        <w:pStyle w:val="P0-Paragraph"/>
      </w:pPr>
      <w:r w:rsidRPr="00D069A2">
        <w:rPr>
          <w:rFonts w:eastAsia="Cambria"/>
        </w:rPr>
        <w:lastRenderedPageBreak/>
        <w:t>Organizations that cannot operationally verify the controls defined in this instrument should not treat contractual inclusion alone as evidence of risk reduction. An SLA that is not operationally verified does not reduce risk.</w:t>
      </w:r>
    </w:p>
    <w:p w14:paraId="59BCA51B" w14:textId="77777777" w:rsidR="00245204" w:rsidRPr="00D069A2" w:rsidRDefault="00000000" w:rsidP="00A05123">
      <w:pPr>
        <w:pStyle w:val="HS-Heading2"/>
      </w:pPr>
      <w:r w:rsidRPr="00D069A2">
        <w:t>Section 11.11 — RACI ownership map</w:t>
      </w:r>
    </w:p>
    <w:p w14:paraId="3516DD2B" w14:textId="77777777" w:rsidR="00245204" w:rsidRPr="00D069A2" w:rsidRDefault="00000000" w:rsidP="00A05123">
      <w:pPr>
        <w:pStyle w:val="P0-Paragraph"/>
      </w:pPr>
      <w:r w:rsidRPr="00D069A2">
        <w:rPr>
          <w:rFonts w:eastAsia="Cambria"/>
        </w:rPr>
        <w:t xml:space="preserve">OT Engineering and AI/ML Engineering are tracked as separate columns because the commonly used “Engineering” role in the field is overly broad and conflates two distinct operational domains. OT Engineering owns actuation boundary monitoring, </w:t>
      </w:r>
      <w:proofErr w:type="spellStart"/>
      <w:r w:rsidRPr="00D069A2">
        <w:rPr>
          <w:rFonts w:eastAsia="Cambria"/>
        </w:rPr>
        <w:t>EtherCAT</w:t>
      </w:r>
      <w:proofErr w:type="spellEnd"/>
      <w:r w:rsidRPr="00D069A2">
        <w:rPr>
          <w:rFonts w:eastAsia="Cambria"/>
        </w:rPr>
        <w:t xml:space="preserve"> integration, and Safe-State interlock. AI/ML Engineering owns model weight validation, </w:t>
      </w:r>
      <w:proofErr w:type="spellStart"/>
      <w:r w:rsidRPr="00D069A2">
        <w:rPr>
          <w:rFonts w:eastAsia="Cambria"/>
        </w:rPr>
        <w:t>LoRA</w:t>
      </w:r>
      <w:proofErr w:type="spellEnd"/>
      <w:r w:rsidRPr="00D069A2">
        <w:rPr>
          <w:rFonts w:eastAsia="Cambria"/>
        </w:rPr>
        <w:t xml:space="preserve"> Update verification, and AI-BOM integrity.</w:t>
      </w:r>
    </w:p>
    <w:p w14:paraId="492F84BA" w14:textId="77777777" w:rsidR="00245204" w:rsidRPr="00D069A2" w:rsidRDefault="00000000" w:rsidP="00A05123">
      <w:pPr>
        <w:pStyle w:val="P0-Paragraph"/>
      </w:pPr>
      <w:r w:rsidRPr="00D069A2">
        <w:rPr>
          <w:rFonts w:eastAsia="Cambria"/>
        </w:rPr>
        <w:t>The full RACI matrix (25 obligations × 8 roles: Legal, Regulatory/Compliance, Risk, Procurement, Security/IR, OT Engineering, AI/ML Engineering, Executive) is maintained in the companion workbook ASCR-11-OE01-Supplemental-Schedules-and-Tables.xlsx, sheet 11.11 RACI Map, with the R/A/C/I legend and governed obligation rows. Maintaining it there lets operations teams filter by role or obligation and update ownership as staffing changes without redlining this instrument.</w:t>
      </w:r>
    </w:p>
    <w:p w14:paraId="3F039FB3" w14:textId="77777777" w:rsidR="00245204" w:rsidRPr="00D069A2" w:rsidRDefault="00000000" w:rsidP="00A05123">
      <w:pPr>
        <w:pStyle w:val="P0-Paragraph"/>
      </w:pPr>
      <w:r w:rsidRPr="00D069A2">
        <w:rPr>
          <w:rFonts w:eastAsia="Cambria"/>
        </w:rPr>
        <w:t xml:space="preserve">Legend: R = Responsible | A = </w:t>
      </w:r>
      <w:proofErr w:type="gramStart"/>
      <w:r w:rsidRPr="00D069A2">
        <w:rPr>
          <w:rFonts w:eastAsia="Cambria"/>
        </w:rPr>
        <w:t>Accountable | C</w:t>
      </w:r>
      <w:proofErr w:type="gramEnd"/>
      <w:r w:rsidRPr="00D069A2">
        <w:rPr>
          <w:rFonts w:eastAsia="Cambria"/>
        </w:rPr>
        <w:t xml:space="preserve"> = Consulted | I = Informed</w:t>
      </w:r>
    </w:p>
    <w:p w14:paraId="09125E7D" w14:textId="77777777" w:rsidR="00245204" w:rsidRPr="00D069A2" w:rsidRDefault="00000000" w:rsidP="00A05123">
      <w:pPr>
        <w:pStyle w:val="HS-Heading2"/>
      </w:pPr>
      <w:bookmarkStart w:id="7" w:name="_heading=h.jyak3e6y7yt9" w:colFirst="0" w:colLast="0"/>
      <w:bookmarkEnd w:id="7"/>
      <w:r w:rsidRPr="00D069A2">
        <w:t>Section 11.12 — Termination and transition assistance</w:t>
      </w:r>
    </w:p>
    <w:p w14:paraId="20BF8753" w14:textId="77777777" w:rsidR="00245204" w:rsidRPr="00D069A2" w:rsidRDefault="00000000" w:rsidP="00A05123">
      <w:pPr>
        <w:pStyle w:val="P0-Paragraph"/>
      </w:pPr>
      <w:r w:rsidRPr="00D069A2">
        <w:t>Upon expiration or termination of the Master Agreement to which this exhibit is attached, the Vendor shall: (a) provide the Operator a complete, exportable copy of all Decision Lineage Records and AI-BOM entries, in the structured, machine-readable export formats specified and agreed under Sections 11.2 and 11.4, within [DEFAULT: 30 days] of the termination date; (b) continue to satisfy the Section 11.4 retention obligations for any records already subject to a retention period in progress at termination, notwithstanding termination of the Master Agreement; (c) provide [DEFAULT: 90 days] of transition assistance; where DORA Article 30 applies to assistance required following an ICT-related incident, that assistance shall be provided at no additional cost or at a cost determined ex ante in the executed agreement, and all other transition assistance shall be provided at the rates fixed in the Master Agreement, applicable statement of work, or other rate schedule agreed at execution, to support the Operator’s migration to a successor system; and (d) certify in writing the secure deletion of any Operator data retained beyond what Section 11.4 requires, within [DEFAULT: 60 days] of the end of the transition assistance period.</w:t>
      </w:r>
    </w:p>
    <w:p w14:paraId="09C02BE6" w14:textId="1786CA21" w:rsidR="00245204" w:rsidRPr="00D069A2" w:rsidRDefault="00000000" w:rsidP="00A05123">
      <w:pPr>
        <w:pStyle w:val="P0-Paragraph"/>
      </w:pPr>
      <w:r w:rsidRPr="00D069A2">
        <w:t>[Regulatory References: EU Revised Product Liability Directive Art. 17(1)</w:t>
      </w:r>
      <w:proofErr w:type="gramStart"/>
      <w:r w:rsidRPr="00D069A2">
        <w:t>–(</w:t>
      </w:r>
      <w:proofErr w:type="gramEnd"/>
      <w:r w:rsidRPr="00D069A2">
        <w:t>2), where applicable; DORA Art. 28, where applicable]</w:t>
      </w:r>
    </w:p>
    <w:p w14:paraId="2C60C756" w14:textId="77777777" w:rsidR="00245204" w:rsidRPr="00D069A2" w:rsidRDefault="00000000" w:rsidP="00A05123">
      <w:pPr>
        <w:pStyle w:val="HS-Heading1"/>
      </w:pPr>
      <w:r w:rsidRPr="00D069A2">
        <w:t>Summary</w:t>
      </w:r>
    </w:p>
    <w:p w14:paraId="17CBEB3D" w14:textId="77777777" w:rsidR="00245204" w:rsidRPr="00D069A2" w:rsidRDefault="00000000" w:rsidP="00A05123">
      <w:pPr>
        <w:pStyle w:val="P0-Paragraph"/>
      </w:pPr>
      <w:r w:rsidRPr="00D069A2">
        <w:t>ASCR-11 converts agentic-security requirements into bilateral contractual obligations for objective integrity, provenance, attestation, KQP performance, Decision Lineage evidence, notification, reporting, and physical-consequence liability attribution. Schedules A–D govern the deployment-specific values and response obligations maintained with the companion workbook; contractual inclusion does not itself reduce risk, and all obligations must remain operationally verifiable throughout deployment.</w:t>
      </w:r>
    </w:p>
    <w:sectPr w:rsidR="00245204" w:rsidRPr="00D069A2">
      <w:headerReference w:type="default" r:id="rId8"/>
      <w:pgSz w:w="12240" w:h="15840"/>
      <w:pgMar w:top="1440" w:right="1440" w:bottom="1440" w:left="144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1FA7E" w14:textId="77777777" w:rsidR="008C31CB" w:rsidRDefault="008C31CB">
      <w:pPr>
        <w:spacing w:after="0" w:line="240" w:lineRule="auto"/>
      </w:pPr>
      <w:r>
        <w:separator/>
      </w:r>
    </w:p>
  </w:endnote>
  <w:endnote w:type="continuationSeparator" w:id="0">
    <w:p w14:paraId="1C211CA1" w14:textId="77777777" w:rsidR="008C31CB" w:rsidRDefault="008C3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23BC3702-E5EE-4E00-8108-D1D3ED5FC31B}"/>
    <w:embedBold r:id="rId2" w:fontKey="{A5E9B926-1A29-422D-A08E-227A6687CEE2}"/>
    <w:embedItalic r:id="rId3" w:fontKey="{16CF1252-32C0-4E69-98C5-2ABD75491157}"/>
  </w:font>
  <w:font w:name="Calibri">
    <w:panose1 w:val="020F0502020204030204"/>
    <w:charset w:val="00"/>
    <w:family w:val="swiss"/>
    <w:pitch w:val="variable"/>
    <w:sig w:usb0="E4002EFF" w:usb1="C200247B" w:usb2="00000009" w:usb3="00000000" w:csb0="000001FF" w:csb1="00000000"/>
    <w:embedRegular r:id="rId4" w:fontKey="{91E24FE2-9C8C-401D-A15C-FFF1AFCA25D1}"/>
    <w:embedBold r:id="rId5" w:fontKey="{F7C0E0C0-DADD-43ED-91C3-D177DDDC8E18}"/>
    <w:embedItalic r:id="rId6" w:fontKey="{367CE6C9-6DE4-4538-B58B-38771608236A}"/>
  </w:font>
  <w:font w:name="Crimson Pro">
    <w:altName w:val="Calibri"/>
    <w:charset w:val="00"/>
    <w:family w:val="auto"/>
    <w:pitch w:val="variable"/>
    <w:sig w:usb0="A00000FF" w:usb1="5000E04B" w:usb2="00000000" w:usb3="00000000" w:csb0="0000019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7" w:fontKey="{CD853309-DB07-4450-B639-66E9677BFECD}"/>
    <w:embedBold r:id="rId8" w:fontKey="{41FE471F-A4BA-4B23-96EC-516AFE0933D0}"/>
  </w:font>
  <w:font w:name="Source Sans 3">
    <w:altName w:val="Calibri"/>
    <w:panose1 w:val="00000000000000000000"/>
    <w:charset w:val="00"/>
    <w:family w:val="swiss"/>
    <w:notTrueType/>
    <w:pitch w:val="variable"/>
    <w:sig w:usb0="E00002FF" w:usb1="00002003" w:usb2="00000000" w:usb3="00000000" w:csb0="0000019F" w:csb1="00000000"/>
  </w:font>
  <w:font w:name="Tahoma">
    <w:panose1 w:val="020B0604030504040204"/>
    <w:charset w:val="00"/>
    <w:family w:val="swiss"/>
    <w:pitch w:val="variable"/>
    <w:sig w:usb0="E1002EFF" w:usb1="C000605B" w:usb2="00000029" w:usb3="00000000" w:csb0="000101FF" w:csb1="00000000"/>
    <w:embedRegular r:id="rId9" w:fontKey="{6604E4EB-8CC1-4864-8154-D3793F20624D}"/>
  </w:font>
  <w:font w:name="Jost* Medium">
    <w:altName w:val="Calibri"/>
    <w:panose1 w:val="00000000000000000000"/>
    <w:charset w:val="00"/>
    <w:family w:val="modern"/>
    <w:notTrueType/>
    <w:pitch w:val="variable"/>
    <w:sig w:usb0="A00002EF" w:usb1="0000205B" w:usb2="00000010" w:usb3="00000000" w:csb0="00000097" w:csb1="00000000"/>
  </w:font>
  <w:font w:name="Jost*">
    <w:altName w:val="Calibri"/>
    <w:panose1 w:val="00000000000000000000"/>
    <w:charset w:val="00"/>
    <w:family w:val="modern"/>
    <w:notTrueType/>
    <w:pitch w:val="variable"/>
    <w:sig w:usb0="A00002EF" w:usb1="0000205B" w:usb2="00000010" w:usb3="00000000" w:csb0="00000097" w:csb1="00000000"/>
  </w:font>
  <w:font w:name="Jost* Semi">
    <w:panose1 w:val="00000000000000000000"/>
    <w:charset w:val="00"/>
    <w:family w:val="modern"/>
    <w:notTrueType/>
    <w:pitch w:val="variable"/>
    <w:sig w:usb0="A00002EF" w:usb1="0000205B" w:usb2="00000010" w:usb3="00000000" w:csb0="00000097" w:csb1="00000000"/>
  </w:font>
  <w:font w:name="Book Antiqua">
    <w:panose1 w:val="02040602050305030304"/>
    <w:charset w:val="00"/>
    <w:family w:val="roman"/>
    <w:pitch w:val="variable"/>
    <w:sig w:usb0="00000287" w:usb1="00000000" w:usb2="00000000" w:usb3="00000000" w:csb0="0000009F" w:csb1="00000000"/>
    <w:embedRegular r:id="rId10" w:fontKey="{118B57F1-180B-491F-8292-53DD229DB0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4CDD3" w14:textId="77777777" w:rsidR="008C31CB" w:rsidRDefault="008C31CB">
      <w:pPr>
        <w:spacing w:after="0" w:line="240" w:lineRule="auto"/>
      </w:pPr>
      <w:r>
        <w:separator/>
      </w:r>
    </w:p>
  </w:footnote>
  <w:footnote w:type="continuationSeparator" w:id="0">
    <w:p w14:paraId="72D23F9D" w14:textId="77777777" w:rsidR="008C31CB" w:rsidRDefault="008C31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E8300" w14:textId="08BFECF1" w:rsidR="00245204" w:rsidRDefault="00245204">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095"/>
    <w:multiLevelType w:val="multilevel"/>
    <w:tmpl w:val="F28C8FAC"/>
    <w:lvl w:ilvl="0">
      <w:start w:val="1"/>
      <w:numFmt w:val="decimal"/>
      <w:pStyle w:val="L1-Numbered"/>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1" w15:restartNumberingAfterBreak="0">
    <w:nsid w:val="09CC1ADB"/>
    <w:multiLevelType w:val="hybridMultilevel"/>
    <w:tmpl w:val="067C1362"/>
    <w:lvl w:ilvl="0" w:tplc="F17E0FBC">
      <w:start w:val="1"/>
      <w:numFmt w:val="bullet"/>
      <w:pStyle w:val="I0-InfoBox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1C97D5B"/>
    <w:multiLevelType w:val="hybridMultilevel"/>
    <w:tmpl w:val="F198D8DC"/>
    <w:lvl w:ilvl="0" w:tplc="EFD0A6CE">
      <w:start w:val="1"/>
      <w:numFmt w:val="decimal"/>
      <w:pStyle w:val="L3-Numbered"/>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170721DD"/>
    <w:multiLevelType w:val="hybridMultilevel"/>
    <w:tmpl w:val="FD22A208"/>
    <w:lvl w:ilvl="0" w:tplc="7CA4255A">
      <w:start w:val="1"/>
      <w:numFmt w:val="lowerLetter"/>
      <w:pStyle w:val="L1-Alphabe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D394548"/>
    <w:multiLevelType w:val="hybridMultilevel"/>
    <w:tmpl w:val="65EEEBE6"/>
    <w:lvl w:ilvl="0" w:tplc="5BBEE664">
      <w:start w:val="1"/>
      <w:numFmt w:val="decimal"/>
      <w:pStyle w:val="T0-Tip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A6A6CBF"/>
    <w:multiLevelType w:val="hybridMultilevel"/>
    <w:tmpl w:val="7F86AF92"/>
    <w:lvl w:ilvl="0" w:tplc="A2EE0D84">
      <w:start w:val="1"/>
      <w:numFmt w:val="lowerLetter"/>
      <w:pStyle w:val="L3-Alphabet"/>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2AE83F2D"/>
    <w:multiLevelType w:val="hybridMultilevel"/>
    <w:tmpl w:val="A176991C"/>
    <w:lvl w:ilvl="0" w:tplc="292A8B88">
      <w:start w:val="1"/>
      <w:numFmt w:val="decimal"/>
      <w:pStyle w:val="L2-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405BBE"/>
    <w:multiLevelType w:val="hybridMultilevel"/>
    <w:tmpl w:val="2DB252B8"/>
    <w:lvl w:ilvl="0" w:tplc="BA249730">
      <w:start w:val="1"/>
      <w:numFmt w:val="bullet"/>
      <w:pStyle w:val="L1-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34F1B17"/>
    <w:multiLevelType w:val="multilevel"/>
    <w:tmpl w:val="AAB0CF6A"/>
    <w:lvl w:ilvl="0">
      <w:start w:val="1"/>
      <w:numFmt w:val="lowerLetter"/>
      <w:pStyle w:val="L2-Alphabet"/>
      <w:lvlText w:val="%1."/>
      <w:lvlJc w:val="left"/>
      <w:pPr>
        <w:ind w:left="1437"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9" w15:restartNumberingAfterBreak="0">
    <w:nsid w:val="49C96B45"/>
    <w:multiLevelType w:val="hybridMultilevel"/>
    <w:tmpl w:val="2D7EBAD6"/>
    <w:lvl w:ilvl="0" w:tplc="5B14A108">
      <w:start w:val="1"/>
      <w:numFmt w:val="upperLetter"/>
      <w:pStyle w:val="L1-AlphabetCapit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 w15:restartNumberingAfterBreak="0">
    <w:nsid w:val="4C691302"/>
    <w:multiLevelType w:val="hybridMultilevel"/>
    <w:tmpl w:val="B4FA76F4"/>
    <w:lvl w:ilvl="0" w:tplc="BEC4D742">
      <w:start w:val="1"/>
      <w:numFmt w:val="upperLetter"/>
      <w:pStyle w:val="L3-AlphabetCapit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1" w15:restartNumberingAfterBreak="0">
    <w:nsid w:val="5617709E"/>
    <w:multiLevelType w:val="hybridMultilevel"/>
    <w:tmpl w:val="391C7074"/>
    <w:lvl w:ilvl="0" w:tplc="92D46F94">
      <w:start w:val="1"/>
      <w:numFmt w:val="decimal"/>
      <w:pStyle w:val="T0-TableNumberedList"/>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2" w15:restartNumberingAfterBreak="0">
    <w:nsid w:val="5C295B8B"/>
    <w:multiLevelType w:val="hybridMultilevel"/>
    <w:tmpl w:val="4B8CD00E"/>
    <w:lvl w:ilvl="0" w:tplc="2D9C3176">
      <w:start w:val="1"/>
      <w:numFmt w:val="upperLetter"/>
      <w:pStyle w:val="L2-AlphabetCapit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3" w15:restartNumberingAfterBreak="0">
    <w:nsid w:val="754C4748"/>
    <w:multiLevelType w:val="hybridMultilevel"/>
    <w:tmpl w:val="83B40090"/>
    <w:lvl w:ilvl="0" w:tplc="ECE80426">
      <w:start w:val="1"/>
      <w:numFmt w:val="decimal"/>
      <w:pStyle w:val="I0-Info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12497296">
    <w:abstractNumId w:val="13"/>
  </w:num>
  <w:num w:numId="2" w16cid:durableId="1730574350">
    <w:abstractNumId w:val="3"/>
  </w:num>
  <w:num w:numId="3" w16cid:durableId="264657427">
    <w:abstractNumId w:val="0"/>
  </w:num>
  <w:num w:numId="4" w16cid:durableId="1604025277">
    <w:abstractNumId w:val="8"/>
  </w:num>
  <w:num w:numId="5" w16cid:durableId="1253124087">
    <w:abstractNumId w:val="6"/>
  </w:num>
  <w:num w:numId="6" w16cid:durableId="722173098">
    <w:abstractNumId w:val="5"/>
  </w:num>
  <w:num w:numId="7" w16cid:durableId="1279526178">
    <w:abstractNumId w:val="2"/>
  </w:num>
  <w:num w:numId="8" w16cid:durableId="984697512">
    <w:abstractNumId w:val="1"/>
  </w:num>
  <w:num w:numId="9" w16cid:durableId="1314287334">
    <w:abstractNumId w:val="4"/>
  </w:num>
  <w:num w:numId="10" w16cid:durableId="529880452">
    <w:abstractNumId w:val="7"/>
  </w:num>
  <w:num w:numId="11" w16cid:durableId="957100090">
    <w:abstractNumId w:val="11"/>
  </w:num>
  <w:num w:numId="12" w16cid:durableId="500195562">
    <w:abstractNumId w:val="9"/>
  </w:num>
  <w:num w:numId="13" w16cid:durableId="427190788">
    <w:abstractNumId w:val="12"/>
  </w:num>
  <w:num w:numId="14" w16cid:durableId="1438672060">
    <w:abstractNumId w:val="10"/>
  </w:num>
  <w:num w:numId="15" w16cid:durableId="8439074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attachedTemplate r:id="rId1"/>
  <w:linkStyles/>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204"/>
    <w:rsid w:val="000349DF"/>
    <w:rsid w:val="00245204"/>
    <w:rsid w:val="005105A9"/>
    <w:rsid w:val="007C3D3D"/>
    <w:rsid w:val="008C31CB"/>
    <w:rsid w:val="00A05123"/>
    <w:rsid w:val="00B52980"/>
    <w:rsid w:val="00D069A2"/>
    <w:rsid w:val="00F86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2DBBB"/>
  <w15:docId w15:val="{6BEC352C-A4B9-415D-8EAE-D2770BC71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9A2"/>
    <w:pPr>
      <w:spacing w:after="160" w:line="278" w:lineRule="auto"/>
    </w:pPr>
    <w:rPr>
      <w:rFonts w:asciiTheme="minorHAnsi" w:eastAsiaTheme="minorHAnsi" w:hAnsiTheme="minorHAnsi" w:cstheme="minorBidi"/>
      <w:kern w:val="2"/>
      <w:lang w:val="en-US"/>
      <w14:ligatures w14:val="standardContextual"/>
    </w:rPr>
  </w:style>
  <w:style w:type="paragraph" w:styleId="Heading1">
    <w:name w:val="heading 1"/>
    <w:basedOn w:val="Normal"/>
    <w:next w:val="Normal"/>
    <w:link w:val="Heading1Char"/>
    <w:uiPriority w:val="9"/>
    <w:qFormat/>
    <w:rsid w:val="00D069A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qFormat/>
    <w:rsid w:val="00D069A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qFormat/>
    <w:rsid w:val="00D069A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qFormat/>
    <w:rsid w:val="00D069A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qFormat/>
    <w:rsid w:val="00D069A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qFormat/>
    <w:rsid w:val="00D06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D06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qFormat/>
    <w:rsid w:val="00D06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qFormat/>
    <w:rsid w:val="00D06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D069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69A2"/>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D069A2"/>
    <w:pPr>
      <w:spacing w:after="80" w:line="240" w:lineRule="auto"/>
      <w:contextualSpacing/>
    </w:pPr>
    <w:rPr>
      <w:rFonts w:asciiTheme="majorHAnsi" w:eastAsiaTheme="majorEastAsia" w:hAnsiTheme="majorHAnsi" w:cstheme="majorBidi"/>
      <w:spacing w:val="-10"/>
      <w:kern w:val="28"/>
      <w:sz w:val="56"/>
      <w:szCs w:val="56"/>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paragraph" w:styleId="ListParagraph">
    <w:name w:val="List Paragraph"/>
    <w:basedOn w:val="Normal"/>
    <w:uiPriority w:val="34"/>
    <w:qFormat/>
    <w:rsid w:val="00D069A2"/>
    <w:pPr>
      <w:ind w:left="720"/>
      <w:contextualSpacing/>
    </w:pPr>
  </w:style>
  <w:style w:type="paragraph" w:styleId="Subtitle">
    <w:name w:val="Subtitle"/>
    <w:basedOn w:val="Normal"/>
    <w:next w:val="Normal"/>
    <w:link w:val="SubtitleChar"/>
    <w:uiPriority w:val="11"/>
    <w:qFormat/>
    <w:rsid w:val="00D069A2"/>
    <w:pPr>
      <w:numPr>
        <w:ilvl w:val="1"/>
      </w:numPr>
    </w:pPr>
    <w:rPr>
      <w:rFonts w:eastAsiaTheme="majorEastAsia" w:cstheme="majorBidi"/>
      <w:color w:val="595959" w:themeColor="text1" w:themeTint="A6"/>
      <w:spacing w:val="15"/>
      <w:sz w:val="28"/>
      <w:szCs w:val="28"/>
    </w:r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tblStylePr w:type="firstRow">
      <w:tblPr/>
      <w:tcPr>
        <w:tcBorders>
          <w:bottom w:val="nil"/>
        </w:tcBorders>
        <w:vAlign w:val="bottom"/>
      </w:tcPr>
    </w:tblStylePr>
  </w:style>
  <w:style w:type="paragraph" w:styleId="Header">
    <w:name w:val="header"/>
    <w:basedOn w:val="Normal"/>
    <w:link w:val="HeaderChar"/>
    <w:uiPriority w:val="99"/>
    <w:unhideWhenUsed/>
    <w:rsid w:val="00D069A2"/>
    <w:pPr>
      <w:tabs>
        <w:tab w:val="center" w:pos="4680"/>
        <w:tab w:val="right" w:pos="9360"/>
      </w:tabs>
      <w:spacing w:after="0"/>
    </w:pPr>
  </w:style>
  <w:style w:type="character" w:customStyle="1" w:styleId="HeaderChar">
    <w:name w:val="Header Char"/>
    <w:basedOn w:val="DefaultParagraphFont"/>
    <w:link w:val="Header"/>
    <w:uiPriority w:val="99"/>
    <w:rsid w:val="00D069A2"/>
  </w:style>
  <w:style w:type="paragraph" w:styleId="Footer">
    <w:name w:val="footer"/>
    <w:basedOn w:val="Normal"/>
    <w:link w:val="FooterChar"/>
    <w:uiPriority w:val="99"/>
    <w:unhideWhenUsed/>
    <w:rsid w:val="00D069A2"/>
    <w:pPr>
      <w:tabs>
        <w:tab w:val="center" w:pos="4680"/>
        <w:tab w:val="right" w:pos="9360"/>
      </w:tabs>
      <w:spacing w:after="0"/>
    </w:pPr>
  </w:style>
  <w:style w:type="character" w:customStyle="1" w:styleId="FooterChar">
    <w:name w:val="Footer Char"/>
    <w:basedOn w:val="DefaultParagraphFont"/>
    <w:link w:val="Footer"/>
    <w:uiPriority w:val="99"/>
    <w:rsid w:val="00D069A2"/>
  </w:style>
  <w:style w:type="character" w:customStyle="1" w:styleId="Heading7Char">
    <w:name w:val="Heading 7 Char"/>
    <w:basedOn w:val="DefaultParagraphFont"/>
    <w:link w:val="Heading7"/>
    <w:uiPriority w:val="9"/>
    <w:rsid w:val="00D069A2"/>
    <w:rPr>
      <w:rFonts w:asciiTheme="minorHAnsi" w:eastAsiaTheme="majorEastAsia" w:hAnsiTheme="minorHAnsi" w:cstheme="majorBidi"/>
      <w:color w:val="595959" w:themeColor="text1" w:themeTint="A6"/>
      <w:kern w:val="2"/>
      <w:lang w:val="en-US"/>
      <w14:ligatures w14:val="standardContextual"/>
    </w:rPr>
  </w:style>
  <w:style w:type="character" w:customStyle="1" w:styleId="Heading8Char">
    <w:name w:val="Heading 8 Char"/>
    <w:basedOn w:val="DefaultParagraphFont"/>
    <w:link w:val="Heading8"/>
    <w:uiPriority w:val="9"/>
    <w:rsid w:val="00D069A2"/>
    <w:rPr>
      <w:rFonts w:asciiTheme="minorHAnsi" w:eastAsiaTheme="majorEastAsia" w:hAnsiTheme="minorHAnsi" w:cstheme="majorBidi"/>
      <w:i/>
      <w:iCs/>
      <w:color w:val="272727" w:themeColor="text1" w:themeTint="D8"/>
      <w:kern w:val="2"/>
      <w:lang w:val="en-US"/>
      <w14:ligatures w14:val="standardContextual"/>
    </w:rPr>
  </w:style>
  <w:style w:type="character" w:customStyle="1" w:styleId="Heading9Char">
    <w:name w:val="Heading 9 Char"/>
    <w:basedOn w:val="DefaultParagraphFont"/>
    <w:link w:val="Heading9"/>
    <w:uiPriority w:val="9"/>
    <w:rsid w:val="00D069A2"/>
    <w:rPr>
      <w:rFonts w:asciiTheme="minorHAnsi" w:eastAsiaTheme="majorEastAsia" w:hAnsiTheme="minorHAnsi" w:cstheme="majorBidi"/>
      <w:color w:val="272727" w:themeColor="text1" w:themeTint="D8"/>
      <w:kern w:val="2"/>
      <w:lang w:val="en-US"/>
      <w14:ligatures w14:val="standardContextual"/>
    </w:rPr>
  </w:style>
  <w:style w:type="paragraph" w:customStyle="1" w:styleId="BM-BookCover">
    <w:name w:val="BM - BookCover"/>
    <w:basedOn w:val="Normal"/>
    <w:rsid w:val="00D069A2"/>
    <w:pPr>
      <w:spacing w:before="120" w:after="120" w:line="259" w:lineRule="auto"/>
    </w:pPr>
    <w:rPr>
      <w:rFonts w:ascii="Calibri" w:eastAsia="Times New Roman" w:hAnsi="Calibri" w:cs="Times New Roman"/>
      <w:kern w:val="0"/>
      <w:sz w:val="22"/>
      <w14:ligatures w14:val="none"/>
    </w:rPr>
  </w:style>
  <w:style w:type="paragraph" w:customStyle="1" w:styleId="BM-PacktPageLogo">
    <w:name w:val="BM - PacktPageLogo"/>
    <w:basedOn w:val="Normal"/>
    <w:rsid w:val="00D069A2"/>
    <w:pPr>
      <w:spacing w:before="120" w:after="120" w:line="259" w:lineRule="auto"/>
    </w:pPr>
    <w:rPr>
      <w:rFonts w:ascii="Calibri" w:eastAsia="Times New Roman" w:hAnsi="Calibri" w:cs="Times New Roman"/>
      <w:kern w:val="0"/>
      <w:sz w:val="22"/>
      <w14:ligatures w14:val="none"/>
    </w:rPr>
  </w:style>
  <w:style w:type="paragraph" w:customStyle="1" w:styleId="P0-Paragraph">
    <w:name w:val="P0 - Paragraph"/>
    <w:link w:val="P0-ParagraphChar"/>
    <w:rsid w:val="00D069A2"/>
    <w:pPr>
      <w:spacing w:after="120" w:line="276" w:lineRule="auto"/>
      <w:jc w:val="both"/>
    </w:pPr>
    <w:rPr>
      <w:rFonts w:ascii="Crimson Pro" w:eastAsia="Times New Roman" w:hAnsi="Crimson Pro" w:cs="Times New Roman"/>
      <w:sz w:val="21"/>
      <w:lang w:val="en-US"/>
    </w:rPr>
  </w:style>
  <w:style w:type="paragraph" w:customStyle="1" w:styleId="C-Comment">
    <w:name w:val="C - Comment"/>
    <w:basedOn w:val="P0-Paragraph"/>
    <w:next w:val="P0-Paragraph"/>
    <w:rsid w:val="00D069A2"/>
    <w:pPr>
      <w:spacing w:line="360" w:lineRule="auto"/>
    </w:pPr>
    <w:rPr>
      <w:rFonts w:ascii="Arial" w:hAnsi="Arial"/>
      <w:b/>
      <w:color w:val="FF0000"/>
      <w:sz w:val="28"/>
      <w:szCs w:val="28"/>
    </w:rPr>
  </w:style>
  <w:style w:type="paragraph" w:customStyle="1" w:styleId="C-Citation">
    <w:name w:val="C - Citation"/>
    <w:basedOn w:val="C-Comment"/>
    <w:qFormat/>
    <w:rsid w:val="00D069A2"/>
    <w:rPr>
      <w:color w:val="FFFF00"/>
      <w:sz w:val="20"/>
    </w:rPr>
  </w:style>
  <w:style w:type="paragraph" w:customStyle="1" w:styleId="C0-CodeBlock">
    <w:name w:val="C0 - CodeBlock"/>
    <w:basedOn w:val="Normal"/>
    <w:rsid w:val="00D069A2"/>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after="180" w:line="276" w:lineRule="auto"/>
      <w:ind w:left="274" w:right="274"/>
      <w:contextualSpacing/>
    </w:pPr>
    <w:rPr>
      <w:rFonts w:ascii="Consolas" w:eastAsia="Times New Roman" w:hAnsi="Consolas" w:cs="Times New Roman"/>
      <w:color w:val="383A42"/>
      <w:kern w:val="0"/>
      <w:sz w:val="18"/>
      <w:szCs w:val="18"/>
      <w:lang w:eastAsia="ar-SA"/>
      <w14:ligatures w14:val="none"/>
    </w:rPr>
  </w:style>
  <w:style w:type="paragraph" w:customStyle="1" w:styleId="C0-ConsoleBlock">
    <w:name w:val="C0 - ConsoleBlock"/>
    <w:basedOn w:val="C0-CodeBlock"/>
    <w:rsid w:val="00D069A2"/>
    <w:pPr>
      <w:pBdr>
        <w:top w:val="single" w:sz="4" w:space="4" w:color="282A36"/>
        <w:left w:val="single" w:sz="4" w:space="14" w:color="282A36"/>
        <w:bottom w:val="single" w:sz="4" w:space="4" w:color="282A36"/>
        <w:right w:val="single" w:sz="4" w:space="14" w:color="282A36"/>
      </w:pBdr>
      <w:shd w:val="clear" w:color="auto" w:fill="282A36"/>
    </w:pPr>
    <w:rPr>
      <w:color w:val="F8F8F2"/>
      <w:lang w:val="en-IN"/>
    </w:rPr>
  </w:style>
  <w:style w:type="paragraph" w:customStyle="1" w:styleId="C1-CodeBlock">
    <w:name w:val="C1 - CodeBlock"/>
    <w:basedOn w:val="C0-CodeBlock"/>
    <w:rsid w:val="00D069A2"/>
    <w:pPr>
      <w:ind w:left="907"/>
    </w:pPr>
  </w:style>
  <w:style w:type="paragraph" w:customStyle="1" w:styleId="C1-ConsoleBlock">
    <w:name w:val="C1 - ConsoleBlock"/>
    <w:basedOn w:val="C1-CodeBlock"/>
    <w:rsid w:val="00D069A2"/>
    <w:pPr>
      <w:pBdr>
        <w:top w:val="single" w:sz="4" w:space="4" w:color="282A36"/>
        <w:left w:val="single" w:sz="4" w:space="14" w:color="282A36"/>
        <w:bottom w:val="single" w:sz="4" w:space="4" w:color="282A36"/>
        <w:right w:val="single" w:sz="4" w:space="14" w:color="282A36"/>
      </w:pBdr>
      <w:shd w:val="clear" w:color="auto" w:fill="282A36"/>
    </w:pPr>
    <w:rPr>
      <w:color w:val="F8F8F2"/>
    </w:rPr>
  </w:style>
  <w:style w:type="paragraph" w:customStyle="1" w:styleId="C2-CodeBlock">
    <w:name w:val="C2 - CodeBlock"/>
    <w:basedOn w:val="C0-CodeBlock"/>
    <w:rsid w:val="00D069A2"/>
    <w:pPr>
      <w:ind w:left="1526"/>
    </w:pPr>
  </w:style>
  <w:style w:type="paragraph" w:customStyle="1" w:styleId="C2-ConsoleBlock">
    <w:name w:val="C2 - ConsoleBlock"/>
    <w:basedOn w:val="C0-ConsoleBlock"/>
    <w:rsid w:val="00D069A2"/>
    <w:pPr>
      <w:ind w:left="2074"/>
    </w:pPr>
  </w:style>
  <w:style w:type="character" w:customStyle="1" w:styleId="CS-BoldItalic">
    <w:name w:val="CS - BoldItalic"/>
    <w:basedOn w:val="DefaultParagraphFont"/>
    <w:rsid w:val="00D069A2"/>
    <w:rPr>
      <w:b/>
      <w:i/>
    </w:rPr>
  </w:style>
  <w:style w:type="character" w:customStyle="1" w:styleId="CS-HighlightedCode">
    <w:name w:val="CS - HighlightedCode"/>
    <w:qFormat/>
    <w:rsid w:val="00D069A2"/>
    <w:rPr>
      <w:rFonts w:ascii="Consolas" w:hAnsi="Consolas"/>
      <w:b/>
      <w:color w:val="747959"/>
      <w:sz w:val="19"/>
      <w:szCs w:val="18"/>
    </w:rPr>
  </w:style>
  <w:style w:type="character" w:customStyle="1" w:styleId="CS-InlineCode">
    <w:name w:val="CS - InlineCode"/>
    <w:rsid w:val="00D069A2"/>
    <w:rPr>
      <w:rFonts w:ascii="Consolas" w:hAnsi="Consolas"/>
      <w:color w:val="747959"/>
      <w:sz w:val="19"/>
      <w:szCs w:val="18"/>
    </w:rPr>
  </w:style>
  <w:style w:type="character" w:customStyle="1" w:styleId="CS-Italic">
    <w:name w:val="CS - Italic"/>
    <w:rsid w:val="00D069A2"/>
    <w:rPr>
      <w:i/>
      <w:color w:val="FF99CC"/>
    </w:rPr>
  </w:style>
  <w:style w:type="character" w:customStyle="1" w:styleId="CS-Keyword">
    <w:name w:val="CS - Keyword"/>
    <w:rsid w:val="00D069A2"/>
    <w:rPr>
      <w:b/>
    </w:rPr>
  </w:style>
  <w:style w:type="character" w:customStyle="1" w:styleId="CS-Screentext">
    <w:name w:val="CS - Screentext"/>
    <w:rsid w:val="00D069A2"/>
    <w:rPr>
      <w:b/>
      <w:color w:val="008000"/>
    </w:rPr>
  </w:style>
  <w:style w:type="character" w:customStyle="1" w:styleId="CS-Subscript">
    <w:name w:val="CS - Subscript"/>
    <w:basedOn w:val="DefaultParagraphFont"/>
    <w:rsid w:val="00D069A2"/>
    <w:rPr>
      <w:i w:val="0"/>
      <w:vertAlign w:val="subscript"/>
    </w:rPr>
  </w:style>
  <w:style w:type="character" w:customStyle="1" w:styleId="CS-SubscriptBold">
    <w:name w:val="CS - SubscriptBold"/>
    <w:basedOn w:val="DefaultParagraphFont"/>
    <w:rsid w:val="00D069A2"/>
    <w:rPr>
      <w:b/>
      <w:vertAlign w:val="subscript"/>
    </w:rPr>
  </w:style>
  <w:style w:type="character" w:customStyle="1" w:styleId="CS-SubscriptBoldItalic">
    <w:name w:val="CS - SubscriptBoldItalic"/>
    <w:basedOn w:val="DefaultParagraphFont"/>
    <w:rsid w:val="00D069A2"/>
    <w:rPr>
      <w:b/>
      <w:i/>
      <w:vertAlign w:val="subscript"/>
    </w:rPr>
  </w:style>
  <w:style w:type="character" w:customStyle="1" w:styleId="CS-SubscriptItalic">
    <w:name w:val="CS - SubscriptItalic"/>
    <w:basedOn w:val="DefaultParagraphFont"/>
    <w:rsid w:val="00D069A2"/>
    <w:rPr>
      <w:i/>
      <w:vertAlign w:val="subscript"/>
    </w:rPr>
  </w:style>
  <w:style w:type="character" w:customStyle="1" w:styleId="CS-Superscript">
    <w:name w:val="CS - Superscript"/>
    <w:basedOn w:val="DefaultParagraphFont"/>
    <w:rsid w:val="00D069A2"/>
    <w:rPr>
      <w:vertAlign w:val="superscript"/>
    </w:rPr>
  </w:style>
  <w:style w:type="character" w:customStyle="1" w:styleId="CS-SuperscriptBold">
    <w:name w:val="CS - SuperscriptBold"/>
    <w:basedOn w:val="DefaultParagraphFont"/>
    <w:rsid w:val="00D069A2"/>
    <w:rPr>
      <w:b/>
      <w:vertAlign w:val="superscript"/>
    </w:rPr>
  </w:style>
  <w:style w:type="character" w:customStyle="1" w:styleId="CS-SuperscriptBoldItalic">
    <w:name w:val="CS - SuperscriptBoldItalic"/>
    <w:basedOn w:val="DefaultParagraphFont"/>
    <w:rsid w:val="00D069A2"/>
    <w:rPr>
      <w:b/>
      <w:i/>
      <w:vertAlign w:val="superscript"/>
    </w:rPr>
  </w:style>
  <w:style w:type="character" w:customStyle="1" w:styleId="CS-SuperscriptItalic">
    <w:name w:val="CS - SuperscriptItalic"/>
    <w:basedOn w:val="DefaultParagraphFont"/>
    <w:rsid w:val="00D069A2"/>
    <w:rPr>
      <w:i/>
      <w:vertAlign w:val="superscript"/>
    </w:rPr>
  </w:style>
  <w:style w:type="character" w:customStyle="1" w:styleId="CS-URL">
    <w:name w:val="CS - URL"/>
    <w:rsid w:val="00D069A2"/>
    <w:rPr>
      <w:rFonts w:ascii="Consolas" w:hAnsi="Consolas"/>
      <w:color w:val="0000FF"/>
      <w:sz w:val="19"/>
      <w:szCs w:val="18"/>
    </w:rPr>
  </w:style>
  <w:style w:type="paragraph" w:customStyle="1" w:styleId="F0-Figure">
    <w:name w:val="F0 - Figure"/>
    <w:basedOn w:val="P0-Paragraph"/>
    <w:next w:val="Normal"/>
    <w:rsid w:val="00D069A2"/>
    <w:pPr>
      <w:spacing w:after="126"/>
      <w:contextualSpacing/>
      <w:jc w:val="center"/>
    </w:pPr>
    <w:rPr>
      <w:rFonts w:ascii="Source Sans 3" w:hAnsi="Source Sans 3" w:cs="Tahoma"/>
      <w:i/>
      <w:sz w:val="18"/>
      <w:szCs w:val="16"/>
      <w:lang w:val="en-GB"/>
    </w:rPr>
  </w:style>
  <w:style w:type="paragraph" w:customStyle="1" w:styleId="F0-FigureCaption">
    <w:name w:val="F0 - FigureCaption"/>
    <w:basedOn w:val="F0-Figure"/>
    <w:qFormat/>
    <w:rsid w:val="00D069A2"/>
    <w:pPr>
      <w:ind w:left="630" w:right="630"/>
    </w:pPr>
  </w:style>
  <w:style w:type="paragraph" w:customStyle="1" w:styleId="F1-Figure">
    <w:name w:val="F1 - Figure"/>
    <w:basedOn w:val="F0-Figure"/>
    <w:next w:val="F0-FigureCaption"/>
    <w:qFormat/>
    <w:rsid w:val="00D069A2"/>
    <w:pPr>
      <w:ind w:left="630"/>
    </w:pPr>
  </w:style>
  <w:style w:type="paragraph" w:customStyle="1" w:styleId="F1-FigureCaption">
    <w:name w:val="F1 - FigureCaption"/>
    <w:basedOn w:val="F0-FigureCaption"/>
    <w:rsid w:val="00D069A2"/>
    <w:pPr>
      <w:ind w:left="1260"/>
    </w:pPr>
  </w:style>
  <w:style w:type="paragraph" w:customStyle="1" w:styleId="F2-Figure">
    <w:name w:val="F2 - Figure"/>
    <w:basedOn w:val="F0-Figure"/>
    <w:rsid w:val="00D069A2"/>
    <w:pPr>
      <w:ind w:left="1260"/>
    </w:pPr>
  </w:style>
  <w:style w:type="paragraph" w:customStyle="1" w:styleId="F2-FigureCaption">
    <w:name w:val="F2 - FigureCaption"/>
    <w:basedOn w:val="F0-FigureCaption"/>
    <w:rsid w:val="00D069A2"/>
    <w:pPr>
      <w:ind w:left="1890"/>
    </w:pPr>
  </w:style>
  <w:style w:type="paragraph" w:customStyle="1" w:styleId="FM-Acknowledgement">
    <w:name w:val="FM - Acknowledgement"/>
    <w:basedOn w:val="Normal"/>
    <w:rsid w:val="00D069A2"/>
    <w:pPr>
      <w:spacing w:after="240" w:line="240" w:lineRule="auto"/>
    </w:pPr>
    <w:rPr>
      <w:rFonts w:ascii="Calibri" w:eastAsia="Times New Roman" w:hAnsi="Calibri" w:cs="Times New Roman"/>
      <w:i/>
      <w:kern w:val="0"/>
      <w:sz w:val="22"/>
      <w14:ligatures w14:val="none"/>
    </w:rPr>
  </w:style>
  <w:style w:type="paragraph" w:customStyle="1" w:styleId="FM-BookTitle">
    <w:name w:val="FM - BookTitle"/>
    <w:basedOn w:val="Normal"/>
    <w:rsid w:val="00D069A2"/>
    <w:pPr>
      <w:keepNext/>
      <w:spacing w:before="240" w:after="60" w:line="240" w:lineRule="auto"/>
    </w:pPr>
    <w:rPr>
      <w:rFonts w:ascii="Calibri" w:eastAsia="Times New Roman" w:hAnsi="Calibri" w:cs="Times New Roman"/>
      <w:kern w:val="0"/>
      <w:sz w:val="56"/>
      <w14:ligatures w14:val="none"/>
    </w:rPr>
  </w:style>
  <w:style w:type="paragraph" w:customStyle="1" w:styleId="FM-AuthorName">
    <w:name w:val="FM - AuthorName"/>
    <w:basedOn w:val="FM-BookTitle"/>
    <w:rsid w:val="00D069A2"/>
    <w:rPr>
      <w:b/>
      <w:sz w:val="28"/>
    </w:rPr>
  </w:style>
  <w:style w:type="character" w:customStyle="1" w:styleId="FM-AuthorNameinBio">
    <w:name w:val="FM - AuthorNameinBio"/>
    <w:uiPriority w:val="1"/>
    <w:rsid w:val="00D069A2"/>
    <w:rPr>
      <w:b/>
      <w:color w:val="FF0000"/>
      <w:sz w:val="24"/>
    </w:rPr>
  </w:style>
  <w:style w:type="paragraph" w:customStyle="1" w:styleId="FM-BookEdition">
    <w:name w:val="FM - BookEdition"/>
    <w:basedOn w:val="FM-BookTitle"/>
    <w:rsid w:val="00D069A2"/>
    <w:rPr>
      <w:sz w:val="28"/>
    </w:rPr>
  </w:style>
  <w:style w:type="paragraph" w:customStyle="1" w:styleId="FM-CopyrightPageBookEdition">
    <w:name w:val="FM - CopyrightPageBookEdition"/>
    <w:basedOn w:val="FM-BookTitle"/>
    <w:rsid w:val="00D069A2"/>
    <w:pPr>
      <w:spacing w:before="0"/>
    </w:pPr>
    <w:rPr>
      <w:sz w:val="26"/>
    </w:rPr>
  </w:style>
  <w:style w:type="paragraph" w:customStyle="1" w:styleId="FM-CopyrightPageBookTitle">
    <w:name w:val="FM - CopyrightPageBookTitle"/>
    <w:basedOn w:val="FM-BookTitle"/>
    <w:rsid w:val="00D069A2"/>
    <w:rPr>
      <w:sz w:val="32"/>
    </w:rPr>
  </w:style>
  <w:style w:type="paragraph" w:customStyle="1" w:styleId="FM-CopyrightPageText">
    <w:name w:val="FM - CopyrightPageText"/>
    <w:basedOn w:val="Normal"/>
    <w:rsid w:val="00D069A2"/>
    <w:pPr>
      <w:spacing w:after="40" w:line="240" w:lineRule="auto"/>
    </w:pPr>
    <w:rPr>
      <w:rFonts w:ascii="Calibri" w:eastAsia="Times New Roman" w:hAnsi="Calibri" w:cs="Times New Roman"/>
      <w:kern w:val="0"/>
      <w:sz w:val="20"/>
      <w14:ligatures w14:val="none"/>
    </w:rPr>
  </w:style>
  <w:style w:type="paragraph" w:customStyle="1" w:styleId="FM-CopyrightText">
    <w:name w:val="FM - CopyrightText"/>
    <w:basedOn w:val="FM-CopyrightPageText"/>
    <w:rsid w:val="00D069A2"/>
    <w:pPr>
      <w:spacing w:after="80"/>
    </w:pPr>
  </w:style>
  <w:style w:type="paragraph" w:customStyle="1" w:styleId="FM-Subtitle">
    <w:name w:val="FM - Subtitle"/>
    <w:basedOn w:val="FM-BookTitle"/>
    <w:rsid w:val="00D069A2"/>
    <w:rPr>
      <w:sz w:val="32"/>
    </w:rPr>
  </w:style>
  <w:style w:type="paragraph" w:customStyle="1" w:styleId="FM-TitlePageLogo">
    <w:name w:val="FM - TitlePageLogo"/>
    <w:basedOn w:val="FM-BookTitle"/>
    <w:rsid w:val="00D069A2"/>
    <w:rPr>
      <w:noProof/>
      <w:sz w:val="22"/>
    </w:rPr>
  </w:style>
  <w:style w:type="paragraph" w:customStyle="1" w:styleId="FM-TitlePageLogoFooter">
    <w:name w:val="FM - TitlePageLogoFooter"/>
    <w:basedOn w:val="FM-BookTitle"/>
    <w:rsid w:val="00D069A2"/>
    <w:rPr>
      <w:sz w:val="22"/>
    </w:rPr>
  </w:style>
  <w:style w:type="paragraph" w:customStyle="1" w:styleId="hljs">
    <w:name w:val="hljs"/>
    <w:basedOn w:val="Normal"/>
    <w:uiPriority w:val="1"/>
    <w:unhideWhenUsed/>
    <w:rsid w:val="00D069A2"/>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before="100" w:beforeAutospacing="1" w:after="100" w:afterAutospacing="1"/>
      <w:ind w:left="270" w:right="270"/>
      <w:contextualSpacing/>
    </w:pPr>
    <w:rPr>
      <w:rFonts w:ascii="Times New Roman" w:eastAsiaTheme="minorEastAsia" w:hAnsi="Times New Roman" w:cs="Times New Roman"/>
      <w:color w:val="383A42"/>
      <w:kern w:val="0"/>
      <w:sz w:val="19"/>
      <w:szCs w:val="18"/>
      <w:lang w:eastAsia="ar-SA"/>
      <w14:ligatures w14:val="none"/>
    </w:rPr>
  </w:style>
  <w:style w:type="character" w:customStyle="1" w:styleId="hljs-addition">
    <w:name w:val="hljs-addition"/>
    <w:basedOn w:val="DefaultParagraphFont"/>
    <w:uiPriority w:val="1"/>
    <w:unhideWhenUsed/>
    <w:rsid w:val="00D069A2"/>
    <w:rPr>
      <w:color w:val="50A14F"/>
    </w:rPr>
  </w:style>
  <w:style w:type="character" w:customStyle="1" w:styleId="hljs-addition-slc">
    <w:name w:val="hljs-addition-slc"/>
    <w:basedOn w:val="hljs-addition"/>
    <w:uiPriority w:val="1"/>
    <w:unhideWhenUsed/>
    <w:rsid w:val="00D069A2"/>
    <w:rPr>
      <w:b/>
      <w:bCs/>
      <w:color w:val="50A14F"/>
      <w:sz w:val="20"/>
      <w:shd w:val="clear" w:color="auto" w:fill="D4D4D4"/>
    </w:rPr>
  </w:style>
  <w:style w:type="character" w:customStyle="1" w:styleId="hljs-attr">
    <w:name w:val="hljs-attr"/>
    <w:basedOn w:val="DefaultParagraphFont"/>
    <w:uiPriority w:val="1"/>
    <w:unhideWhenUsed/>
    <w:rsid w:val="00D069A2"/>
    <w:rPr>
      <w:color w:val="986801"/>
    </w:rPr>
  </w:style>
  <w:style w:type="character" w:customStyle="1" w:styleId="hljs-attribute">
    <w:name w:val="hljs-attribute"/>
    <w:basedOn w:val="DefaultParagraphFont"/>
    <w:uiPriority w:val="1"/>
    <w:unhideWhenUsed/>
    <w:rsid w:val="00D069A2"/>
    <w:rPr>
      <w:color w:val="50A14F"/>
    </w:rPr>
  </w:style>
  <w:style w:type="character" w:customStyle="1" w:styleId="hljs-attribute-slc">
    <w:name w:val="hljs-attribute-slc"/>
    <w:basedOn w:val="hljs-attribute"/>
    <w:uiPriority w:val="1"/>
    <w:unhideWhenUsed/>
    <w:rsid w:val="00D069A2"/>
    <w:rPr>
      <w:b/>
      <w:bCs/>
      <w:color w:val="50A14F"/>
      <w:sz w:val="20"/>
      <w:shd w:val="clear" w:color="auto" w:fill="D4D4D4"/>
    </w:rPr>
  </w:style>
  <w:style w:type="character" w:customStyle="1" w:styleId="hljs-attr-slc">
    <w:name w:val="hljs-attr-slc"/>
    <w:basedOn w:val="hljs-attr"/>
    <w:uiPriority w:val="1"/>
    <w:unhideWhenUsed/>
    <w:rsid w:val="00D069A2"/>
    <w:rPr>
      <w:b/>
      <w:bCs/>
      <w:color w:val="986801"/>
      <w:sz w:val="20"/>
      <w:shd w:val="clear" w:color="auto" w:fill="D4D4D4"/>
    </w:rPr>
  </w:style>
  <w:style w:type="character" w:customStyle="1" w:styleId="hljs-builtin">
    <w:name w:val="hljs-built_in"/>
    <w:basedOn w:val="DefaultParagraphFont"/>
    <w:unhideWhenUsed/>
    <w:rsid w:val="00D069A2"/>
    <w:rPr>
      <w:color w:val="C18401"/>
    </w:rPr>
  </w:style>
  <w:style w:type="character" w:customStyle="1" w:styleId="hljs-builtin-slc">
    <w:name w:val="hljs-built_in-slc"/>
    <w:basedOn w:val="hljs-builtin"/>
    <w:uiPriority w:val="1"/>
    <w:unhideWhenUsed/>
    <w:rsid w:val="00D069A2"/>
    <w:rPr>
      <w:b/>
      <w:bCs/>
      <w:color w:val="C18401"/>
      <w:sz w:val="20"/>
      <w:shd w:val="clear" w:color="auto" w:fill="D4D4D4"/>
    </w:rPr>
  </w:style>
  <w:style w:type="character" w:customStyle="1" w:styleId="hljs-builtin-name">
    <w:name w:val="hljs-builtin-name"/>
    <w:basedOn w:val="DefaultParagraphFont"/>
    <w:uiPriority w:val="1"/>
    <w:unhideWhenUsed/>
    <w:rsid w:val="00D069A2"/>
  </w:style>
  <w:style w:type="character" w:customStyle="1" w:styleId="hljs-builtin-name-slc">
    <w:name w:val="hljs-builtin-name-slc"/>
    <w:basedOn w:val="hljs-builtin-name"/>
    <w:uiPriority w:val="1"/>
    <w:unhideWhenUsed/>
    <w:rsid w:val="00D069A2"/>
    <w:rPr>
      <w:b/>
      <w:bCs/>
      <w:sz w:val="20"/>
      <w:shd w:val="clear" w:color="auto" w:fill="D4D4D4"/>
    </w:rPr>
  </w:style>
  <w:style w:type="character" w:customStyle="1" w:styleId="hljs-bullet">
    <w:name w:val="hljs-bullet"/>
    <w:basedOn w:val="DefaultParagraphFont"/>
    <w:uiPriority w:val="1"/>
    <w:unhideWhenUsed/>
    <w:rsid w:val="00D069A2"/>
    <w:rPr>
      <w:color w:val="4078F2"/>
    </w:rPr>
  </w:style>
  <w:style w:type="character" w:customStyle="1" w:styleId="hljs-bullet-slc">
    <w:name w:val="hljs-bullet-slc"/>
    <w:basedOn w:val="hljs-bullet"/>
    <w:uiPriority w:val="1"/>
    <w:unhideWhenUsed/>
    <w:rsid w:val="00D069A2"/>
    <w:rPr>
      <w:b/>
      <w:bCs/>
      <w:color w:val="4078F2"/>
      <w:sz w:val="20"/>
      <w:shd w:val="clear" w:color="auto" w:fill="D4D4D4"/>
    </w:rPr>
  </w:style>
  <w:style w:type="character" w:customStyle="1" w:styleId="hljs-class">
    <w:name w:val="hljs-class"/>
    <w:basedOn w:val="DefaultParagraphFont"/>
    <w:uiPriority w:val="1"/>
    <w:unhideWhenUsed/>
    <w:rsid w:val="00D069A2"/>
  </w:style>
  <w:style w:type="character" w:customStyle="1" w:styleId="hljs-class-slc">
    <w:name w:val="hljs-class-slc"/>
    <w:basedOn w:val="hljs-class"/>
    <w:uiPriority w:val="1"/>
    <w:unhideWhenUsed/>
    <w:rsid w:val="00D069A2"/>
    <w:rPr>
      <w:b/>
      <w:bCs/>
      <w:sz w:val="20"/>
      <w:shd w:val="clear" w:color="auto" w:fill="D4D4D4"/>
    </w:rPr>
  </w:style>
  <w:style w:type="character" w:customStyle="1" w:styleId="hljs-code">
    <w:name w:val="hljs-code"/>
    <w:basedOn w:val="DefaultParagraphFont"/>
    <w:uiPriority w:val="1"/>
    <w:unhideWhenUsed/>
    <w:rsid w:val="00D069A2"/>
  </w:style>
  <w:style w:type="character" w:customStyle="1" w:styleId="hljs-code-slc">
    <w:name w:val="hljs-code-slc"/>
    <w:basedOn w:val="hljs-code"/>
    <w:uiPriority w:val="1"/>
    <w:unhideWhenUsed/>
    <w:rsid w:val="00D069A2"/>
    <w:rPr>
      <w:b/>
      <w:bCs/>
      <w:sz w:val="20"/>
      <w:shd w:val="clear" w:color="auto" w:fill="D4D4D4"/>
    </w:rPr>
  </w:style>
  <w:style w:type="character" w:customStyle="1" w:styleId="hljs-comment">
    <w:name w:val="hljs-comment"/>
    <w:basedOn w:val="DefaultParagraphFont"/>
    <w:uiPriority w:val="1"/>
    <w:unhideWhenUsed/>
    <w:rsid w:val="00D069A2"/>
    <w:rPr>
      <w:i/>
      <w:iCs/>
      <w:color w:val="A0A1A7"/>
    </w:rPr>
  </w:style>
  <w:style w:type="character" w:customStyle="1" w:styleId="hljs-comment-slc">
    <w:name w:val="hljs-comment-slc"/>
    <w:basedOn w:val="hljs-comment"/>
    <w:uiPriority w:val="1"/>
    <w:unhideWhenUsed/>
    <w:rsid w:val="00D069A2"/>
    <w:rPr>
      <w:b/>
      <w:bCs/>
      <w:i/>
      <w:iCs/>
      <w:color w:val="A0A1A7"/>
      <w:sz w:val="20"/>
      <w:shd w:val="clear" w:color="auto" w:fill="D4D4D4"/>
    </w:rPr>
  </w:style>
  <w:style w:type="paragraph" w:customStyle="1" w:styleId="hljs-con">
    <w:name w:val="hljs-con"/>
    <w:basedOn w:val="Normal"/>
    <w:uiPriority w:val="1"/>
    <w:unhideWhenUsed/>
    <w:rsid w:val="00D069A2"/>
    <w:pPr>
      <w:shd w:val="clear" w:color="auto" w:fill="282A36"/>
      <w:spacing w:before="100" w:beforeAutospacing="1" w:after="100" w:afterAutospacing="1"/>
    </w:pPr>
    <w:rPr>
      <w:rFonts w:ascii="Times New Roman" w:eastAsiaTheme="minorEastAsia" w:hAnsi="Times New Roman"/>
      <w:color w:val="F8F8F2"/>
      <w:kern w:val="0"/>
      <w:lang w:val="en-IN" w:eastAsia="en-IN"/>
      <w14:ligatures w14:val="none"/>
    </w:rPr>
  </w:style>
  <w:style w:type="character" w:customStyle="1" w:styleId="hljs-con-addition">
    <w:name w:val="hljs-con-addition"/>
    <w:basedOn w:val="DefaultParagraphFont"/>
    <w:uiPriority w:val="1"/>
    <w:unhideWhenUsed/>
    <w:rsid w:val="00D069A2"/>
    <w:rPr>
      <w:color w:val="F1FA8C"/>
    </w:rPr>
  </w:style>
  <w:style w:type="character" w:customStyle="1" w:styleId="hljs-con-addition-slc">
    <w:name w:val="hljs-con-addition-slc"/>
    <w:basedOn w:val="DefaultParagraphFont"/>
    <w:uiPriority w:val="1"/>
    <w:unhideWhenUsed/>
    <w:rsid w:val="00D069A2"/>
    <w:rPr>
      <w:b/>
      <w:bCs/>
      <w:color w:val="F1FA8C"/>
      <w:shd w:val="clear" w:color="auto" w:fill="44475A"/>
    </w:rPr>
  </w:style>
  <w:style w:type="character" w:customStyle="1" w:styleId="hljs-con-attr">
    <w:name w:val="hljs-con-attr"/>
    <w:basedOn w:val="DefaultParagraphFont"/>
    <w:uiPriority w:val="1"/>
    <w:unhideWhenUsed/>
    <w:rsid w:val="00D069A2"/>
    <w:rPr>
      <w:color w:val="F1FA8C"/>
    </w:rPr>
  </w:style>
  <w:style w:type="character" w:customStyle="1" w:styleId="hljs-con-attribute">
    <w:name w:val="hljs-con-attribute"/>
    <w:basedOn w:val="DefaultParagraphFont"/>
    <w:uiPriority w:val="1"/>
    <w:unhideWhenUsed/>
    <w:rsid w:val="00D069A2"/>
    <w:rPr>
      <w:color w:val="F8F8F2"/>
      <w:shd w:val="clear" w:color="auto" w:fill="282A36"/>
    </w:rPr>
  </w:style>
  <w:style w:type="character" w:customStyle="1" w:styleId="Heading1Char">
    <w:name w:val="Heading 1 Char"/>
    <w:basedOn w:val="DefaultParagraphFont"/>
    <w:link w:val="Heading1"/>
    <w:uiPriority w:val="9"/>
    <w:rsid w:val="00D069A2"/>
    <w:rPr>
      <w:rFonts w:asciiTheme="majorHAnsi" w:eastAsiaTheme="majorEastAsia" w:hAnsiTheme="majorHAnsi" w:cstheme="majorBidi"/>
      <w:color w:val="365F91" w:themeColor="accent1" w:themeShade="BF"/>
      <w:kern w:val="2"/>
      <w:sz w:val="40"/>
      <w:szCs w:val="40"/>
      <w:lang w:val="en-US"/>
      <w14:ligatures w14:val="standardContextual"/>
    </w:rPr>
  </w:style>
  <w:style w:type="character" w:customStyle="1" w:styleId="Heading2Char">
    <w:name w:val="Heading 2 Char"/>
    <w:basedOn w:val="DefaultParagraphFont"/>
    <w:link w:val="Heading2"/>
    <w:uiPriority w:val="9"/>
    <w:rsid w:val="00D069A2"/>
    <w:rPr>
      <w:rFonts w:asciiTheme="majorHAnsi" w:eastAsiaTheme="majorEastAsia" w:hAnsiTheme="majorHAnsi" w:cstheme="majorBidi"/>
      <w:color w:val="365F91" w:themeColor="accent1" w:themeShade="BF"/>
      <w:kern w:val="2"/>
      <w:sz w:val="32"/>
      <w:szCs w:val="32"/>
      <w:lang w:val="en-US"/>
      <w14:ligatures w14:val="standardContextual"/>
    </w:rPr>
  </w:style>
  <w:style w:type="character" w:customStyle="1" w:styleId="Heading3Char">
    <w:name w:val="Heading 3 Char"/>
    <w:basedOn w:val="DefaultParagraphFont"/>
    <w:link w:val="Heading3"/>
    <w:uiPriority w:val="9"/>
    <w:rsid w:val="00D069A2"/>
    <w:rPr>
      <w:rFonts w:asciiTheme="minorHAnsi" w:eastAsiaTheme="majorEastAsia" w:hAnsiTheme="minorHAnsi" w:cstheme="majorBidi"/>
      <w:color w:val="365F91" w:themeColor="accent1" w:themeShade="BF"/>
      <w:kern w:val="2"/>
      <w:sz w:val="28"/>
      <w:szCs w:val="28"/>
      <w:lang w:val="en-US"/>
      <w14:ligatures w14:val="standardContextual"/>
    </w:rPr>
  </w:style>
  <w:style w:type="character" w:customStyle="1" w:styleId="Heading4Char">
    <w:name w:val="Heading 4 Char"/>
    <w:basedOn w:val="DefaultParagraphFont"/>
    <w:link w:val="Heading4"/>
    <w:uiPriority w:val="9"/>
    <w:rsid w:val="00D069A2"/>
    <w:rPr>
      <w:rFonts w:asciiTheme="minorHAnsi" w:eastAsiaTheme="majorEastAsia" w:hAnsiTheme="minorHAnsi" w:cstheme="majorBidi"/>
      <w:i/>
      <w:iCs/>
      <w:color w:val="365F91" w:themeColor="accent1" w:themeShade="BF"/>
      <w:kern w:val="2"/>
      <w:lang w:val="en-US"/>
      <w14:ligatures w14:val="standardContextual"/>
    </w:rPr>
  </w:style>
  <w:style w:type="character" w:customStyle="1" w:styleId="Heading5Char">
    <w:name w:val="Heading 5 Char"/>
    <w:basedOn w:val="DefaultParagraphFont"/>
    <w:link w:val="Heading5"/>
    <w:uiPriority w:val="9"/>
    <w:rsid w:val="00D069A2"/>
    <w:rPr>
      <w:rFonts w:asciiTheme="minorHAnsi" w:eastAsiaTheme="majorEastAsia" w:hAnsiTheme="minorHAnsi" w:cstheme="majorBidi"/>
      <w:color w:val="365F91" w:themeColor="accent1" w:themeShade="BF"/>
      <w:kern w:val="2"/>
      <w:lang w:val="en-US"/>
      <w14:ligatures w14:val="standardContextual"/>
    </w:rPr>
  </w:style>
  <w:style w:type="character" w:customStyle="1" w:styleId="Heading6Char">
    <w:name w:val="Heading 6 Char"/>
    <w:basedOn w:val="DefaultParagraphFont"/>
    <w:link w:val="Heading6"/>
    <w:uiPriority w:val="9"/>
    <w:rsid w:val="00D069A2"/>
    <w:rPr>
      <w:rFonts w:asciiTheme="minorHAnsi" w:eastAsiaTheme="majorEastAsia" w:hAnsiTheme="minorHAnsi" w:cstheme="majorBidi"/>
      <w:i/>
      <w:iCs/>
      <w:color w:val="595959" w:themeColor="text1" w:themeTint="A6"/>
      <w:kern w:val="2"/>
      <w:lang w:val="en-US"/>
      <w14:ligatures w14:val="standardContextual"/>
    </w:rPr>
  </w:style>
  <w:style w:type="character" w:customStyle="1" w:styleId="hljs-con-attribute-slc">
    <w:name w:val="hljs-con-attribute-slc"/>
    <w:basedOn w:val="DefaultParagraphFont"/>
    <w:uiPriority w:val="1"/>
    <w:unhideWhenUsed/>
    <w:rsid w:val="00D069A2"/>
    <w:rPr>
      <w:b/>
      <w:bCs/>
      <w:color w:val="F8F8F2"/>
      <w:shd w:val="clear" w:color="auto" w:fill="44475A"/>
    </w:rPr>
  </w:style>
  <w:style w:type="character" w:customStyle="1" w:styleId="hljs-con-attr-slc">
    <w:name w:val="hljs-con-attr-slc"/>
    <w:basedOn w:val="DefaultParagraphFont"/>
    <w:uiPriority w:val="1"/>
    <w:unhideWhenUsed/>
    <w:rsid w:val="00D069A2"/>
    <w:rPr>
      <w:b/>
      <w:bCs/>
      <w:color w:val="F1FA8C"/>
      <w:shd w:val="clear" w:color="auto" w:fill="44475A"/>
    </w:rPr>
  </w:style>
  <w:style w:type="character" w:customStyle="1" w:styleId="hljs-con-builtin">
    <w:name w:val="hljs-con-built_in"/>
    <w:basedOn w:val="DefaultParagraphFont"/>
    <w:uiPriority w:val="1"/>
    <w:unhideWhenUsed/>
    <w:rsid w:val="00D069A2"/>
    <w:rPr>
      <w:color w:val="8BE9FD"/>
    </w:rPr>
  </w:style>
  <w:style w:type="character" w:customStyle="1" w:styleId="hljs-con-builtin-slc">
    <w:name w:val="hljs-con-built_in-slc"/>
    <w:basedOn w:val="DefaultParagraphFont"/>
    <w:uiPriority w:val="1"/>
    <w:unhideWhenUsed/>
    <w:rsid w:val="00D069A2"/>
    <w:rPr>
      <w:b/>
      <w:bCs/>
      <w:color w:val="8BE9FD"/>
      <w:shd w:val="clear" w:color="auto" w:fill="44475A"/>
    </w:rPr>
  </w:style>
  <w:style w:type="character" w:customStyle="1" w:styleId="hljs-con-builtin-name">
    <w:name w:val="hljs-con-builtin-name"/>
    <w:basedOn w:val="DefaultParagraphFont"/>
    <w:uiPriority w:val="1"/>
    <w:unhideWhenUsed/>
    <w:rsid w:val="00D069A2"/>
    <w:rPr>
      <w:color w:val="F8F8F2"/>
      <w:shd w:val="clear" w:color="auto" w:fill="282A36"/>
    </w:rPr>
  </w:style>
  <w:style w:type="character" w:customStyle="1" w:styleId="hljs-con-builtin-name-slc">
    <w:name w:val="hljs-con-builtin-name-slc"/>
    <w:basedOn w:val="DefaultParagraphFont"/>
    <w:uiPriority w:val="1"/>
    <w:unhideWhenUsed/>
    <w:rsid w:val="00D069A2"/>
    <w:rPr>
      <w:b/>
      <w:bCs/>
      <w:color w:val="F8F8F2"/>
      <w:shd w:val="clear" w:color="auto" w:fill="44475A"/>
    </w:rPr>
  </w:style>
  <w:style w:type="character" w:customStyle="1" w:styleId="hljs-con-bullet">
    <w:name w:val="hljs-con-bullet"/>
    <w:basedOn w:val="DefaultParagraphFont"/>
    <w:uiPriority w:val="1"/>
    <w:unhideWhenUsed/>
    <w:rsid w:val="00D069A2"/>
    <w:rPr>
      <w:color w:val="F1FA8C"/>
    </w:rPr>
  </w:style>
  <w:style w:type="character" w:customStyle="1" w:styleId="hljs-con-bullet-slc">
    <w:name w:val="hljs-con-bullet-slc"/>
    <w:basedOn w:val="DefaultParagraphFont"/>
    <w:uiPriority w:val="1"/>
    <w:unhideWhenUsed/>
    <w:rsid w:val="00D069A2"/>
    <w:rPr>
      <w:b/>
      <w:bCs/>
      <w:color w:val="F1FA8C"/>
      <w:shd w:val="clear" w:color="auto" w:fill="44475A"/>
    </w:rPr>
  </w:style>
  <w:style w:type="character" w:customStyle="1" w:styleId="hljs-con-class">
    <w:name w:val="hljs-con-class"/>
    <w:basedOn w:val="DefaultParagraphFont"/>
    <w:uiPriority w:val="1"/>
    <w:unhideWhenUsed/>
    <w:rsid w:val="00D069A2"/>
    <w:rPr>
      <w:color w:val="F8F8F2"/>
      <w:shd w:val="clear" w:color="auto" w:fill="282A36"/>
    </w:rPr>
  </w:style>
  <w:style w:type="character" w:customStyle="1" w:styleId="hljs-con-class-slc">
    <w:name w:val="hljs-con-class-slc"/>
    <w:basedOn w:val="DefaultParagraphFont"/>
    <w:uiPriority w:val="1"/>
    <w:unhideWhenUsed/>
    <w:rsid w:val="00D069A2"/>
    <w:rPr>
      <w:b/>
      <w:bCs/>
      <w:color w:val="F8F8F2"/>
      <w:shd w:val="clear" w:color="auto" w:fill="44475A"/>
    </w:rPr>
  </w:style>
  <w:style w:type="character" w:customStyle="1" w:styleId="hljs-con-code">
    <w:name w:val="hljs-con-code"/>
    <w:basedOn w:val="DefaultParagraphFont"/>
    <w:uiPriority w:val="1"/>
    <w:unhideWhenUsed/>
    <w:rsid w:val="00D069A2"/>
    <w:rPr>
      <w:color w:val="F8F8F2"/>
      <w:shd w:val="clear" w:color="auto" w:fill="282A36"/>
    </w:rPr>
  </w:style>
  <w:style w:type="character" w:customStyle="1" w:styleId="hljs-con-code-slc">
    <w:name w:val="hljs-con-code-slc"/>
    <w:basedOn w:val="DefaultParagraphFont"/>
    <w:uiPriority w:val="1"/>
    <w:unhideWhenUsed/>
    <w:rsid w:val="00D069A2"/>
    <w:rPr>
      <w:b/>
      <w:bCs/>
      <w:color w:val="F8F8F2"/>
      <w:shd w:val="clear" w:color="auto" w:fill="44475A"/>
    </w:rPr>
  </w:style>
  <w:style w:type="character" w:customStyle="1" w:styleId="hljs-con-comment">
    <w:name w:val="hljs-con-comment"/>
    <w:basedOn w:val="DefaultParagraphFont"/>
    <w:uiPriority w:val="1"/>
    <w:unhideWhenUsed/>
    <w:rsid w:val="00D069A2"/>
    <w:rPr>
      <w:color w:val="6272A4"/>
    </w:rPr>
  </w:style>
  <w:style w:type="character" w:customStyle="1" w:styleId="hljs-con-comment-slc">
    <w:name w:val="hljs-con-comment-slc"/>
    <w:basedOn w:val="DefaultParagraphFont"/>
    <w:uiPriority w:val="1"/>
    <w:unhideWhenUsed/>
    <w:rsid w:val="00D069A2"/>
    <w:rPr>
      <w:b/>
      <w:bCs/>
      <w:color w:val="6272A4"/>
      <w:shd w:val="clear" w:color="auto" w:fill="44475A"/>
    </w:rPr>
  </w:style>
  <w:style w:type="character" w:customStyle="1" w:styleId="hljs-con-constructor">
    <w:name w:val="hljs-con-constructor"/>
    <w:basedOn w:val="DefaultParagraphFont"/>
    <w:uiPriority w:val="1"/>
    <w:unhideWhenUsed/>
    <w:rsid w:val="00D069A2"/>
    <w:rPr>
      <w:color w:val="F8F8F2"/>
      <w:shd w:val="clear" w:color="auto" w:fill="282A36"/>
    </w:rPr>
  </w:style>
  <w:style w:type="character" w:customStyle="1" w:styleId="hljs-con-constructor-slc">
    <w:name w:val="hljs-con-constructor-slc"/>
    <w:basedOn w:val="DefaultParagraphFont"/>
    <w:uiPriority w:val="1"/>
    <w:unhideWhenUsed/>
    <w:rsid w:val="00D069A2"/>
    <w:rPr>
      <w:b/>
      <w:bCs/>
      <w:color w:val="F8F8F2"/>
      <w:shd w:val="clear" w:color="auto" w:fill="44475A"/>
    </w:rPr>
  </w:style>
  <w:style w:type="character" w:customStyle="1" w:styleId="hljs-con-deletion">
    <w:name w:val="hljs-con-deletion"/>
    <w:basedOn w:val="DefaultParagraphFont"/>
    <w:uiPriority w:val="1"/>
    <w:unhideWhenUsed/>
    <w:rsid w:val="00D069A2"/>
    <w:rPr>
      <w:color w:val="6272A4"/>
    </w:rPr>
  </w:style>
  <w:style w:type="character" w:customStyle="1" w:styleId="hljs-con-deletion-slc">
    <w:name w:val="hljs-con-deletion-slc"/>
    <w:basedOn w:val="DefaultParagraphFont"/>
    <w:uiPriority w:val="1"/>
    <w:unhideWhenUsed/>
    <w:rsid w:val="00D069A2"/>
    <w:rPr>
      <w:b/>
      <w:bCs/>
      <w:color w:val="6272A4"/>
      <w:shd w:val="clear" w:color="auto" w:fill="44475A"/>
    </w:rPr>
  </w:style>
  <w:style w:type="character" w:customStyle="1" w:styleId="hljs-con-doctag">
    <w:name w:val="hljs-con-doctag"/>
    <w:basedOn w:val="DefaultParagraphFont"/>
    <w:uiPriority w:val="1"/>
    <w:unhideWhenUsed/>
    <w:rsid w:val="00D069A2"/>
    <w:rPr>
      <w:b/>
      <w:bCs/>
    </w:rPr>
  </w:style>
  <w:style w:type="character" w:customStyle="1" w:styleId="hljs-con-doctag-slc">
    <w:name w:val="hljs-con-doctag-slc"/>
    <w:basedOn w:val="DefaultParagraphFont"/>
    <w:uiPriority w:val="1"/>
    <w:unhideWhenUsed/>
    <w:rsid w:val="00D069A2"/>
    <w:rPr>
      <w:b/>
      <w:bCs/>
      <w:shd w:val="clear" w:color="auto" w:fill="44475A"/>
    </w:rPr>
  </w:style>
  <w:style w:type="character" w:customStyle="1" w:styleId="hljs-con-emphasis">
    <w:name w:val="hljs-con-emphasis"/>
    <w:basedOn w:val="DefaultParagraphFont"/>
    <w:uiPriority w:val="1"/>
    <w:unhideWhenUsed/>
    <w:rsid w:val="00D069A2"/>
    <w:rPr>
      <w:i/>
      <w:iCs/>
    </w:rPr>
  </w:style>
  <w:style w:type="character" w:customStyle="1" w:styleId="hljs-con-emphasis-slc">
    <w:name w:val="hljs-con-emphasis-slc"/>
    <w:basedOn w:val="DefaultParagraphFont"/>
    <w:uiPriority w:val="1"/>
    <w:unhideWhenUsed/>
    <w:rsid w:val="00D069A2"/>
    <w:rPr>
      <w:b/>
      <w:bCs/>
      <w:i/>
      <w:iCs/>
      <w:shd w:val="clear" w:color="auto" w:fill="44475A"/>
    </w:rPr>
  </w:style>
  <w:style w:type="character" w:customStyle="1" w:styleId="hljs-con-formula">
    <w:name w:val="hljs-con-formula"/>
    <w:basedOn w:val="DefaultParagraphFont"/>
    <w:uiPriority w:val="1"/>
    <w:unhideWhenUsed/>
    <w:rsid w:val="00D069A2"/>
    <w:rPr>
      <w:color w:val="F8F8F2"/>
      <w:shd w:val="clear" w:color="auto" w:fill="282A36"/>
    </w:rPr>
  </w:style>
  <w:style w:type="character" w:customStyle="1" w:styleId="hljs-con-formula-slc">
    <w:name w:val="hljs-con-formula-slc"/>
    <w:basedOn w:val="DefaultParagraphFont"/>
    <w:uiPriority w:val="1"/>
    <w:unhideWhenUsed/>
    <w:rsid w:val="00D069A2"/>
    <w:rPr>
      <w:b/>
      <w:bCs/>
      <w:color w:val="F8F8F2"/>
      <w:shd w:val="clear" w:color="auto" w:fill="44475A"/>
    </w:rPr>
  </w:style>
  <w:style w:type="character" w:customStyle="1" w:styleId="hljs-con-function">
    <w:name w:val="hljs-con-function"/>
    <w:basedOn w:val="DefaultParagraphFont"/>
    <w:uiPriority w:val="1"/>
    <w:unhideWhenUsed/>
    <w:rsid w:val="00D069A2"/>
    <w:rPr>
      <w:color w:val="F8F8F2"/>
      <w:shd w:val="clear" w:color="auto" w:fill="282A36"/>
    </w:rPr>
  </w:style>
  <w:style w:type="character" w:customStyle="1" w:styleId="hljs-con-function-slc">
    <w:name w:val="hljs-con-function-slc"/>
    <w:basedOn w:val="DefaultParagraphFont"/>
    <w:uiPriority w:val="1"/>
    <w:unhideWhenUsed/>
    <w:rsid w:val="00D069A2"/>
    <w:rPr>
      <w:b/>
      <w:bCs/>
      <w:color w:val="F8F8F2"/>
      <w:shd w:val="clear" w:color="auto" w:fill="44475A"/>
    </w:rPr>
  </w:style>
  <w:style w:type="character" w:customStyle="1" w:styleId="hljs-con-keyword">
    <w:name w:val="hljs-con-keyword"/>
    <w:basedOn w:val="DefaultParagraphFont"/>
    <w:uiPriority w:val="1"/>
    <w:unhideWhenUsed/>
    <w:rsid w:val="00D069A2"/>
    <w:rPr>
      <w:b/>
      <w:bCs/>
      <w:color w:val="FF79C6"/>
    </w:rPr>
  </w:style>
  <w:style w:type="character" w:customStyle="1" w:styleId="hljs-con-keyword-slc">
    <w:name w:val="hljs-con-keyword-slc"/>
    <w:basedOn w:val="DefaultParagraphFont"/>
    <w:uiPriority w:val="1"/>
    <w:unhideWhenUsed/>
    <w:rsid w:val="00D069A2"/>
    <w:rPr>
      <w:b/>
      <w:bCs/>
      <w:color w:val="FF79C6"/>
      <w:shd w:val="clear" w:color="auto" w:fill="44475A"/>
    </w:rPr>
  </w:style>
  <w:style w:type="character" w:customStyle="1" w:styleId="hljs-con-link">
    <w:name w:val="hljs-con-link"/>
    <w:basedOn w:val="DefaultParagraphFont"/>
    <w:uiPriority w:val="1"/>
    <w:unhideWhenUsed/>
    <w:rsid w:val="00D069A2"/>
    <w:rPr>
      <w:color w:val="8BE9FD"/>
    </w:rPr>
  </w:style>
  <w:style w:type="character" w:customStyle="1" w:styleId="hljs-con-link-slc">
    <w:name w:val="hljs-con-link-slc"/>
    <w:basedOn w:val="DefaultParagraphFont"/>
    <w:uiPriority w:val="1"/>
    <w:unhideWhenUsed/>
    <w:rsid w:val="00D069A2"/>
    <w:rPr>
      <w:b/>
      <w:bCs/>
      <w:color w:val="8BE9FD"/>
      <w:shd w:val="clear" w:color="auto" w:fill="44475A"/>
    </w:rPr>
  </w:style>
  <w:style w:type="character" w:customStyle="1" w:styleId="hljs-con-literal">
    <w:name w:val="hljs-con-literal"/>
    <w:basedOn w:val="DefaultParagraphFont"/>
    <w:uiPriority w:val="1"/>
    <w:unhideWhenUsed/>
    <w:rsid w:val="00D069A2"/>
    <w:rPr>
      <w:b/>
      <w:bCs/>
      <w:color w:val="BD93F9"/>
    </w:rPr>
  </w:style>
  <w:style w:type="character" w:customStyle="1" w:styleId="hljs-con-literal-slc">
    <w:name w:val="hljs-con-literal-slc"/>
    <w:basedOn w:val="DefaultParagraphFont"/>
    <w:uiPriority w:val="1"/>
    <w:unhideWhenUsed/>
    <w:rsid w:val="00D069A2"/>
    <w:rPr>
      <w:b/>
      <w:bCs/>
      <w:color w:val="BD93F9"/>
      <w:shd w:val="clear" w:color="auto" w:fill="44475A"/>
    </w:rPr>
  </w:style>
  <w:style w:type="character" w:customStyle="1" w:styleId="hljs-con-meta">
    <w:name w:val="hljs-con-meta"/>
    <w:basedOn w:val="DefaultParagraphFont"/>
    <w:uiPriority w:val="1"/>
    <w:unhideWhenUsed/>
    <w:rsid w:val="00D069A2"/>
    <w:rPr>
      <w:b/>
      <w:color w:val="50FA7B"/>
    </w:rPr>
  </w:style>
  <w:style w:type="character" w:customStyle="1" w:styleId="hljs-con-meta-keyword">
    <w:name w:val="hljs-con-meta-keyword"/>
    <w:basedOn w:val="DefaultParagraphFont"/>
    <w:uiPriority w:val="1"/>
    <w:unhideWhenUsed/>
    <w:rsid w:val="00D069A2"/>
    <w:rPr>
      <w:color w:val="F8F8F2"/>
      <w:shd w:val="clear" w:color="auto" w:fill="282A36"/>
    </w:rPr>
  </w:style>
  <w:style w:type="character" w:customStyle="1" w:styleId="hljs-con-meta-keyword-slc">
    <w:name w:val="hljs-con-meta-keyword-slc"/>
    <w:basedOn w:val="DefaultParagraphFont"/>
    <w:uiPriority w:val="1"/>
    <w:unhideWhenUsed/>
    <w:rsid w:val="00D069A2"/>
    <w:rPr>
      <w:b/>
      <w:bCs/>
      <w:color w:val="F8F8F2"/>
      <w:shd w:val="clear" w:color="auto" w:fill="44475A"/>
    </w:rPr>
  </w:style>
  <w:style w:type="character" w:customStyle="1" w:styleId="hljs-con-meta-slc">
    <w:name w:val="hljs-con-meta-slc"/>
    <w:basedOn w:val="DefaultParagraphFont"/>
    <w:uiPriority w:val="1"/>
    <w:unhideWhenUsed/>
    <w:rsid w:val="00D069A2"/>
    <w:rPr>
      <w:b/>
      <w:bCs/>
      <w:color w:val="50FA7B"/>
      <w:shd w:val="clear" w:color="auto" w:fill="44475A"/>
    </w:rPr>
  </w:style>
  <w:style w:type="character" w:customStyle="1" w:styleId="hljs-con-meta-string">
    <w:name w:val="hljs-con-meta-string"/>
    <w:basedOn w:val="DefaultParagraphFont"/>
    <w:uiPriority w:val="1"/>
    <w:unhideWhenUsed/>
    <w:rsid w:val="00D069A2"/>
    <w:rPr>
      <w:color w:val="F8F8F2"/>
      <w:shd w:val="clear" w:color="auto" w:fill="282A36"/>
    </w:rPr>
  </w:style>
  <w:style w:type="character" w:customStyle="1" w:styleId="hljs-con-meta-string-slc">
    <w:name w:val="hljs-con-meta-string-slc"/>
    <w:basedOn w:val="DefaultParagraphFont"/>
    <w:uiPriority w:val="1"/>
    <w:unhideWhenUsed/>
    <w:rsid w:val="00D069A2"/>
    <w:rPr>
      <w:b/>
      <w:bCs/>
      <w:color w:val="F8F8F2"/>
      <w:shd w:val="clear" w:color="auto" w:fill="44475A"/>
    </w:rPr>
  </w:style>
  <w:style w:type="character" w:customStyle="1" w:styleId="hljs-con-module">
    <w:name w:val="hljs-con-module"/>
    <w:basedOn w:val="DefaultParagraphFont"/>
    <w:uiPriority w:val="1"/>
    <w:unhideWhenUsed/>
    <w:rsid w:val="00D069A2"/>
    <w:rPr>
      <w:color w:val="F8F8F2"/>
      <w:shd w:val="clear" w:color="auto" w:fill="282A36"/>
    </w:rPr>
  </w:style>
  <w:style w:type="character" w:customStyle="1" w:styleId="hljs-con-module-access">
    <w:name w:val="hljs-con-module-access"/>
    <w:basedOn w:val="DefaultParagraphFont"/>
    <w:uiPriority w:val="1"/>
    <w:unhideWhenUsed/>
    <w:rsid w:val="00D069A2"/>
    <w:rPr>
      <w:color w:val="F8F8F2"/>
      <w:shd w:val="clear" w:color="auto" w:fill="282A36"/>
    </w:rPr>
  </w:style>
  <w:style w:type="character" w:customStyle="1" w:styleId="hljs-con-module-access-slc">
    <w:name w:val="hljs-con-module-access-slc"/>
    <w:basedOn w:val="DefaultParagraphFont"/>
    <w:uiPriority w:val="1"/>
    <w:unhideWhenUsed/>
    <w:rsid w:val="00D069A2"/>
    <w:rPr>
      <w:b/>
      <w:bCs/>
      <w:color w:val="F8F8F2"/>
      <w:shd w:val="clear" w:color="auto" w:fill="44475A"/>
    </w:rPr>
  </w:style>
  <w:style w:type="character" w:customStyle="1" w:styleId="hljs-con-module-slc">
    <w:name w:val="hljs-con-module-slc"/>
    <w:basedOn w:val="DefaultParagraphFont"/>
    <w:uiPriority w:val="1"/>
    <w:unhideWhenUsed/>
    <w:rsid w:val="00D069A2"/>
    <w:rPr>
      <w:b/>
      <w:bCs/>
      <w:color w:val="F8F8F2"/>
      <w:shd w:val="clear" w:color="auto" w:fill="44475A"/>
    </w:rPr>
  </w:style>
  <w:style w:type="character" w:customStyle="1" w:styleId="hljs-con-name">
    <w:name w:val="hljs-con-name"/>
    <w:basedOn w:val="DefaultParagraphFont"/>
    <w:uiPriority w:val="1"/>
    <w:unhideWhenUsed/>
    <w:rsid w:val="00D069A2"/>
    <w:rPr>
      <w:b/>
      <w:bCs/>
      <w:color w:val="F1FA8C"/>
    </w:rPr>
  </w:style>
  <w:style w:type="character" w:customStyle="1" w:styleId="hljs-con-name-slc">
    <w:name w:val="hljs-con-name-slc"/>
    <w:basedOn w:val="DefaultParagraphFont"/>
    <w:uiPriority w:val="1"/>
    <w:unhideWhenUsed/>
    <w:rsid w:val="00D069A2"/>
    <w:rPr>
      <w:b/>
      <w:bCs/>
      <w:color w:val="F1FA8C"/>
      <w:shd w:val="clear" w:color="auto" w:fill="44475A"/>
    </w:rPr>
  </w:style>
  <w:style w:type="character" w:customStyle="1" w:styleId="hljs-con-number">
    <w:name w:val="hljs-con-number"/>
    <w:basedOn w:val="DefaultParagraphFont"/>
    <w:uiPriority w:val="1"/>
    <w:unhideWhenUsed/>
    <w:rsid w:val="00D069A2"/>
    <w:rPr>
      <w:color w:val="BD93F9"/>
    </w:rPr>
  </w:style>
  <w:style w:type="character" w:customStyle="1" w:styleId="hljs-con-number-slc">
    <w:name w:val="hljs-con-number-slc"/>
    <w:basedOn w:val="DefaultParagraphFont"/>
    <w:uiPriority w:val="1"/>
    <w:unhideWhenUsed/>
    <w:rsid w:val="00D069A2"/>
    <w:rPr>
      <w:b/>
      <w:bCs/>
      <w:color w:val="BD93F9"/>
      <w:shd w:val="clear" w:color="auto" w:fill="44475A"/>
    </w:rPr>
  </w:style>
  <w:style w:type="character" w:customStyle="1" w:styleId="hljs-con-operator">
    <w:name w:val="hljs-con-operator"/>
    <w:basedOn w:val="DefaultParagraphFont"/>
    <w:uiPriority w:val="1"/>
    <w:unhideWhenUsed/>
    <w:rsid w:val="00D069A2"/>
    <w:rPr>
      <w:color w:val="F8F8F2"/>
      <w:shd w:val="clear" w:color="auto" w:fill="282A36"/>
    </w:rPr>
  </w:style>
  <w:style w:type="character" w:customStyle="1" w:styleId="hljs-con-operator-slc">
    <w:name w:val="hljs-con-operator-slc"/>
    <w:basedOn w:val="DefaultParagraphFont"/>
    <w:uiPriority w:val="1"/>
    <w:unhideWhenUsed/>
    <w:rsid w:val="00D069A2"/>
    <w:rPr>
      <w:b/>
      <w:bCs/>
      <w:color w:val="F8F8F2"/>
      <w:shd w:val="clear" w:color="auto" w:fill="44475A"/>
    </w:rPr>
  </w:style>
  <w:style w:type="character" w:customStyle="1" w:styleId="hljs-con-params">
    <w:name w:val="hljs-con-params"/>
    <w:basedOn w:val="DefaultParagraphFont"/>
    <w:uiPriority w:val="1"/>
    <w:unhideWhenUsed/>
    <w:rsid w:val="00D069A2"/>
    <w:rPr>
      <w:color w:val="F8F8F2"/>
      <w:shd w:val="clear" w:color="auto" w:fill="282A36"/>
    </w:rPr>
  </w:style>
  <w:style w:type="character" w:customStyle="1" w:styleId="hljs-con-params-slc">
    <w:name w:val="hljs-con-params-slc"/>
    <w:basedOn w:val="DefaultParagraphFont"/>
    <w:uiPriority w:val="1"/>
    <w:unhideWhenUsed/>
    <w:rsid w:val="00D069A2"/>
    <w:rPr>
      <w:b/>
      <w:bCs/>
      <w:color w:val="F8F8F2"/>
      <w:shd w:val="clear" w:color="auto" w:fill="44475A"/>
    </w:rPr>
  </w:style>
  <w:style w:type="character" w:customStyle="1" w:styleId="hljs-con-pattern-match">
    <w:name w:val="hljs-con-pattern-match"/>
    <w:basedOn w:val="DefaultParagraphFont"/>
    <w:uiPriority w:val="1"/>
    <w:unhideWhenUsed/>
    <w:rsid w:val="00D069A2"/>
    <w:rPr>
      <w:color w:val="F8F8F2"/>
      <w:shd w:val="clear" w:color="auto" w:fill="282A36"/>
    </w:rPr>
  </w:style>
  <w:style w:type="character" w:customStyle="1" w:styleId="hljs-con-pattern-match-slc">
    <w:name w:val="hljs-con-pattern-match-slc"/>
    <w:basedOn w:val="DefaultParagraphFont"/>
    <w:uiPriority w:val="1"/>
    <w:unhideWhenUsed/>
    <w:rsid w:val="00D069A2"/>
    <w:rPr>
      <w:b/>
      <w:bCs/>
      <w:color w:val="F8F8F2"/>
      <w:shd w:val="clear" w:color="auto" w:fill="44475A"/>
    </w:rPr>
  </w:style>
  <w:style w:type="character" w:customStyle="1" w:styleId="hljs-con-quote">
    <w:name w:val="hljs-con-quote"/>
    <w:basedOn w:val="DefaultParagraphFont"/>
    <w:uiPriority w:val="1"/>
    <w:unhideWhenUsed/>
    <w:rsid w:val="00D069A2"/>
    <w:rPr>
      <w:color w:val="6272A4"/>
    </w:rPr>
  </w:style>
  <w:style w:type="character" w:customStyle="1" w:styleId="hljs-con-quote-slc">
    <w:name w:val="hljs-con-quote-slc"/>
    <w:basedOn w:val="DefaultParagraphFont"/>
    <w:uiPriority w:val="1"/>
    <w:unhideWhenUsed/>
    <w:rsid w:val="00D069A2"/>
    <w:rPr>
      <w:b/>
      <w:bCs/>
      <w:color w:val="6272A4"/>
      <w:shd w:val="clear" w:color="auto" w:fill="44475A"/>
    </w:rPr>
  </w:style>
  <w:style w:type="character" w:customStyle="1" w:styleId="hljs-con-regexp">
    <w:name w:val="hljs-con-regexp"/>
    <w:basedOn w:val="DefaultParagraphFont"/>
    <w:uiPriority w:val="1"/>
    <w:unhideWhenUsed/>
    <w:rsid w:val="00D069A2"/>
    <w:rPr>
      <w:color w:val="F8F8F2"/>
      <w:shd w:val="clear" w:color="auto" w:fill="282A36"/>
    </w:rPr>
  </w:style>
  <w:style w:type="character" w:customStyle="1" w:styleId="hljs-con-regexp-slc">
    <w:name w:val="hljs-con-regexp-slc"/>
    <w:basedOn w:val="DefaultParagraphFont"/>
    <w:uiPriority w:val="1"/>
    <w:unhideWhenUsed/>
    <w:rsid w:val="00D069A2"/>
    <w:rPr>
      <w:b/>
      <w:bCs/>
      <w:color w:val="F8F8F2"/>
      <w:shd w:val="clear" w:color="auto" w:fill="44475A"/>
    </w:rPr>
  </w:style>
  <w:style w:type="character" w:customStyle="1" w:styleId="hljs-con-section">
    <w:name w:val="hljs-con-section"/>
    <w:basedOn w:val="DefaultParagraphFont"/>
    <w:uiPriority w:val="1"/>
    <w:unhideWhenUsed/>
    <w:rsid w:val="00D069A2"/>
    <w:rPr>
      <w:b/>
      <w:bCs/>
      <w:color w:val="8BE9FD"/>
    </w:rPr>
  </w:style>
  <w:style w:type="character" w:customStyle="1" w:styleId="hljs-con-section-slc">
    <w:name w:val="hljs-con-section-slc"/>
    <w:basedOn w:val="DefaultParagraphFont"/>
    <w:uiPriority w:val="1"/>
    <w:unhideWhenUsed/>
    <w:rsid w:val="00D069A2"/>
    <w:rPr>
      <w:b/>
      <w:bCs/>
      <w:color w:val="8BE9FD"/>
      <w:shd w:val="clear" w:color="auto" w:fill="44475A"/>
    </w:rPr>
  </w:style>
  <w:style w:type="character" w:customStyle="1" w:styleId="hljs-con-selector-attr">
    <w:name w:val="hljs-con-selector-attr"/>
    <w:basedOn w:val="DefaultParagraphFont"/>
    <w:uiPriority w:val="1"/>
    <w:unhideWhenUsed/>
    <w:rsid w:val="00D069A2"/>
    <w:rPr>
      <w:color w:val="F8F8F2"/>
      <w:shd w:val="clear" w:color="auto" w:fill="282A36"/>
    </w:rPr>
  </w:style>
  <w:style w:type="character" w:customStyle="1" w:styleId="hljs-con-selector-attr-slc">
    <w:name w:val="hljs-con-selector-attr-slc"/>
    <w:basedOn w:val="DefaultParagraphFont"/>
    <w:uiPriority w:val="1"/>
    <w:unhideWhenUsed/>
    <w:rsid w:val="00D069A2"/>
    <w:rPr>
      <w:b/>
      <w:bCs/>
      <w:color w:val="F8F8F2"/>
      <w:shd w:val="clear" w:color="auto" w:fill="44475A"/>
    </w:rPr>
  </w:style>
  <w:style w:type="character" w:customStyle="1" w:styleId="hljs-con-selector-class">
    <w:name w:val="hljs-con-selector-class"/>
    <w:basedOn w:val="DefaultParagraphFont"/>
    <w:uiPriority w:val="1"/>
    <w:unhideWhenUsed/>
    <w:rsid w:val="00D069A2"/>
    <w:rPr>
      <w:color w:val="F8F8F2"/>
      <w:shd w:val="clear" w:color="auto" w:fill="282A36"/>
    </w:rPr>
  </w:style>
  <w:style w:type="character" w:customStyle="1" w:styleId="hljs-con-selector-class-slc">
    <w:name w:val="hljs-con-selector-class-slc"/>
    <w:basedOn w:val="DefaultParagraphFont"/>
    <w:uiPriority w:val="1"/>
    <w:unhideWhenUsed/>
    <w:rsid w:val="00D069A2"/>
    <w:rPr>
      <w:b/>
      <w:bCs/>
      <w:color w:val="F8F8F2"/>
      <w:shd w:val="clear" w:color="auto" w:fill="44475A"/>
    </w:rPr>
  </w:style>
  <w:style w:type="character" w:customStyle="1" w:styleId="hljs-con-selector-id">
    <w:name w:val="hljs-con-selector-id"/>
    <w:basedOn w:val="DefaultParagraphFont"/>
    <w:uiPriority w:val="1"/>
    <w:unhideWhenUsed/>
    <w:rsid w:val="00D069A2"/>
    <w:rPr>
      <w:color w:val="F8F8F2"/>
      <w:shd w:val="clear" w:color="auto" w:fill="282A36"/>
    </w:rPr>
  </w:style>
  <w:style w:type="character" w:customStyle="1" w:styleId="hljs-con-selector-id-slc">
    <w:name w:val="hljs-con-selector-id-slc"/>
    <w:basedOn w:val="DefaultParagraphFont"/>
    <w:uiPriority w:val="1"/>
    <w:unhideWhenUsed/>
    <w:rsid w:val="00D069A2"/>
    <w:rPr>
      <w:b/>
      <w:bCs/>
      <w:color w:val="F8F8F2"/>
      <w:shd w:val="clear" w:color="auto" w:fill="44475A"/>
    </w:rPr>
  </w:style>
  <w:style w:type="character" w:customStyle="1" w:styleId="hljs-con-selector-pseudo">
    <w:name w:val="hljs-con-selector-pseudo"/>
    <w:basedOn w:val="DefaultParagraphFont"/>
    <w:uiPriority w:val="1"/>
    <w:unhideWhenUsed/>
    <w:rsid w:val="00D069A2"/>
    <w:rPr>
      <w:color w:val="F8F8F2"/>
      <w:shd w:val="clear" w:color="auto" w:fill="282A36"/>
    </w:rPr>
  </w:style>
  <w:style w:type="character" w:customStyle="1" w:styleId="hljs-con-selector-pseudo-slc">
    <w:name w:val="hljs-con-selector-pseudo-slc"/>
    <w:basedOn w:val="DefaultParagraphFont"/>
    <w:uiPriority w:val="1"/>
    <w:unhideWhenUsed/>
    <w:rsid w:val="00D069A2"/>
    <w:rPr>
      <w:b/>
      <w:bCs/>
      <w:color w:val="F8F8F2"/>
      <w:shd w:val="clear" w:color="auto" w:fill="44475A"/>
    </w:rPr>
  </w:style>
  <w:style w:type="character" w:customStyle="1" w:styleId="hljs-con-selector-tag">
    <w:name w:val="hljs-con-selector-tag"/>
    <w:basedOn w:val="DefaultParagraphFont"/>
    <w:uiPriority w:val="1"/>
    <w:unhideWhenUsed/>
    <w:rsid w:val="00D069A2"/>
    <w:rPr>
      <w:b/>
      <w:bCs/>
      <w:color w:val="8BE9FD"/>
    </w:rPr>
  </w:style>
  <w:style w:type="character" w:customStyle="1" w:styleId="hljs-con-selector-tag-slc">
    <w:name w:val="hljs-con-selector-tag-slc"/>
    <w:basedOn w:val="DefaultParagraphFont"/>
    <w:uiPriority w:val="1"/>
    <w:unhideWhenUsed/>
    <w:rsid w:val="00D069A2"/>
    <w:rPr>
      <w:b/>
      <w:bCs/>
      <w:color w:val="8BE9FD"/>
      <w:shd w:val="clear" w:color="auto" w:fill="44475A"/>
    </w:rPr>
  </w:style>
  <w:style w:type="character" w:customStyle="1" w:styleId="hljs-con-slc">
    <w:name w:val="hljs-con-slc"/>
    <w:basedOn w:val="DefaultParagraphFont"/>
    <w:uiPriority w:val="1"/>
    <w:unhideWhenUsed/>
    <w:rsid w:val="00D069A2"/>
    <w:rPr>
      <w:b/>
      <w:color w:val="F8F8F2"/>
      <w:bdr w:val="none" w:sz="0" w:space="0" w:color="auto"/>
      <w:shd w:val="clear" w:color="auto" w:fill="44475A"/>
    </w:rPr>
  </w:style>
  <w:style w:type="character" w:customStyle="1" w:styleId="hljs-con-string">
    <w:name w:val="hljs-con-string"/>
    <w:basedOn w:val="DefaultParagraphFont"/>
    <w:uiPriority w:val="1"/>
    <w:unhideWhenUsed/>
    <w:rsid w:val="00D069A2"/>
    <w:rPr>
      <w:color w:val="F1FA8C"/>
    </w:rPr>
  </w:style>
  <w:style w:type="character" w:customStyle="1" w:styleId="hljs-con-string-slc">
    <w:name w:val="hljs-con-string-slc"/>
    <w:basedOn w:val="DefaultParagraphFont"/>
    <w:uiPriority w:val="1"/>
    <w:unhideWhenUsed/>
    <w:rsid w:val="00D069A2"/>
    <w:rPr>
      <w:b/>
      <w:bCs/>
      <w:color w:val="F1FA8C"/>
      <w:shd w:val="clear" w:color="auto" w:fill="44475A"/>
    </w:rPr>
  </w:style>
  <w:style w:type="character" w:customStyle="1" w:styleId="hljs-con-strong">
    <w:name w:val="hljs-con-strong"/>
    <w:basedOn w:val="DefaultParagraphFont"/>
    <w:uiPriority w:val="1"/>
    <w:unhideWhenUsed/>
    <w:rsid w:val="00D069A2"/>
    <w:rPr>
      <w:b/>
      <w:bCs/>
    </w:rPr>
  </w:style>
  <w:style w:type="character" w:customStyle="1" w:styleId="hljs-con-strong-slc">
    <w:name w:val="hljs-con-strong-slc"/>
    <w:basedOn w:val="DefaultParagraphFont"/>
    <w:uiPriority w:val="1"/>
    <w:unhideWhenUsed/>
    <w:rsid w:val="00D069A2"/>
    <w:rPr>
      <w:b/>
      <w:bCs/>
      <w:shd w:val="clear" w:color="auto" w:fill="44475A"/>
    </w:rPr>
  </w:style>
  <w:style w:type="character" w:customStyle="1" w:styleId="hljs-constructor">
    <w:name w:val="hljs-constructor"/>
    <w:basedOn w:val="DefaultParagraphFont"/>
    <w:uiPriority w:val="1"/>
    <w:unhideWhenUsed/>
    <w:rsid w:val="00D069A2"/>
  </w:style>
  <w:style w:type="character" w:customStyle="1" w:styleId="hljs-constructor-slc">
    <w:name w:val="hljs-constructor-slc"/>
    <w:basedOn w:val="hljs-constructor"/>
    <w:uiPriority w:val="1"/>
    <w:unhideWhenUsed/>
    <w:rsid w:val="00D069A2"/>
    <w:rPr>
      <w:b/>
      <w:bCs/>
      <w:sz w:val="20"/>
      <w:shd w:val="clear" w:color="auto" w:fill="D4D4D4"/>
    </w:rPr>
  </w:style>
  <w:style w:type="character" w:customStyle="1" w:styleId="hljs-con-subst">
    <w:name w:val="hljs-con-subst"/>
    <w:basedOn w:val="DefaultParagraphFont"/>
    <w:uiPriority w:val="1"/>
    <w:unhideWhenUsed/>
    <w:rsid w:val="00D069A2"/>
    <w:rPr>
      <w:color w:val="F8F8F2"/>
    </w:rPr>
  </w:style>
  <w:style w:type="character" w:customStyle="1" w:styleId="hljs-con-subst-slc">
    <w:name w:val="hljs-con-subst-slc"/>
    <w:basedOn w:val="DefaultParagraphFont"/>
    <w:uiPriority w:val="1"/>
    <w:unhideWhenUsed/>
    <w:rsid w:val="00D069A2"/>
    <w:rPr>
      <w:b/>
      <w:bCs/>
      <w:color w:val="F8F8F2"/>
      <w:shd w:val="clear" w:color="auto" w:fill="44475A"/>
    </w:rPr>
  </w:style>
  <w:style w:type="character" w:customStyle="1" w:styleId="hljs-con-symbol">
    <w:name w:val="hljs-con-symbol"/>
    <w:basedOn w:val="DefaultParagraphFont"/>
    <w:uiPriority w:val="1"/>
    <w:unhideWhenUsed/>
    <w:rsid w:val="00D069A2"/>
    <w:rPr>
      <w:color w:val="F1FA8C"/>
    </w:rPr>
  </w:style>
  <w:style w:type="character" w:customStyle="1" w:styleId="hljs-con-symbol-slc">
    <w:name w:val="hljs-con-symbol-slc"/>
    <w:basedOn w:val="DefaultParagraphFont"/>
    <w:uiPriority w:val="1"/>
    <w:unhideWhenUsed/>
    <w:rsid w:val="00D069A2"/>
    <w:rPr>
      <w:b/>
      <w:bCs/>
      <w:color w:val="F1FA8C"/>
      <w:shd w:val="clear" w:color="auto" w:fill="44475A"/>
    </w:rPr>
  </w:style>
  <w:style w:type="character" w:customStyle="1" w:styleId="hljs-con-tag">
    <w:name w:val="hljs-con-tag"/>
    <w:basedOn w:val="DefaultParagraphFont"/>
    <w:uiPriority w:val="1"/>
    <w:unhideWhenUsed/>
    <w:rsid w:val="00D069A2"/>
    <w:rPr>
      <w:color w:val="F8F8F2"/>
      <w:shd w:val="clear" w:color="auto" w:fill="282A36"/>
    </w:rPr>
  </w:style>
  <w:style w:type="character" w:customStyle="1" w:styleId="hljs-con-tag-slc">
    <w:name w:val="hljs-con-tag-slc"/>
    <w:basedOn w:val="DefaultParagraphFont"/>
    <w:uiPriority w:val="1"/>
    <w:unhideWhenUsed/>
    <w:rsid w:val="00D069A2"/>
    <w:rPr>
      <w:b/>
      <w:bCs/>
      <w:color w:val="F8F8F2"/>
      <w:shd w:val="clear" w:color="auto" w:fill="44475A"/>
    </w:rPr>
  </w:style>
  <w:style w:type="character" w:customStyle="1" w:styleId="hljs-con-template-tag">
    <w:name w:val="hljs-con-template-tag"/>
    <w:basedOn w:val="DefaultParagraphFont"/>
    <w:uiPriority w:val="1"/>
    <w:unhideWhenUsed/>
    <w:rsid w:val="00D069A2"/>
    <w:rPr>
      <w:color w:val="F1FA8C"/>
    </w:rPr>
  </w:style>
  <w:style w:type="character" w:customStyle="1" w:styleId="hljs-con-template-tag-slc">
    <w:name w:val="hljs-con-template-tag-slc"/>
    <w:basedOn w:val="DefaultParagraphFont"/>
    <w:uiPriority w:val="1"/>
    <w:unhideWhenUsed/>
    <w:rsid w:val="00D069A2"/>
    <w:rPr>
      <w:b/>
      <w:bCs/>
      <w:color w:val="F1FA8C"/>
      <w:shd w:val="clear" w:color="auto" w:fill="44475A"/>
    </w:rPr>
  </w:style>
  <w:style w:type="character" w:customStyle="1" w:styleId="hljs-con-template-variable">
    <w:name w:val="hljs-con-template-variable"/>
    <w:basedOn w:val="DefaultParagraphFont"/>
    <w:uiPriority w:val="1"/>
    <w:unhideWhenUsed/>
    <w:rsid w:val="00D069A2"/>
    <w:rPr>
      <w:color w:val="F1FA8C"/>
    </w:rPr>
  </w:style>
  <w:style w:type="character" w:customStyle="1" w:styleId="hljs-con-template-variable-slc">
    <w:name w:val="hljs-con-template-variable-slc"/>
    <w:basedOn w:val="DefaultParagraphFont"/>
    <w:uiPriority w:val="1"/>
    <w:unhideWhenUsed/>
    <w:rsid w:val="00D069A2"/>
    <w:rPr>
      <w:b/>
      <w:bCs/>
      <w:color w:val="F1FA8C"/>
      <w:shd w:val="clear" w:color="auto" w:fill="44475A"/>
    </w:rPr>
  </w:style>
  <w:style w:type="character" w:customStyle="1" w:styleId="hljs-con-title">
    <w:name w:val="hljs-con-title"/>
    <w:basedOn w:val="DefaultParagraphFont"/>
    <w:uiPriority w:val="1"/>
    <w:unhideWhenUsed/>
    <w:rsid w:val="00D069A2"/>
    <w:rPr>
      <w:b/>
      <w:bCs/>
      <w:color w:val="50FA7B"/>
    </w:rPr>
  </w:style>
  <w:style w:type="character" w:customStyle="1" w:styleId="hljs-con-title-slc">
    <w:name w:val="hljs-con-title-slc"/>
    <w:basedOn w:val="DefaultParagraphFont"/>
    <w:uiPriority w:val="1"/>
    <w:unhideWhenUsed/>
    <w:rsid w:val="00D069A2"/>
    <w:rPr>
      <w:b/>
      <w:bCs/>
      <w:color w:val="50FA7B"/>
      <w:shd w:val="clear" w:color="auto" w:fill="44475A"/>
    </w:rPr>
  </w:style>
  <w:style w:type="character" w:customStyle="1" w:styleId="hljs-con-type">
    <w:name w:val="hljs-con-type"/>
    <w:basedOn w:val="DefaultParagraphFont"/>
    <w:uiPriority w:val="1"/>
    <w:unhideWhenUsed/>
    <w:rsid w:val="00D069A2"/>
    <w:rPr>
      <w:b/>
      <w:bCs/>
      <w:color w:val="F1FA8C"/>
    </w:rPr>
  </w:style>
  <w:style w:type="character" w:customStyle="1" w:styleId="hljs-con-type-slc">
    <w:name w:val="hljs-con-type-slc"/>
    <w:basedOn w:val="DefaultParagraphFont"/>
    <w:uiPriority w:val="1"/>
    <w:unhideWhenUsed/>
    <w:rsid w:val="00D069A2"/>
    <w:rPr>
      <w:b/>
      <w:bCs/>
      <w:color w:val="F1FA8C"/>
      <w:shd w:val="clear" w:color="auto" w:fill="44475A"/>
    </w:rPr>
  </w:style>
  <w:style w:type="character" w:customStyle="1" w:styleId="hljs-con-typing">
    <w:name w:val="hljs-con-typing"/>
    <w:basedOn w:val="DefaultParagraphFont"/>
    <w:uiPriority w:val="1"/>
    <w:unhideWhenUsed/>
    <w:rsid w:val="00D069A2"/>
    <w:rPr>
      <w:color w:val="F8F8F2"/>
      <w:shd w:val="clear" w:color="auto" w:fill="282A36"/>
    </w:rPr>
  </w:style>
  <w:style w:type="character" w:customStyle="1" w:styleId="hljs-con-typing-slc">
    <w:name w:val="hljs-con-typing-slc"/>
    <w:basedOn w:val="DefaultParagraphFont"/>
    <w:uiPriority w:val="1"/>
    <w:unhideWhenUsed/>
    <w:rsid w:val="00D069A2"/>
    <w:rPr>
      <w:b/>
      <w:bCs/>
      <w:color w:val="F8F8F2"/>
      <w:shd w:val="clear" w:color="auto" w:fill="44475A"/>
    </w:rPr>
  </w:style>
  <w:style w:type="character" w:customStyle="1" w:styleId="hljs-con-variable">
    <w:name w:val="hljs-con-variable"/>
    <w:basedOn w:val="DefaultParagraphFont"/>
    <w:uiPriority w:val="1"/>
    <w:unhideWhenUsed/>
    <w:rsid w:val="00D069A2"/>
    <w:rPr>
      <w:color w:val="F1FA8C"/>
    </w:rPr>
  </w:style>
  <w:style w:type="character" w:customStyle="1" w:styleId="hljs-con-variable-slc">
    <w:name w:val="hljs-con-variable-slc"/>
    <w:basedOn w:val="DefaultParagraphFont"/>
    <w:uiPriority w:val="1"/>
    <w:unhideWhenUsed/>
    <w:rsid w:val="00D069A2"/>
    <w:rPr>
      <w:b/>
      <w:bCs/>
      <w:color w:val="F1FA8C"/>
      <w:shd w:val="clear" w:color="auto" w:fill="44475A"/>
    </w:rPr>
  </w:style>
  <w:style w:type="character" w:customStyle="1" w:styleId="hljs-deletion">
    <w:name w:val="hljs-deletion"/>
    <w:basedOn w:val="DefaultParagraphFont"/>
    <w:uiPriority w:val="1"/>
    <w:unhideWhenUsed/>
    <w:rsid w:val="00D069A2"/>
    <w:rPr>
      <w:color w:val="E45649"/>
    </w:rPr>
  </w:style>
  <w:style w:type="character" w:customStyle="1" w:styleId="hljs-deletion-slc">
    <w:name w:val="hljs-deletion-slc"/>
    <w:basedOn w:val="hljs-deletion"/>
    <w:uiPriority w:val="1"/>
    <w:unhideWhenUsed/>
    <w:rsid w:val="00D069A2"/>
    <w:rPr>
      <w:b/>
      <w:bCs/>
      <w:color w:val="E45649"/>
      <w:sz w:val="20"/>
      <w:shd w:val="clear" w:color="auto" w:fill="D4D4D4"/>
    </w:rPr>
  </w:style>
  <w:style w:type="character" w:customStyle="1" w:styleId="hljs-doctag">
    <w:name w:val="hljs-doctag"/>
    <w:basedOn w:val="DefaultParagraphFont"/>
    <w:uiPriority w:val="1"/>
    <w:unhideWhenUsed/>
    <w:rsid w:val="00D069A2"/>
    <w:rPr>
      <w:color w:val="A626A4"/>
    </w:rPr>
  </w:style>
  <w:style w:type="character" w:customStyle="1" w:styleId="hljs-doctag-slc">
    <w:name w:val="hljs-doctag-slc"/>
    <w:basedOn w:val="hljs-doctag"/>
    <w:uiPriority w:val="1"/>
    <w:unhideWhenUsed/>
    <w:rsid w:val="00D069A2"/>
    <w:rPr>
      <w:b/>
      <w:bCs/>
      <w:color w:val="A626A4"/>
      <w:sz w:val="20"/>
      <w:shd w:val="clear" w:color="auto" w:fill="D4D4D4"/>
    </w:rPr>
  </w:style>
  <w:style w:type="character" w:customStyle="1" w:styleId="hljs-emphasis">
    <w:name w:val="hljs-emphasis"/>
    <w:basedOn w:val="DefaultParagraphFont"/>
    <w:uiPriority w:val="1"/>
    <w:unhideWhenUsed/>
    <w:rsid w:val="00D069A2"/>
    <w:rPr>
      <w:i/>
      <w:iCs/>
    </w:rPr>
  </w:style>
  <w:style w:type="character" w:customStyle="1" w:styleId="hljs-emphasis-slc">
    <w:name w:val="hljs-emphasis-slc"/>
    <w:basedOn w:val="hljs-emphasis"/>
    <w:uiPriority w:val="1"/>
    <w:unhideWhenUsed/>
    <w:rsid w:val="00D069A2"/>
    <w:rPr>
      <w:b/>
      <w:bCs/>
      <w:i/>
      <w:iCs/>
      <w:sz w:val="20"/>
      <w:shd w:val="clear" w:color="auto" w:fill="D4D4D4"/>
    </w:rPr>
  </w:style>
  <w:style w:type="character" w:customStyle="1" w:styleId="hljs-formula">
    <w:name w:val="hljs-formula"/>
    <w:basedOn w:val="DefaultParagraphFont"/>
    <w:uiPriority w:val="1"/>
    <w:unhideWhenUsed/>
    <w:rsid w:val="00D069A2"/>
    <w:rPr>
      <w:color w:val="A626A4"/>
    </w:rPr>
  </w:style>
  <w:style w:type="character" w:customStyle="1" w:styleId="hljs-formula-slc">
    <w:name w:val="hljs-formula-slc"/>
    <w:basedOn w:val="hljs-formula"/>
    <w:uiPriority w:val="1"/>
    <w:unhideWhenUsed/>
    <w:rsid w:val="00D069A2"/>
    <w:rPr>
      <w:b/>
      <w:bCs/>
      <w:color w:val="A626A4"/>
      <w:sz w:val="20"/>
      <w:shd w:val="clear" w:color="auto" w:fill="D4D4D4"/>
    </w:rPr>
  </w:style>
  <w:style w:type="character" w:customStyle="1" w:styleId="hljs-function">
    <w:name w:val="hljs-function"/>
    <w:basedOn w:val="DefaultParagraphFont"/>
    <w:uiPriority w:val="1"/>
    <w:unhideWhenUsed/>
    <w:rsid w:val="00D069A2"/>
  </w:style>
  <w:style w:type="character" w:customStyle="1" w:styleId="hljs-function-slc">
    <w:name w:val="hljs-function-slc"/>
    <w:basedOn w:val="hljs-function"/>
    <w:uiPriority w:val="1"/>
    <w:unhideWhenUsed/>
    <w:rsid w:val="00D069A2"/>
    <w:rPr>
      <w:b/>
      <w:bCs/>
      <w:sz w:val="20"/>
      <w:shd w:val="clear" w:color="auto" w:fill="D4D4D4"/>
    </w:rPr>
  </w:style>
  <w:style w:type="character" w:customStyle="1" w:styleId="hljs-keyword">
    <w:name w:val="hljs-keyword"/>
    <w:basedOn w:val="DefaultParagraphFont"/>
    <w:uiPriority w:val="1"/>
    <w:unhideWhenUsed/>
    <w:rsid w:val="00D069A2"/>
    <w:rPr>
      <w:color w:val="A626A4"/>
    </w:rPr>
  </w:style>
  <w:style w:type="character" w:customStyle="1" w:styleId="hljs-keyword-slc">
    <w:name w:val="hljs-keyword-slc"/>
    <w:basedOn w:val="hljs-keyword"/>
    <w:uiPriority w:val="1"/>
    <w:unhideWhenUsed/>
    <w:rsid w:val="00D069A2"/>
    <w:rPr>
      <w:b/>
      <w:bCs/>
      <w:color w:val="A626A4"/>
      <w:sz w:val="20"/>
      <w:shd w:val="clear" w:color="auto" w:fill="D4D4D4"/>
    </w:rPr>
  </w:style>
  <w:style w:type="character" w:customStyle="1" w:styleId="hljs-link">
    <w:name w:val="hljs-link"/>
    <w:basedOn w:val="DefaultParagraphFont"/>
    <w:uiPriority w:val="1"/>
    <w:unhideWhenUsed/>
    <w:rsid w:val="00D069A2"/>
    <w:rPr>
      <w:color w:val="4078F2"/>
      <w:u w:val="single"/>
    </w:rPr>
  </w:style>
  <w:style w:type="character" w:customStyle="1" w:styleId="hljs-link-slc">
    <w:name w:val="hljs-link-slc"/>
    <w:basedOn w:val="hljs-link"/>
    <w:uiPriority w:val="1"/>
    <w:unhideWhenUsed/>
    <w:rsid w:val="00D069A2"/>
    <w:rPr>
      <w:b/>
      <w:bCs/>
      <w:color w:val="4078F2"/>
      <w:sz w:val="20"/>
      <w:u w:val="single"/>
      <w:shd w:val="clear" w:color="auto" w:fill="D4D4D4"/>
    </w:rPr>
  </w:style>
  <w:style w:type="character" w:customStyle="1" w:styleId="hljs-literal">
    <w:name w:val="hljs-literal"/>
    <w:basedOn w:val="DefaultParagraphFont"/>
    <w:uiPriority w:val="1"/>
    <w:unhideWhenUsed/>
    <w:rsid w:val="00D069A2"/>
    <w:rPr>
      <w:color w:val="0184BB"/>
    </w:rPr>
  </w:style>
  <w:style w:type="character" w:customStyle="1" w:styleId="hljs-literal-slc">
    <w:name w:val="hljs-literal-slc"/>
    <w:basedOn w:val="hljs-literal"/>
    <w:uiPriority w:val="1"/>
    <w:unhideWhenUsed/>
    <w:rsid w:val="00D069A2"/>
    <w:rPr>
      <w:b/>
      <w:bCs/>
      <w:color w:val="0184BB"/>
      <w:sz w:val="20"/>
      <w:shd w:val="clear" w:color="auto" w:fill="D4D4D4"/>
    </w:rPr>
  </w:style>
  <w:style w:type="character" w:customStyle="1" w:styleId="hljs-meta">
    <w:name w:val="hljs-meta"/>
    <w:basedOn w:val="DefaultParagraphFont"/>
    <w:uiPriority w:val="1"/>
    <w:unhideWhenUsed/>
    <w:rsid w:val="00D069A2"/>
    <w:rPr>
      <w:color w:val="4078F2"/>
    </w:rPr>
  </w:style>
  <w:style w:type="character" w:customStyle="1" w:styleId="hljs-meta-keyword">
    <w:name w:val="hljs-meta-keyword"/>
    <w:basedOn w:val="DefaultParagraphFont"/>
    <w:uiPriority w:val="1"/>
    <w:unhideWhenUsed/>
    <w:rsid w:val="00D069A2"/>
  </w:style>
  <w:style w:type="character" w:customStyle="1" w:styleId="hljs-meta-keyword-slc">
    <w:name w:val="hljs-meta-keyword-slc"/>
    <w:basedOn w:val="hljs-meta-keyword"/>
    <w:uiPriority w:val="1"/>
    <w:unhideWhenUsed/>
    <w:rsid w:val="00D069A2"/>
    <w:rPr>
      <w:b/>
      <w:bCs/>
      <w:sz w:val="20"/>
      <w:shd w:val="clear" w:color="auto" w:fill="D4D4D4"/>
    </w:rPr>
  </w:style>
  <w:style w:type="character" w:customStyle="1" w:styleId="hljs-meta-slc">
    <w:name w:val="hljs-meta-slc"/>
    <w:basedOn w:val="hljs-meta"/>
    <w:uiPriority w:val="1"/>
    <w:unhideWhenUsed/>
    <w:rsid w:val="00D069A2"/>
    <w:rPr>
      <w:b/>
      <w:bCs/>
      <w:color w:val="4078F2"/>
      <w:sz w:val="20"/>
      <w:shd w:val="clear" w:color="auto" w:fill="D4D4D4"/>
    </w:rPr>
  </w:style>
  <w:style w:type="character" w:customStyle="1" w:styleId="hljs-meta-string">
    <w:name w:val="hljs-meta-string"/>
    <w:basedOn w:val="DefaultParagraphFont"/>
    <w:uiPriority w:val="1"/>
    <w:unhideWhenUsed/>
    <w:rsid w:val="00D069A2"/>
    <w:rPr>
      <w:color w:val="50A14F"/>
    </w:rPr>
  </w:style>
  <w:style w:type="character" w:customStyle="1" w:styleId="hljs-meta-string-slc">
    <w:name w:val="hljs-meta-string-slc"/>
    <w:basedOn w:val="hljs-meta-string"/>
    <w:uiPriority w:val="1"/>
    <w:unhideWhenUsed/>
    <w:rsid w:val="00D069A2"/>
    <w:rPr>
      <w:b/>
      <w:bCs/>
      <w:color w:val="50A14F"/>
      <w:sz w:val="20"/>
      <w:shd w:val="clear" w:color="auto" w:fill="D4D4D4"/>
    </w:rPr>
  </w:style>
  <w:style w:type="character" w:customStyle="1" w:styleId="hljs-module">
    <w:name w:val="hljs-module"/>
    <w:basedOn w:val="DefaultParagraphFont"/>
    <w:uiPriority w:val="1"/>
    <w:unhideWhenUsed/>
    <w:rsid w:val="00D069A2"/>
  </w:style>
  <w:style w:type="character" w:customStyle="1" w:styleId="hljs-module-access">
    <w:name w:val="hljs-module-access"/>
    <w:basedOn w:val="DefaultParagraphFont"/>
    <w:uiPriority w:val="1"/>
    <w:unhideWhenUsed/>
    <w:rsid w:val="00D069A2"/>
  </w:style>
  <w:style w:type="character" w:customStyle="1" w:styleId="hljs-module-access-slc">
    <w:name w:val="hljs-module-access-slc"/>
    <w:basedOn w:val="hljs-module-access"/>
    <w:uiPriority w:val="1"/>
    <w:unhideWhenUsed/>
    <w:rsid w:val="00D069A2"/>
    <w:rPr>
      <w:b/>
      <w:bCs/>
      <w:sz w:val="20"/>
      <w:shd w:val="clear" w:color="auto" w:fill="D4D4D4"/>
    </w:rPr>
  </w:style>
  <w:style w:type="character" w:customStyle="1" w:styleId="hljs-module-slc">
    <w:name w:val="hljs-module-slc"/>
    <w:basedOn w:val="hljs-module"/>
    <w:uiPriority w:val="1"/>
    <w:unhideWhenUsed/>
    <w:rsid w:val="00D069A2"/>
    <w:rPr>
      <w:b/>
      <w:bCs/>
      <w:sz w:val="20"/>
      <w:shd w:val="clear" w:color="auto" w:fill="D4D4D4"/>
    </w:rPr>
  </w:style>
  <w:style w:type="character" w:customStyle="1" w:styleId="hljs-name">
    <w:name w:val="hljs-name"/>
    <w:basedOn w:val="DefaultParagraphFont"/>
    <w:uiPriority w:val="1"/>
    <w:unhideWhenUsed/>
    <w:rsid w:val="00D069A2"/>
    <w:rPr>
      <w:color w:val="E45649"/>
    </w:rPr>
  </w:style>
  <w:style w:type="character" w:customStyle="1" w:styleId="hljs-name-slc">
    <w:name w:val="hljs-name-slc"/>
    <w:basedOn w:val="hljs-name"/>
    <w:uiPriority w:val="1"/>
    <w:unhideWhenUsed/>
    <w:rsid w:val="00D069A2"/>
    <w:rPr>
      <w:b/>
      <w:bCs/>
      <w:color w:val="E45649"/>
      <w:sz w:val="20"/>
      <w:shd w:val="clear" w:color="auto" w:fill="D4D4D4"/>
    </w:rPr>
  </w:style>
  <w:style w:type="character" w:customStyle="1" w:styleId="hljs-number">
    <w:name w:val="hljs-number"/>
    <w:basedOn w:val="DefaultParagraphFont"/>
    <w:unhideWhenUsed/>
    <w:rsid w:val="00D069A2"/>
    <w:rPr>
      <w:color w:val="986801"/>
    </w:rPr>
  </w:style>
  <w:style w:type="character" w:customStyle="1" w:styleId="hljs-number-slc">
    <w:name w:val="hljs-number-slc"/>
    <w:basedOn w:val="hljs-number"/>
    <w:uiPriority w:val="1"/>
    <w:unhideWhenUsed/>
    <w:rsid w:val="00D069A2"/>
    <w:rPr>
      <w:b/>
      <w:bCs/>
      <w:color w:val="986801"/>
      <w:sz w:val="20"/>
      <w:shd w:val="clear" w:color="auto" w:fill="D4D4D4"/>
    </w:rPr>
  </w:style>
  <w:style w:type="character" w:customStyle="1" w:styleId="hljs-operator">
    <w:name w:val="hljs-operator"/>
    <w:basedOn w:val="DefaultParagraphFont"/>
    <w:unhideWhenUsed/>
    <w:rsid w:val="00D069A2"/>
  </w:style>
  <w:style w:type="character" w:customStyle="1" w:styleId="hljs-operator-slc">
    <w:name w:val="hljs-operator-slc"/>
    <w:basedOn w:val="hljs-operator"/>
    <w:uiPriority w:val="1"/>
    <w:unhideWhenUsed/>
    <w:rsid w:val="00D069A2"/>
    <w:rPr>
      <w:b/>
      <w:bCs/>
      <w:sz w:val="20"/>
      <w:shd w:val="clear" w:color="auto" w:fill="D4D4D4"/>
    </w:rPr>
  </w:style>
  <w:style w:type="character" w:customStyle="1" w:styleId="hljs-params">
    <w:name w:val="hljs-params"/>
    <w:basedOn w:val="DefaultParagraphFont"/>
    <w:uiPriority w:val="1"/>
    <w:unhideWhenUsed/>
    <w:rsid w:val="00D069A2"/>
  </w:style>
  <w:style w:type="character" w:customStyle="1" w:styleId="hljs-params-slc">
    <w:name w:val="hljs-params-slc"/>
    <w:basedOn w:val="hljs-params"/>
    <w:uiPriority w:val="1"/>
    <w:unhideWhenUsed/>
    <w:rsid w:val="00D069A2"/>
    <w:rPr>
      <w:b/>
      <w:bCs/>
      <w:sz w:val="20"/>
      <w:shd w:val="clear" w:color="auto" w:fill="D4D4D4"/>
    </w:rPr>
  </w:style>
  <w:style w:type="character" w:customStyle="1" w:styleId="hljs-pattern-match">
    <w:name w:val="hljs-pattern-match"/>
    <w:basedOn w:val="DefaultParagraphFont"/>
    <w:uiPriority w:val="1"/>
    <w:unhideWhenUsed/>
    <w:rsid w:val="00D069A2"/>
  </w:style>
  <w:style w:type="character" w:customStyle="1" w:styleId="hljs-pattern-match-slc">
    <w:name w:val="hljs-pattern-match-slc"/>
    <w:basedOn w:val="hljs-pattern-match"/>
    <w:uiPriority w:val="1"/>
    <w:unhideWhenUsed/>
    <w:rsid w:val="00D069A2"/>
    <w:rPr>
      <w:b/>
      <w:bCs/>
      <w:sz w:val="20"/>
      <w:shd w:val="clear" w:color="auto" w:fill="D4D4D4"/>
    </w:rPr>
  </w:style>
  <w:style w:type="character" w:customStyle="1" w:styleId="hljs-quote">
    <w:name w:val="hljs-quote"/>
    <w:basedOn w:val="DefaultParagraphFont"/>
    <w:uiPriority w:val="1"/>
    <w:unhideWhenUsed/>
    <w:rsid w:val="00D069A2"/>
    <w:rPr>
      <w:i/>
      <w:iCs/>
      <w:color w:val="A0A1A7"/>
    </w:rPr>
  </w:style>
  <w:style w:type="character" w:customStyle="1" w:styleId="hljs-quote-slc">
    <w:name w:val="hljs-quote-slc"/>
    <w:basedOn w:val="hljs-quote"/>
    <w:uiPriority w:val="1"/>
    <w:unhideWhenUsed/>
    <w:rsid w:val="00D069A2"/>
    <w:rPr>
      <w:b/>
      <w:bCs/>
      <w:i/>
      <w:iCs/>
      <w:color w:val="A0A1A7"/>
      <w:sz w:val="20"/>
      <w:shd w:val="clear" w:color="auto" w:fill="D4D4D4"/>
    </w:rPr>
  </w:style>
  <w:style w:type="character" w:customStyle="1" w:styleId="hljs-regexp">
    <w:name w:val="hljs-regexp"/>
    <w:basedOn w:val="DefaultParagraphFont"/>
    <w:uiPriority w:val="1"/>
    <w:unhideWhenUsed/>
    <w:rsid w:val="00D069A2"/>
    <w:rPr>
      <w:color w:val="50A14F"/>
    </w:rPr>
  </w:style>
  <w:style w:type="character" w:customStyle="1" w:styleId="hljs-regexp-slc">
    <w:name w:val="hljs-regexp-slc"/>
    <w:basedOn w:val="hljs-regexp"/>
    <w:uiPriority w:val="1"/>
    <w:unhideWhenUsed/>
    <w:rsid w:val="00D069A2"/>
    <w:rPr>
      <w:b/>
      <w:bCs/>
      <w:color w:val="50A14F"/>
      <w:sz w:val="20"/>
      <w:shd w:val="clear" w:color="auto" w:fill="D4D4D4"/>
    </w:rPr>
  </w:style>
  <w:style w:type="character" w:customStyle="1" w:styleId="hljs-section">
    <w:name w:val="hljs-section"/>
    <w:basedOn w:val="DefaultParagraphFont"/>
    <w:uiPriority w:val="1"/>
    <w:unhideWhenUsed/>
    <w:rsid w:val="00D069A2"/>
    <w:rPr>
      <w:color w:val="E45649"/>
    </w:rPr>
  </w:style>
  <w:style w:type="character" w:customStyle="1" w:styleId="hljs-section-slc">
    <w:name w:val="hljs-section-slc"/>
    <w:basedOn w:val="hljs-section"/>
    <w:uiPriority w:val="1"/>
    <w:unhideWhenUsed/>
    <w:rsid w:val="00D069A2"/>
    <w:rPr>
      <w:b/>
      <w:bCs/>
      <w:color w:val="E45649"/>
      <w:sz w:val="20"/>
      <w:shd w:val="clear" w:color="auto" w:fill="D4D4D4"/>
    </w:rPr>
  </w:style>
  <w:style w:type="character" w:customStyle="1" w:styleId="hljs-selector-attr">
    <w:name w:val="hljs-selector-attr"/>
    <w:basedOn w:val="DefaultParagraphFont"/>
    <w:uiPriority w:val="1"/>
    <w:unhideWhenUsed/>
    <w:rsid w:val="00D069A2"/>
    <w:rPr>
      <w:color w:val="986801"/>
    </w:rPr>
  </w:style>
  <w:style w:type="character" w:customStyle="1" w:styleId="hljs-selector-attr-slc">
    <w:name w:val="hljs-selector-attr-slc"/>
    <w:basedOn w:val="hljs-selector-attr"/>
    <w:uiPriority w:val="1"/>
    <w:unhideWhenUsed/>
    <w:rsid w:val="00D069A2"/>
    <w:rPr>
      <w:b/>
      <w:bCs/>
      <w:color w:val="986801"/>
      <w:sz w:val="20"/>
      <w:shd w:val="clear" w:color="auto" w:fill="D4D4D4"/>
    </w:rPr>
  </w:style>
  <w:style w:type="character" w:customStyle="1" w:styleId="hljs-selector-class">
    <w:name w:val="hljs-selector-class"/>
    <w:basedOn w:val="DefaultParagraphFont"/>
    <w:uiPriority w:val="1"/>
    <w:unhideWhenUsed/>
    <w:rsid w:val="00D069A2"/>
    <w:rPr>
      <w:color w:val="986801"/>
    </w:rPr>
  </w:style>
  <w:style w:type="character" w:customStyle="1" w:styleId="hljs-selector-class-slc">
    <w:name w:val="hljs-selector-class-slc"/>
    <w:basedOn w:val="hljs-selector-class"/>
    <w:uiPriority w:val="1"/>
    <w:unhideWhenUsed/>
    <w:rsid w:val="00D069A2"/>
    <w:rPr>
      <w:b/>
      <w:bCs/>
      <w:color w:val="986801"/>
      <w:sz w:val="20"/>
      <w:shd w:val="clear" w:color="auto" w:fill="D4D4D4"/>
    </w:rPr>
  </w:style>
  <w:style w:type="character" w:customStyle="1" w:styleId="hljs-selector-id">
    <w:name w:val="hljs-selector-id"/>
    <w:basedOn w:val="DefaultParagraphFont"/>
    <w:uiPriority w:val="1"/>
    <w:unhideWhenUsed/>
    <w:rsid w:val="00D069A2"/>
    <w:rPr>
      <w:color w:val="4078F2"/>
    </w:rPr>
  </w:style>
  <w:style w:type="character" w:customStyle="1" w:styleId="hljs-selector-id-slc">
    <w:name w:val="hljs-selector-id-slc"/>
    <w:basedOn w:val="hljs-selector-id"/>
    <w:uiPriority w:val="1"/>
    <w:unhideWhenUsed/>
    <w:rsid w:val="00D069A2"/>
    <w:rPr>
      <w:b/>
      <w:bCs/>
      <w:color w:val="4078F2"/>
      <w:sz w:val="20"/>
      <w:shd w:val="clear" w:color="auto" w:fill="D4D4D4"/>
    </w:rPr>
  </w:style>
  <w:style w:type="character" w:customStyle="1" w:styleId="hljs-selector-pseudo">
    <w:name w:val="hljs-selector-pseudo"/>
    <w:basedOn w:val="DefaultParagraphFont"/>
    <w:uiPriority w:val="1"/>
    <w:unhideWhenUsed/>
    <w:rsid w:val="00D069A2"/>
    <w:rPr>
      <w:color w:val="986801"/>
    </w:rPr>
  </w:style>
  <w:style w:type="character" w:customStyle="1" w:styleId="hljs-selector-pseudo-slc">
    <w:name w:val="hljs-selector-pseudo-slc"/>
    <w:basedOn w:val="hljs-selector-pseudo"/>
    <w:uiPriority w:val="1"/>
    <w:unhideWhenUsed/>
    <w:rsid w:val="00D069A2"/>
    <w:rPr>
      <w:b/>
      <w:bCs/>
      <w:color w:val="986801"/>
      <w:sz w:val="20"/>
      <w:shd w:val="clear" w:color="auto" w:fill="D4D4D4"/>
    </w:rPr>
  </w:style>
  <w:style w:type="character" w:customStyle="1" w:styleId="hljs-selector-tag">
    <w:name w:val="hljs-selector-tag"/>
    <w:basedOn w:val="DefaultParagraphFont"/>
    <w:uiPriority w:val="1"/>
    <w:unhideWhenUsed/>
    <w:rsid w:val="00D069A2"/>
    <w:rPr>
      <w:color w:val="E45649"/>
    </w:rPr>
  </w:style>
  <w:style w:type="character" w:customStyle="1" w:styleId="hljs-selector-tag-slc">
    <w:name w:val="hljs-selector-tag-slc"/>
    <w:basedOn w:val="hljs-selector-tag"/>
    <w:uiPriority w:val="1"/>
    <w:unhideWhenUsed/>
    <w:rsid w:val="00D069A2"/>
    <w:rPr>
      <w:b/>
      <w:bCs/>
      <w:color w:val="E45649"/>
      <w:sz w:val="20"/>
      <w:shd w:val="clear" w:color="auto" w:fill="D4D4D4"/>
    </w:rPr>
  </w:style>
  <w:style w:type="character" w:customStyle="1" w:styleId="hljs-slc">
    <w:name w:val="hljs-slc"/>
    <w:basedOn w:val="DefaultParagraphFont"/>
    <w:uiPriority w:val="1"/>
    <w:unhideWhenUsed/>
    <w:rsid w:val="00D069A2"/>
    <w:rPr>
      <w:b/>
      <w:bCs/>
      <w:shd w:val="clear" w:color="auto" w:fill="D4D4D4"/>
      <w:lang w:val="en-IN"/>
    </w:rPr>
  </w:style>
  <w:style w:type="character" w:customStyle="1" w:styleId="hljs-string">
    <w:name w:val="hljs-string"/>
    <w:basedOn w:val="DefaultParagraphFont"/>
    <w:uiPriority w:val="1"/>
    <w:unhideWhenUsed/>
    <w:rsid w:val="00D069A2"/>
    <w:rPr>
      <w:color w:val="50A14F"/>
    </w:rPr>
  </w:style>
  <w:style w:type="character" w:customStyle="1" w:styleId="hljs-string-slc">
    <w:name w:val="hljs-string-slc"/>
    <w:basedOn w:val="hljs-string"/>
    <w:uiPriority w:val="1"/>
    <w:unhideWhenUsed/>
    <w:rsid w:val="00D069A2"/>
    <w:rPr>
      <w:b/>
      <w:bCs/>
      <w:color w:val="50A14F"/>
      <w:sz w:val="20"/>
      <w:shd w:val="clear" w:color="auto" w:fill="D4D4D4"/>
    </w:rPr>
  </w:style>
  <w:style w:type="character" w:customStyle="1" w:styleId="hljs-strong">
    <w:name w:val="hljs-strong"/>
    <w:basedOn w:val="DefaultParagraphFont"/>
    <w:uiPriority w:val="1"/>
    <w:unhideWhenUsed/>
    <w:rsid w:val="00D069A2"/>
    <w:rPr>
      <w:b/>
      <w:bCs/>
    </w:rPr>
  </w:style>
  <w:style w:type="character" w:customStyle="1" w:styleId="hljs-strong-slc">
    <w:name w:val="hljs-strong-slc"/>
    <w:basedOn w:val="hljs-strong"/>
    <w:uiPriority w:val="1"/>
    <w:unhideWhenUsed/>
    <w:rsid w:val="00D069A2"/>
    <w:rPr>
      <w:b/>
      <w:bCs/>
      <w:sz w:val="20"/>
      <w:shd w:val="clear" w:color="auto" w:fill="D4D4D4"/>
    </w:rPr>
  </w:style>
  <w:style w:type="character" w:customStyle="1" w:styleId="hljs-subst">
    <w:name w:val="hljs-subst"/>
    <w:basedOn w:val="DefaultParagraphFont"/>
    <w:uiPriority w:val="1"/>
    <w:unhideWhenUsed/>
    <w:rsid w:val="00D069A2"/>
    <w:rPr>
      <w:color w:val="E45649"/>
    </w:rPr>
  </w:style>
  <w:style w:type="character" w:customStyle="1" w:styleId="hljs-subst-slc">
    <w:name w:val="hljs-subst-slc"/>
    <w:basedOn w:val="hljs-subst"/>
    <w:uiPriority w:val="1"/>
    <w:unhideWhenUsed/>
    <w:rsid w:val="00D069A2"/>
    <w:rPr>
      <w:b/>
      <w:bCs/>
      <w:color w:val="E45649"/>
      <w:sz w:val="20"/>
      <w:shd w:val="clear" w:color="auto" w:fill="D4D4D4"/>
    </w:rPr>
  </w:style>
  <w:style w:type="character" w:customStyle="1" w:styleId="hljs-symbol">
    <w:name w:val="hljs-symbol"/>
    <w:basedOn w:val="DefaultParagraphFont"/>
    <w:uiPriority w:val="1"/>
    <w:unhideWhenUsed/>
    <w:rsid w:val="00D069A2"/>
    <w:rPr>
      <w:color w:val="4078F2"/>
    </w:rPr>
  </w:style>
  <w:style w:type="character" w:customStyle="1" w:styleId="hljs-symbol-slc">
    <w:name w:val="hljs-symbol-slc"/>
    <w:basedOn w:val="hljs-symbol"/>
    <w:uiPriority w:val="1"/>
    <w:unhideWhenUsed/>
    <w:rsid w:val="00D069A2"/>
    <w:rPr>
      <w:b/>
      <w:bCs/>
      <w:color w:val="4078F2"/>
      <w:sz w:val="20"/>
      <w:shd w:val="clear" w:color="auto" w:fill="D4D4D4"/>
    </w:rPr>
  </w:style>
  <w:style w:type="character" w:customStyle="1" w:styleId="hljs-tag">
    <w:name w:val="hljs-tag"/>
    <w:basedOn w:val="DefaultParagraphFont"/>
    <w:uiPriority w:val="1"/>
    <w:unhideWhenUsed/>
    <w:rsid w:val="00D069A2"/>
  </w:style>
  <w:style w:type="character" w:customStyle="1" w:styleId="hljs-tag-slc">
    <w:name w:val="hljs-tag-slc"/>
    <w:basedOn w:val="hljs-tag"/>
    <w:uiPriority w:val="1"/>
    <w:unhideWhenUsed/>
    <w:rsid w:val="00D069A2"/>
    <w:rPr>
      <w:b/>
      <w:bCs/>
      <w:sz w:val="20"/>
      <w:shd w:val="clear" w:color="auto" w:fill="D4D4D4"/>
    </w:rPr>
  </w:style>
  <w:style w:type="character" w:customStyle="1" w:styleId="hljs-template-tag">
    <w:name w:val="hljs-template-tag"/>
    <w:basedOn w:val="DefaultParagraphFont"/>
    <w:uiPriority w:val="1"/>
    <w:unhideWhenUsed/>
    <w:rsid w:val="00D069A2"/>
  </w:style>
  <w:style w:type="character" w:customStyle="1" w:styleId="hljs-template-tag-slc">
    <w:name w:val="hljs-template-tag-slc"/>
    <w:basedOn w:val="hljs-template-tag"/>
    <w:uiPriority w:val="1"/>
    <w:unhideWhenUsed/>
    <w:rsid w:val="00D069A2"/>
    <w:rPr>
      <w:b/>
      <w:bCs/>
      <w:sz w:val="20"/>
      <w:shd w:val="clear" w:color="auto" w:fill="D4D4D4"/>
    </w:rPr>
  </w:style>
  <w:style w:type="character" w:customStyle="1" w:styleId="hljs-template-variable">
    <w:name w:val="hljs-template-variable"/>
    <w:basedOn w:val="DefaultParagraphFont"/>
    <w:uiPriority w:val="1"/>
    <w:unhideWhenUsed/>
    <w:rsid w:val="00D069A2"/>
    <w:rPr>
      <w:color w:val="986801"/>
    </w:rPr>
  </w:style>
  <w:style w:type="character" w:customStyle="1" w:styleId="hljs-template-variable-slc">
    <w:name w:val="hljs-template-variable-slc"/>
    <w:basedOn w:val="hljs-template-variable"/>
    <w:uiPriority w:val="1"/>
    <w:unhideWhenUsed/>
    <w:rsid w:val="00D069A2"/>
    <w:rPr>
      <w:b/>
      <w:bCs/>
      <w:color w:val="986801"/>
      <w:sz w:val="20"/>
      <w:shd w:val="clear" w:color="auto" w:fill="D4D4D4"/>
    </w:rPr>
  </w:style>
  <w:style w:type="character" w:customStyle="1" w:styleId="hljs-title">
    <w:name w:val="hljs-title"/>
    <w:basedOn w:val="DefaultParagraphFont"/>
    <w:uiPriority w:val="1"/>
    <w:unhideWhenUsed/>
    <w:rsid w:val="00D069A2"/>
    <w:rPr>
      <w:color w:val="4078F2"/>
    </w:rPr>
  </w:style>
  <w:style w:type="character" w:customStyle="1" w:styleId="hljs-title-slc">
    <w:name w:val="hljs-title-slc"/>
    <w:basedOn w:val="hljs-title"/>
    <w:uiPriority w:val="1"/>
    <w:unhideWhenUsed/>
    <w:rsid w:val="00D069A2"/>
    <w:rPr>
      <w:b/>
      <w:bCs/>
      <w:color w:val="4078F2"/>
      <w:sz w:val="20"/>
      <w:shd w:val="clear" w:color="auto" w:fill="D4D4D4"/>
    </w:rPr>
  </w:style>
  <w:style w:type="character" w:customStyle="1" w:styleId="hljs-type">
    <w:name w:val="hljs-type"/>
    <w:basedOn w:val="DefaultParagraphFont"/>
    <w:uiPriority w:val="1"/>
    <w:unhideWhenUsed/>
    <w:rsid w:val="00D069A2"/>
    <w:rPr>
      <w:color w:val="986801"/>
    </w:rPr>
  </w:style>
  <w:style w:type="character" w:customStyle="1" w:styleId="hljs-type-slc">
    <w:name w:val="hljs-type-slc"/>
    <w:basedOn w:val="hljs-type"/>
    <w:uiPriority w:val="1"/>
    <w:unhideWhenUsed/>
    <w:rsid w:val="00D069A2"/>
    <w:rPr>
      <w:b/>
      <w:bCs/>
      <w:color w:val="986801"/>
      <w:sz w:val="20"/>
      <w:shd w:val="clear" w:color="auto" w:fill="D4D4D4"/>
    </w:rPr>
  </w:style>
  <w:style w:type="character" w:customStyle="1" w:styleId="hljs-typing">
    <w:name w:val="hljs-typing"/>
    <w:basedOn w:val="DefaultParagraphFont"/>
    <w:uiPriority w:val="1"/>
    <w:unhideWhenUsed/>
    <w:rsid w:val="00D069A2"/>
  </w:style>
  <w:style w:type="character" w:customStyle="1" w:styleId="hljs-typing-slc">
    <w:name w:val="hljs-typing-slc"/>
    <w:basedOn w:val="hljs-typing"/>
    <w:uiPriority w:val="1"/>
    <w:unhideWhenUsed/>
    <w:rsid w:val="00D069A2"/>
    <w:rPr>
      <w:b/>
      <w:bCs/>
      <w:sz w:val="20"/>
      <w:shd w:val="clear" w:color="auto" w:fill="D4D4D4"/>
    </w:rPr>
  </w:style>
  <w:style w:type="character" w:customStyle="1" w:styleId="hljs-variable">
    <w:name w:val="hljs-variable"/>
    <w:basedOn w:val="DefaultParagraphFont"/>
    <w:unhideWhenUsed/>
    <w:rsid w:val="00D069A2"/>
    <w:rPr>
      <w:color w:val="986801"/>
    </w:rPr>
  </w:style>
  <w:style w:type="character" w:customStyle="1" w:styleId="hljs-variable-slc">
    <w:name w:val="hljs-variable-slc"/>
    <w:basedOn w:val="hljs-variable"/>
    <w:uiPriority w:val="1"/>
    <w:unhideWhenUsed/>
    <w:rsid w:val="00D069A2"/>
    <w:rPr>
      <w:b/>
      <w:bCs/>
      <w:color w:val="986801"/>
      <w:sz w:val="20"/>
      <w:shd w:val="clear" w:color="auto" w:fill="D4D4D4"/>
    </w:rPr>
  </w:style>
  <w:style w:type="paragraph" w:customStyle="1" w:styleId="HS-ChapterNumber">
    <w:name w:val="HS - ChapterNumber"/>
    <w:next w:val="Normal"/>
    <w:rsid w:val="00D069A2"/>
    <w:pPr>
      <w:spacing w:after="450"/>
    </w:pPr>
    <w:rPr>
      <w:rFonts w:ascii="Jost* Medium" w:eastAsia="Times New Roman" w:hAnsi="Jost* Medium" w:cs="Arial"/>
      <w:bCs/>
      <w:color w:val="000000"/>
      <w:kern w:val="32"/>
      <w:sz w:val="168"/>
      <w:szCs w:val="32"/>
      <w:lang w:val="en-GB"/>
    </w:rPr>
  </w:style>
  <w:style w:type="paragraph" w:customStyle="1" w:styleId="HS-ChapterTitle">
    <w:name w:val="HS - ChapterTitle"/>
    <w:next w:val="P0-Paragraph"/>
    <w:rsid w:val="00D069A2"/>
    <w:pPr>
      <w:spacing w:after="720"/>
    </w:pPr>
    <w:rPr>
      <w:rFonts w:ascii="Jost* Medium" w:eastAsia="Times New Roman" w:hAnsi="Jost* Medium" w:cs="Arial"/>
      <w:bCs/>
      <w:color w:val="000000"/>
      <w:kern w:val="32"/>
      <w:sz w:val="56"/>
      <w:szCs w:val="32"/>
      <w:lang w:val="en-GB"/>
    </w:rPr>
  </w:style>
  <w:style w:type="paragraph" w:customStyle="1" w:styleId="HS-Heading1">
    <w:name w:val="HS - Heading 1"/>
    <w:next w:val="P0-Paragraph"/>
    <w:link w:val="HS-Heading1Char"/>
    <w:qFormat/>
    <w:rsid w:val="00D069A2"/>
    <w:pPr>
      <w:keepNext/>
      <w:spacing w:before="90" w:after="50"/>
      <w:outlineLvl w:val="0"/>
    </w:pPr>
    <w:rPr>
      <w:rFonts w:ascii="Jost*" w:eastAsia="Times New Roman" w:hAnsi="Jost*" w:cs="Times New Roman"/>
      <w:b/>
      <w:sz w:val="32"/>
      <w:lang w:val="en-US"/>
    </w:rPr>
  </w:style>
  <w:style w:type="character" w:customStyle="1" w:styleId="HS-Heading1Char">
    <w:name w:val="HS - Heading 1 Char"/>
    <w:basedOn w:val="DefaultParagraphFont"/>
    <w:link w:val="HS-Heading1"/>
    <w:rsid w:val="00D069A2"/>
    <w:rPr>
      <w:rFonts w:ascii="Jost*" w:eastAsia="Times New Roman" w:hAnsi="Jost*" w:cs="Times New Roman"/>
      <w:b/>
      <w:sz w:val="32"/>
      <w:lang w:val="en-US"/>
    </w:rPr>
  </w:style>
  <w:style w:type="paragraph" w:customStyle="1" w:styleId="HS-Heading2">
    <w:name w:val="HS - Heading 2"/>
    <w:basedOn w:val="HS-Heading1"/>
    <w:next w:val="P0-Paragraph"/>
    <w:rsid w:val="00D069A2"/>
    <w:pPr>
      <w:outlineLvl w:val="1"/>
    </w:pPr>
    <w:rPr>
      <w:sz w:val="28"/>
    </w:rPr>
  </w:style>
  <w:style w:type="paragraph" w:customStyle="1" w:styleId="HS-Heading3">
    <w:name w:val="HS - Heading 3"/>
    <w:basedOn w:val="HS-Heading1"/>
    <w:next w:val="P0-Paragraph"/>
    <w:rsid w:val="00D069A2"/>
    <w:pPr>
      <w:spacing w:before="72"/>
      <w:outlineLvl w:val="2"/>
    </w:pPr>
    <w:rPr>
      <w:sz w:val="26"/>
    </w:rPr>
  </w:style>
  <w:style w:type="paragraph" w:customStyle="1" w:styleId="HS-Heading4">
    <w:name w:val="HS - Heading 4"/>
    <w:basedOn w:val="HS-Heading1"/>
    <w:next w:val="P0-Paragraph"/>
    <w:rsid w:val="00D069A2"/>
    <w:pPr>
      <w:spacing w:before="72"/>
      <w:outlineLvl w:val="3"/>
    </w:pPr>
    <w:rPr>
      <w:sz w:val="24"/>
    </w:rPr>
  </w:style>
  <w:style w:type="paragraph" w:customStyle="1" w:styleId="HS-Heading5">
    <w:name w:val="HS - Heading 5"/>
    <w:basedOn w:val="HS-Heading1"/>
    <w:next w:val="P0-Paragraph"/>
    <w:rsid w:val="00D069A2"/>
    <w:pPr>
      <w:spacing w:before="50"/>
      <w:outlineLvl w:val="4"/>
    </w:pPr>
    <w:rPr>
      <w:rFonts w:ascii="Jost* Semi" w:hAnsi="Jost* Semi"/>
      <w:b w:val="0"/>
      <w:sz w:val="24"/>
    </w:rPr>
  </w:style>
  <w:style w:type="paragraph" w:customStyle="1" w:styleId="HS-Heading6">
    <w:name w:val="HS - Heading 6"/>
    <w:basedOn w:val="HS-Heading1"/>
    <w:next w:val="P0-Paragraph"/>
    <w:rsid w:val="00D069A2"/>
    <w:pPr>
      <w:spacing w:before="50"/>
      <w:outlineLvl w:val="5"/>
    </w:pPr>
    <w:rPr>
      <w:rFonts w:ascii="Jost* Semi" w:hAnsi="Jost* Semi"/>
      <w:b w:val="0"/>
      <w:sz w:val="24"/>
    </w:rPr>
  </w:style>
  <w:style w:type="paragraph" w:customStyle="1" w:styleId="HS-MainHeading">
    <w:name w:val="HS - MainHeading"/>
    <w:basedOn w:val="HS-ChapterTitle"/>
    <w:rsid w:val="00D069A2"/>
    <w:pPr>
      <w:spacing w:before="900"/>
      <w:jc w:val="right"/>
    </w:pPr>
    <w:rPr>
      <w:rFonts w:ascii="Jost* Semi" w:hAnsi="Jost* Semi"/>
    </w:rPr>
  </w:style>
  <w:style w:type="paragraph" w:customStyle="1" w:styleId="HS-PartNumber">
    <w:name w:val="HS - PartNumber"/>
    <w:basedOn w:val="HS-ChapterTitle"/>
    <w:next w:val="Normal"/>
    <w:rsid w:val="00D069A2"/>
    <w:pPr>
      <w:tabs>
        <w:tab w:val="left" w:pos="0"/>
        <w:tab w:val="center" w:pos="3960"/>
        <w:tab w:val="right" w:pos="7920"/>
      </w:tabs>
      <w:jc w:val="center"/>
    </w:pPr>
    <w:rPr>
      <w:sz w:val="96"/>
      <w:szCs w:val="96"/>
      <w:lang w:val="en-US"/>
    </w:rPr>
  </w:style>
  <w:style w:type="paragraph" w:customStyle="1" w:styleId="HS-PartTitle">
    <w:name w:val="HS - PartTitle"/>
    <w:basedOn w:val="HS-PartNumber"/>
    <w:next w:val="P0-Paragraph"/>
    <w:rsid w:val="00D069A2"/>
    <w:rPr>
      <w:rFonts w:ascii="Jost*" w:hAnsi="Jost*"/>
      <w:sz w:val="72"/>
    </w:rPr>
  </w:style>
  <w:style w:type="paragraph" w:customStyle="1" w:styleId="I0-InfoBox">
    <w:name w:val="I0 - InfoBox"/>
    <w:basedOn w:val="P0-Paragraph"/>
    <w:link w:val="I0-InfoBoxChar"/>
    <w:qFormat/>
    <w:rsid w:val="00D069A2"/>
    <w:pPr>
      <w:pBdr>
        <w:top w:val="single" w:sz="4" w:space="6" w:color="auto"/>
        <w:left w:val="single" w:sz="4" w:space="4" w:color="auto"/>
        <w:bottom w:val="single" w:sz="4" w:space="9" w:color="auto"/>
        <w:right w:val="single" w:sz="4" w:space="4" w:color="auto"/>
      </w:pBdr>
      <w:shd w:val="clear" w:color="auto" w:fill="FFFFFF"/>
      <w:suppressAutoHyphens/>
      <w:spacing w:after="126"/>
    </w:pPr>
    <w:rPr>
      <w:sz w:val="20"/>
    </w:rPr>
  </w:style>
  <w:style w:type="character" w:customStyle="1" w:styleId="I0-InfoBoxChar">
    <w:name w:val="I0 - InfoBox Char"/>
    <w:link w:val="I0-InfoBox"/>
    <w:rsid w:val="00D069A2"/>
    <w:rPr>
      <w:rFonts w:ascii="Crimson Pro" w:eastAsia="Times New Roman" w:hAnsi="Crimson Pro" w:cs="Times New Roman"/>
      <w:sz w:val="20"/>
      <w:shd w:val="clear" w:color="auto" w:fill="FFFFFF"/>
      <w:lang w:val="en-US"/>
    </w:rPr>
  </w:style>
  <w:style w:type="paragraph" w:customStyle="1" w:styleId="I0-InfoBoxBullet">
    <w:name w:val="I0 - InfoBoxBullet"/>
    <w:basedOn w:val="I0-InfoBox"/>
    <w:qFormat/>
    <w:rsid w:val="00D069A2"/>
    <w:pPr>
      <w:numPr>
        <w:numId w:val="8"/>
      </w:numPr>
      <w:spacing w:after="0"/>
      <w:ind w:left="360"/>
      <w:contextualSpacing/>
    </w:pPr>
  </w:style>
  <w:style w:type="paragraph" w:customStyle="1" w:styleId="I0-InfoBoxFigure">
    <w:name w:val="I0 - InfoBoxFigure"/>
    <w:basedOn w:val="I0-InfoBox"/>
    <w:qFormat/>
    <w:rsid w:val="00D069A2"/>
    <w:pPr>
      <w:jc w:val="center"/>
    </w:pPr>
    <w:rPr>
      <w:sz w:val="16"/>
    </w:rPr>
  </w:style>
  <w:style w:type="paragraph" w:customStyle="1" w:styleId="I0-InfoBoxCaption">
    <w:name w:val="I0 - InfoBoxCaption"/>
    <w:basedOn w:val="I0-InfoBoxFigure"/>
    <w:rsid w:val="00D069A2"/>
  </w:style>
  <w:style w:type="paragraph" w:customStyle="1" w:styleId="I0-InfoBoxCenter">
    <w:name w:val="I0 - InfoBoxCenter"/>
    <w:basedOn w:val="I0-InfoBox"/>
    <w:rsid w:val="00D069A2"/>
    <w:pPr>
      <w:jc w:val="center"/>
    </w:pPr>
  </w:style>
  <w:style w:type="paragraph" w:customStyle="1" w:styleId="I0-InfoBoxCode">
    <w:name w:val="I0 - InfoBoxCode"/>
    <w:basedOn w:val="I0-InfoBox"/>
    <w:rsid w:val="00D069A2"/>
    <w:pPr>
      <w:shd w:val="clear" w:color="auto" w:fill="FAFAFA"/>
      <w:spacing w:after="60"/>
      <w:contextualSpacing/>
    </w:pPr>
    <w:rPr>
      <w:rFonts w:ascii="Consolas" w:hAnsi="Consolas"/>
      <w:color w:val="383A42"/>
      <w:sz w:val="18"/>
    </w:rPr>
  </w:style>
  <w:style w:type="paragraph" w:customStyle="1" w:styleId="I0-InfoBoxConsole">
    <w:name w:val="I0 - InfoBoxConsole"/>
    <w:basedOn w:val="I0-InfoBoxCode"/>
    <w:rsid w:val="00D069A2"/>
    <w:pPr>
      <w:shd w:val="clear" w:color="auto" w:fill="282A36"/>
    </w:pPr>
    <w:rPr>
      <w:color w:val="F8F8F2"/>
    </w:rPr>
  </w:style>
  <w:style w:type="paragraph" w:customStyle="1" w:styleId="I0-InfoBoxNumberedList">
    <w:name w:val="I0 - InfoBoxNumberedList"/>
    <w:basedOn w:val="I0-InfoBoxBullet"/>
    <w:rsid w:val="00D069A2"/>
    <w:pPr>
      <w:numPr>
        <w:numId w:val="1"/>
      </w:numPr>
      <w:ind w:left="360"/>
    </w:pPr>
  </w:style>
  <w:style w:type="paragraph" w:customStyle="1" w:styleId="L1-Bullet">
    <w:name w:val="L1 - Bullet"/>
    <w:basedOn w:val="P0-Paragraph"/>
    <w:autoRedefine/>
    <w:rsid w:val="00D069A2"/>
    <w:pPr>
      <w:numPr>
        <w:numId w:val="10"/>
      </w:numPr>
      <w:tabs>
        <w:tab w:val="left" w:pos="360"/>
      </w:tabs>
      <w:suppressAutoHyphens/>
      <w:spacing w:after="126"/>
      <w:ind w:left="990"/>
      <w:contextualSpacing/>
    </w:pPr>
  </w:style>
  <w:style w:type="paragraph" w:customStyle="1" w:styleId="L1-Alphabet">
    <w:name w:val="L1 - Alphabet"/>
    <w:basedOn w:val="L1-Bullet"/>
    <w:rsid w:val="00D069A2"/>
    <w:pPr>
      <w:numPr>
        <w:numId w:val="2"/>
      </w:numPr>
      <w:spacing w:after="2"/>
      <w:ind w:left="990"/>
    </w:pPr>
  </w:style>
  <w:style w:type="paragraph" w:customStyle="1" w:styleId="L1-Numbered">
    <w:name w:val="L1 - Numbered"/>
    <w:basedOn w:val="L1-Bullet"/>
    <w:rsid w:val="00D069A2"/>
    <w:pPr>
      <w:numPr>
        <w:numId w:val="3"/>
      </w:numPr>
      <w:ind w:left="990" w:hanging="360"/>
    </w:pPr>
  </w:style>
  <w:style w:type="paragraph" w:customStyle="1" w:styleId="L2-Bullet">
    <w:name w:val="L2 - Bullet"/>
    <w:basedOn w:val="L1-Bullet"/>
    <w:rsid w:val="00D069A2"/>
    <w:pPr>
      <w:ind w:left="1620"/>
    </w:pPr>
  </w:style>
  <w:style w:type="paragraph" w:customStyle="1" w:styleId="L2-Alphabet">
    <w:name w:val="L2 - Alphabet"/>
    <w:basedOn w:val="L2-Bullet"/>
    <w:qFormat/>
    <w:rsid w:val="00D069A2"/>
    <w:pPr>
      <w:numPr>
        <w:numId w:val="4"/>
      </w:numPr>
      <w:ind w:left="1620"/>
    </w:pPr>
    <w:rPr>
      <w:bCs/>
    </w:rPr>
  </w:style>
  <w:style w:type="paragraph" w:customStyle="1" w:styleId="L2-Numbered">
    <w:name w:val="L2 - Numbered"/>
    <w:basedOn w:val="L2-Bullet"/>
    <w:rsid w:val="00D069A2"/>
    <w:pPr>
      <w:numPr>
        <w:numId w:val="5"/>
      </w:numPr>
      <w:ind w:left="1620"/>
    </w:pPr>
  </w:style>
  <w:style w:type="paragraph" w:customStyle="1" w:styleId="L3-Bullet">
    <w:name w:val="L3 - Bullet"/>
    <w:basedOn w:val="L2-Bullet"/>
    <w:rsid w:val="00D069A2"/>
    <w:pPr>
      <w:ind w:left="2250"/>
    </w:pPr>
  </w:style>
  <w:style w:type="paragraph" w:customStyle="1" w:styleId="L3-Alphabet">
    <w:name w:val="L3 - Alphabet"/>
    <w:basedOn w:val="L3-Bullet"/>
    <w:rsid w:val="00D069A2"/>
    <w:pPr>
      <w:numPr>
        <w:numId w:val="6"/>
      </w:numPr>
      <w:ind w:left="2250"/>
    </w:pPr>
  </w:style>
  <w:style w:type="paragraph" w:customStyle="1" w:styleId="L3-Numbered">
    <w:name w:val="L3 - Numbered"/>
    <w:basedOn w:val="L3-Bullet"/>
    <w:rsid w:val="00D069A2"/>
    <w:pPr>
      <w:numPr>
        <w:numId w:val="7"/>
      </w:numPr>
      <w:ind w:left="2250"/>
    </w:pPr>
  </w:style>
  <w:style w:type="paragraph" w:customStyle="1" w:styleId="P0-ParagraphCenter">
    <w:name w:val="P0 - ParagraphCenter"/>
    <w:basedOn w:val="P0-Paragraph"/>
    <w:rsid w:val="00D069A2"/>
    <w:pPr>
      <w:jc w:val="center"/>
    </w:pPr>
  </w:style>
  <w:style w:type="paragraph" w:customStyle="1" w:styleId="P1-Paragraph">
    <w:name w:val="P1 - Paragraph"/>
    <w:basedOn w:val="L1-Bullet"/>
    <w:rsid w:val="00D069A2"/>
    <w:pPr>
      <w:numPr>
        <w:numId w:val="0"/>
      </w:numPr>
      <w:tabs>
        <w:tab w:val="left" w:pos="720"/>
      </w:tabs>
      <w:autoSpaceDE w:val="0"/>
      <w:autoSpaceDN w:val="0"/>
      <w:adjustRightInd w:val="0"/>
      <w:spacing w:after="120"/>
      <w:ind w:left="629"/>
      <w:contextualSpacing w:val="0"/>
      <w:textAlignment w:val="center"/>
    </w:pPr>
    <w:rPr>
      <w:rFonts w:cs="Book Antiqua"/>
      <w:color w:val="000000"/>
      <w:szCs w:val="21"/>
    </w:rPr>
  </w:style>
  <w:style w:type="paragraph" w:customStyle="1" w:styleId="P1-ParagraphCenter">
    <w:name w:val="P1 - ParagraphCenter"/>
    <w:basedOn w:val="P1-Paragraph"/>
    <w:rsid w:val="00D069A2"/>
    <w:pPr>
      <w:ind w:left="634"/>
      <w:jc w:val="center"/>
    </w:pPr>
  </w:style>
  <w:style w:type="paragraph" w:customStyle="1" w:styleId="P2-Paragraph">
    <w:name w:val="P2 - Paragraph"/>
    <w:basedOn w:val="P1-Paragraph"/>
    <w:rsid w:val="00D069A2"/>
    <w:pPr>
      <w:ind w:left="1260"/>
    </w:pPr>
  </w:style>
  <w:style w:type="paragraph" w:customStyle="1" w:styleId="P2-ParagraphCenter">
    <w:name w:val="P2 - ParagraphCenter"/>
    <w:basedOn w:val="P2-Paragraph"/>
    <w:rsid w:val="00D069A2"/>
    <w:pPr>
      <w:ind w:left="1267"/>
      <w:jc w:val="center"/>
    </w:pPr>
  </w:style>
  <w:style w:type="paragraph" w:customStyle="1" w:styleId="QS-Quote">
    <w:name w:val="QS - Quote"/>
    <w:basedOn w:val="P0-Paragraph"/>
    <w:rsid w:val="00D069A2"/>
    <w:pPr>
      <w:shd w:val="clear" w:color="auto" w:fill="FFFF00"/>
      <w:spacing w:after="126"/>
      <w:ind w:left="540"/>
    </w:pPr>
    <w:rPr>
      <w:i/>
      <w:sz w:val="22"/>
    </w:rPr>
  </w:style>
  <w:style w:type="paragraph" w:customStyle="1" w:styleId="QS-Cite">
    <w:name w:val="QS - Cite"/>
    <w:basedOn w:val="QS-Quote"/>
    <w:next w:val="P0-Paragraph"/>
    <w:rsid w:val="00D069A2"/>
    <w:pPr>
      <w:ind w:left="547"/>
      <w:jc w:val="right"/>
    </w:pPr>
  </w:style>
  <w:style w:type="paragraph" w:customStyle="1" w:styleId="T0-TipBox">
    <w:name w:val="T0 - TipBox"/>
    <w:basedOn w:val="I0-InfoBox"/>
    <w:qFormat/>
    <w:rsid w:val="00D069A2"/>
    <w:pPr>
      <w:pBdr>
        <w:top w:val="double" w:sz="4" w:space="6" w:color="auto"/>
        <w:left w:val="none" w:sz="0" w:space="0" w:color="auto"/>
        <w:bottom w:val="double" w:sz="4" w:space="9" w:color="auto"/>
        <w:right w:val="none" w:sz="0" w:space="0" w:color="auto"/>
      </w:pBdr>
      <w:shd w:val="clear" w:color="auto" w:fill="auto"/>
    </w:pPr>
  </w:style>
  <w:style w:type="paragraph" w:customStyle="1" w:styleId="T0-TipBoxBullet">
    <w:name w:val="T0 - TipBoxBullet"/>
    <w:basedOn w:val="I0-InfoBoxBullet"/>
    <w:qFormat/>
    <w:rsid w:val="00D069A2"/>
    <w:pPr>
      <w:pBdr>
        <w:top w:val="double" w:sz="4" w:space="6" w:color="auto"/>
        <w:left w:val="none" w:sz="0" w:space="0" w:color="auto"/>
        <w:bottom w:val="double" w:sz="4" w:space="9" w:color="auto"/>
        <w:right w:val="none" w:sz="0" w:space="0" w:color="auto"/>
      </w:pBdr>
    </w:pPr>
  </w:style>
  <w:style w:type="paragraph" w:customStyle="1" w:styleId="T0-TipBoxFigure">
    <w:name w:val="T0 - TipBoxFigure"/>
    <w:basedOn w:val="I0-InfoBoxFigure"/>
    <w:next w:val="Normal"/>
    <w:qFormat/>
    <w:rsid w:val="00D069A2"/>
    <w:pPr>
      <w:pBdr>
        <w:top w:val="double" w:sz="4" w:space="6" w:color="auto"/>
        <w:left w:val="none" w:sz="0" w:space="0" w:color="auto"/>
        <w:bottom w:val="double" w:sz="4" w:space="9" w:color="auto"/>
        <w:right w:val="none" w:sz="0" w:space="0" w:color="auto"/>
      </w:pBdr>
    </w:pPr>
  </w:style>
  <w:style w:type="paragraph" w:customStyle="1" w:styleId="T0-TipBoxCaption">
    <w:name w:val="T0 - TipBoxCaption"/>
    <w:basedOn w:val="T0-TipBoxFigure"/>
    <w:rsid w:val="00D069A2"/>
  </w:style>
  <w:style w:type="paragraph" w:customStyle="1" w:styleId="T0-TipBoxCenter">
    <w:name w:val="T0 - TipBoxCenter"/>
    <w:basedOn w:val="T0-TipBox"/>
    <w:rsid w:val="00D069A2"/>
    <w:pPr>
      <w:jc w:val="center"/>
    </w:pPr>
  </w:style>
  <w:style w:type="paragraph" w:customStyle="1" w:styleId="T0-TipBoxCode">
    <w:name w:val="T0 - TipBoxCode"/>
    <w:basedOn w:val="I0-InfoBoxCode"/>
    <w:rsid w:val="00D069A2"/>
    <w:pPr>
      <w:pBdr>
        <w:top w:val="double" w:sz="4" w:space="6" w:color="auto"/>
        <w:left w:val="none" w:sz="0" w:space="0" w:color="auto"/>
        <w:bottom w:val="double" w:sz="4" w:space="9" w:color="auto"/>
        <w:right w:val="none" w:sz="0" w:space="0" w:color="auto"/>
      </w:pBdr>
    </w:pPr>
  </w:style>
  <w:style w:type="paragraph" w:customStyle="1" w:styleId="T0-TipBoxConsole">
    <w:name w:val="T0 - TipBoxConsole"/>
    <w:basedOn w:val="T0-TipBoxCode"/>
    <w:rsid w:val="00D069A2"/>
    <w:pPr>
      <w:shd w:val="clear" w:color="auto" w:fill="282A36"/>
    </w:pPr>
    <w:rPr>
      <w:color w:val="F8F8F2"/>
    </w:rPr>
  </w:style>
  <w:style w:type="paragraph" w:customStyle="1" w:styleId="T0-TipBoxNumberedList">
    <w:name w:val="T0 - TipBoxNumberedList"/>
    <w:basedOn w:val="T0-TipBoxBullet"/>
    <w:rsid w:val="00D069A2"/>
    <w:pPr>
      <w:numPr>
        <w:numId w:val="9"/>
      </w:numPr>
      <w:ind w:left="360"/>
    </w:pPr>
  </w:style>
  <w:style w:type="paragraph" w:customStyle="1" w:styleId="T0-Table">
    <w:name w:val="T0 - Table"/>
    <w:basedOn w:val="Normal"/>
    <w:rsid w:val="00D069A2"/>
    <w:pPr>
      <w:spacing w:after="126"/>
    </w:pPr>
    <w:rPr>
      <w:rFonts w:ascii="Crimson Pro" w:hAnsi="Crimson Pro" w:cs="Arial"/>
      <w:bCs/>
      <w:kern w:val="0"/>
      <w:sz w:val="20"/>
      <w14:ligatures w14:val="none"/>
    </w:rPr>
  </w:style>
  <w:style w:type="paragraph" w:customStyle="1" w:styleId="T0-TableBullet">
    <w:name w:val="T0 - TableBullet"/>
    <w:basedOn w:val="L1-Bullet"/>
    <w:qFormat/>
    <w:rsid w:val="00D069A2"/>
    <w:pPr>
      <w:spacing w:before="60" w:after="60"/>
      <w:ind w:left="432" w:right="72"/>
    </w:pPr>
    <w:rPr>
      <w:sz w:val="20"/>
      <w:lang w:eastAsia="ar-SA"/>
    </w:rPr>
  </w:style>
  <w:style w:type="paragraph" w:customStyle="1" w:styleId="T0-TableFigure">
    <w:name w:val="T0 - TableFigure"/>
    <w:basedOn w:val="T0-Table"/>
    <w:next w:val="Normal"/>
    <w:qFormat/>
    <w:rsid w:val="00D069A2"/>
    <w:pPr>
      <w:spacing w:before="120" w:after="120"/>
      <w:jc w:val="center"/>
    </w:pPr>
    <w:rPr>
      <w:sz w:val="16"/>
    </w:rPr>
  </w:style>
  <w:style w:type="paragraph" w:customStyle="1" w:styleId="T0-TableCaption">
    <w:name w:val="T0 - TableCaption"/>
    <w:basedOn w:val="T0-TableFigure"/>
    <w:next w:val="T0-Table"/>
    <w:rsid w:val="00D069A2"/>
  </w:style>
  <w:style w:type="paragraph" w:customStyle="1" w:styleId="T0-TableCenter">
    <w:name w:val="T0 - TableCenter"/>
    <w:basedOn w:val="T0-Table"/>
    <w:rsid w:val="00D069A2"/>
    <w:pPr>
      <w:jc w:val="center"/>
    </w:pPr>
  </w:style>
  <w:style w:type="paragraph" w:customStyle="1" w:styleId="T0-TableCode">
    <w:name w:val="T0 - TableCode"/>
    <w:basedOn w:val="T0-Table"/>
    <w:rsid w:val="00D069A2"/>
    <w:pPr>
      <w:pBdr>
        <w:top w:val="single" w:sz="4" w:space="4" w:color="FAFAFA"/>
        <w:left w:val="single" w:sz="4" w:space="8" w:color="FAFAFA"/>
        <w:bottom w:val="single" w:sz="4" w:space="4" w:color="FAFAFA"/>
        <w:right w:val="single" w:sz="4" w:space="8" w:color="FAFAFA"/>
      </w:pBdr>
      <w:shd w:val="clear" w:color="auto" w:fill="FAFAFA"/>
      <w:spacing w:before="120" w:after="120"/>
      <w:ind w:left="230" w:right="230"/>
      <w:contextualSpacing/>
    </w:pPr>
    <w:rPr>
      <w:rFonts w:ascii="Consolas" w:hAnsi="Consolas"/>
      <w:color w:val="383A42"/>
      <w:sz w:val="18"/>
      <w:lang w:val="en-IN"/>
    </w:rPr>
  </w:style>
  <w:style w:type="paragraph" w:customStyle="1" w:styleId="T0-TableConsole">
    <w:name w:val="T0 - TableConsole"/>
    <w:basedOn w:val="T0-TableCode"/>
    <w:autoRedefine/>
    <w:rsid w:val="00D069A2"/>
    <w:pPr>
      <w:pBdr>
        <w:top w:val="single" w:sz="4" w:space="4" w:color="282A36"/>
        <w:left w:val="single" w:sz="4" w:space="8" w:color="282A36"/>
        <w:bottom w:val="single" w:sz="4" w:space="4" w:color="282A36"/>
        <w:right w:val="single" w:sz="4" w:space="8" w:color="282A36"/>
      </w:pBdr>
      <w:shd w:val="clear" w:color="auto" w:fill="282A36"/>
    </w:pPr>
    <w:rPr>
      <w:color w:val="F8F8F2"/>
    </w:rPr>
  </w:style>
  <w:style w:type="paragraph" w:customStyle="1" w:styleId="T0-TableNumberedList">
    <w:name w:val="T0 - TableNumberedList"/>
    <w:basedOn w:val="T0-TableBullet"/>
    <w:rsid w:val="00D069A2"/>
    <w:pPr>
      <w:numPr>
        <w:numId w:val="11"/>
      </w:numPr>
    </w:pPr>
  </w:style>
  <w:style w:type="paragraph" w:styleId="HTMLPreformatted">
    <w:name w:val="HTML Preformatted"/>
    <w:basedOn w:val="Normal"/>
    <w:link w:val="HTMLPreformattedChar"/>
    <w:uiPriority w:val="99"/>
    <w:semiHidden/>
    <w:unhideWhenUsed/>
    <w:rsid w:val="00D069A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069A2"/>
    <w:rPr>
      <w:rFonts w:ascii="Consolas" w:eastAsiaTheme="minorHAnsi" w:hAnsi="Consolas" w:cstheme="minorBidi"/>
      <w:kern w:val="2"/>
      <w:sz w:val="20"/>
      <w:szCs w:val="20"/>
      <w:lang w:val="en-US"/>
      <w14:ligatures w14:val="standardContextual"/>
    </w:rPr>
  </w:style>
  <w:style w:type="character" w:customStyle="1" w:styleId="TitleChar">
    <w:name w:val="Title Char"/>
    <w:basedOn w:val="DefaultParagraphFont"/>
    <w:link w:val="Title"/>
    <w:uiPriority w:val="10"/>
    <w:rsid w:val="00D069A2"/>
    <w:rPr>
      <w:rFonts w:asciiTheme="majorHAnsi" w:eastAsiaTheme="majorEastAsia" w:hAnsiTheme="majorHAnsi" w:cstheme="majorBidi"/>
      <w:spacing w:val="-10"/>
      <w:kern w:val="28"/>
      <w:sz w:val="56"/>
      <w:szCs w:val="56"/>
      <w:lang w:val="en-US"/>
      <w14:ligatures w14:val="standardContextual"/>
    </w:rPr>
  </w:style>
  <w:style w:type="character" w:customStyle="1" w:styleId="SubtitleChar">
    <w:name w:val="Subtitle Char"/>
    <w:basedOn w:val="DefaultParagraphFont"/>
    <w:link w:val="Subtitle"/>
    <w:uiPriority w:val="11"/>
    <w:rsid w:val="00D069A2"/>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paragraph" w:styleId="Quote">
    <w:name w:val="Quote"/>
    <w:basedOn w:val="Normal"/>
    <w:next w:val="Normal"/>
    <w:link w:val="QuoteChar"/>
    <w:uiPriority w:val="29"/>
    <w:qFormat/>
    <w:rsid w:val="00D069A2"/>
    <w:pPr>
      <w:spacing w:before="160"/>
      <w:jc w:val="center"/>
    </w:pPr>
    <w:rPr>
      <w:i/>
      <w:iCs/>
      <w:color w:val="404040" w:themeColor="text1" w:themeTint="BF"/>
    </w:rPr>
  </w:style>
  <w:style w:type="character" w:customStyle="1" w:styleId="QuoteChar">
    <w:name w:val="Quote Char"/>
    <w:basedOn w:val="DefaultParagraphFont"/>
    <w:link w:val="Quote"/>
    <w:uiPriority w:val="29"/>
    <w:rsid w:val="00D069A2"/>
    <w:rPr>
      <w:rFonts w:asciiTheme="minorHAnsi" w:eastAsiaTheme="minorHAnsi" w:hAnsiTheme="minorHAnsi" w:cstheme="minorBidi"/>
      <w:i/>
      <w:iCs/>
      <w:color w:val="404040" w:themeColor="text1" w:themeTint="BF"/>
      <w:kern w:val="2"/>
      <w:lang w:val="en-US"/>
      <w14:ligatures w14:val="standardContextual"/>
    </w:rPr>
  </w:style>
  <w:style w:type="paragraph" w:styleId="IntenseQuote">
    <w:name w:val="Intense Quote"/>
    <w:basedOn w:val="Normal"/>
    <w:next w:val="Normal"/>
    <w:link w:val="IntenseQuoteChar"/>
    <w:uiPriority w:val="30"/>
    <w:qFormat/>
    <w:rsid w:val="00D069A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069A2"/>
    <w:rPr>
      <w:rFonts w:asciiTheme="minorHAnsi" w:eastAsiaTheme="minorHAnsi" w:hAnsiTheme="minorHAnsi" w:cstheme="minorBidi"/>
      <w:i/>
      <w:iCs/>
      <w:color w:val="365F91" w:themeColor="accent1" w:themeShade="BF"/>
      <w:kern w:val="2"/>
      <w:lang w:val="en-US"/>
      <w14:ligatures w14:val="standardContextual"/>
    </w:rPr>
  </w:style>
  <w:style w:type="character" w:styleId="IntenseEmphasis">
    <w:name w:val="Intense Emphasis"/>
    <w:basedOn w:val="DefaultParagraphFont"/>
    <w:uiPriority w:val="21"/>
    <w:qFormat/>
    <w:rsid w:val="00D069A2"/>
    <w:rPr>
      <w:i/>
      <w:iCs/>
      <w:color w:val="365F91" w:themeColor="accent1" w:themeShade="BF"/>
    </w:rPr>
  </w:style>
  <w:style w:type="character" w:styleId="IntenseReference">
    <w:name w:val="Intense Reference"/>
    <w:basedOn w:val="DefaultParagraphFont"/>
    <w:uiPriority w:val="32"/>
    <w:qFormat/>
    <w:rsid w:val="00D069A2"/>
    <w:rPr>
      <w:b/>
      <w:bCs/>
      <w:smallCaps/>
      <w:color w:val="365F91" w:themeColor="accent1" w:themeShade="BF"/>
      <w:spacing w:val="5"/>
    </w:rPr>
  </w:style>
  <w:style w:type="paragraph" w:styleId="NoSpacing">
    <w:name w:val="No Spacing"/>
    <w:uiPriority w:val="1"/>
    <w:qFormat/>
    <w:rsid w:val="00D069A2"/>
    <w:pPr>
      <w:spacing w:after="0"/>
    </w:pPr>
    <w:rPr>
      <w:rFonts w:asciiTheme="minorHAnsi" w:eastAsiaTheme="minorHAnsi" w:hAnsiTheme="minorHAnsi" w:cstheme="minorBidi"/>
      <w:kern w:val="2"/>
      <w:lang w:val="en-US"/>
      <w14:ligatures w14:val="standardContextual"/>
    </w:rPr>
  </w:style>
  <w:style w:type="paragraph" w:customStyle="1" w:styleId="EQ-Normal">
    <w:name w:val="EQ - Normal"/>
    <w:rsid w:val="00D069A2"/>
    <w:pPr>
      <w:spacing w:after="0" w:line="278" w:lineRule="auto"/>
    </w:pPr>
    <w:rPr>
      <w:rFonts w:ascii="Book Antiqua" w:eastAsia="Times New Roman" w:hAnsi="Book Antiqua" w:cs="Times New Roman"/>
      <w:sz w:val="19"/>
      <w:lang w:val="en-US"/>
    </w:rPr>
  </w:style>
  <w:style w:type="character" w:customStyle="1" w:styleId="EQ-Ruler">
    <w:name w:val="EQ - Ruler"/>
    <w:basedOn w:val="DefaultParagraphFont"/>
    <w:uiPriority w:val="1"/>
    <w:rsid w:val="00D069A2"/>
    <w:rPr>
      <w:rFonts w:ascii="Book Antiqua" w:hAnsi="Book Antiqua"/>
      <w:position w:val="490"/>
      <w:sz w:val="10"/>
    </w:rPr>
  </w:style>
  <w:style w:type="paragraph" w:customStyle="1" w:styleId="EQ-Small">
    <w:name w:val="EQ - Small"/>
    <w:rsid w:val="00D069A2"/>
    <w:pPr>
      <w:spacing w:after="0" w:line="278" w:lineRule="auto"/>
    </w:pPr>
    <w:rPr>
      <w:rFonts w:ascii="Book Antiqua" w:eastAsia="Times New Roman" w:hAnsi="Book Antiqua" w:cs="Times New Roman"/>
      <w:sz w:val="18"/>
      <w:lang w:val="en-US"/>
    </w:rPr>
  </w:style>
  <w:style w:type="character" w:styleId="PlaceholderText">
    <w:name w:val="Placeholder Text"/>
    <w:basedOn w:val="DefaultParagraphFont"/>
    <w:uiPriority w:val="99"/>
    <w:semiHidden/>
    <w:rsid w:val="00D069A2"/>
    <w:rPr>
      <w:color w:val="666666"/>
    </w:rPr>
  </w:style>
  <w:style w:type="character" w:styleId="CommentReference">
    <w:name w:val="annotation reference"/>
    <w:basedOn w:val="DefaultParagraphFont"/>
    <w:uiPriority w:val="99"/>
    <w:semiHidden/>
    <w:unhideWhenUsed/>
    <w:rsid w:val="00D069A2"/>
    <w:rPr>
      <w:sz w:val="16"/>
      <w:szCs w:val="16"/>
    </w:rPr>
  </w:style>
  <w:style w:type="paragraph" w:styleId="CommentText">
    <w:name w:val="annotation text"/>
    <w:basedOn w:val="Normal"/>
    <w:link w:val="CommentTextChar"/>
    <w:uiPriority w:val="99"/>
    <w:semiHidden/>
    <w:unhideWhenUsed/>
    <w:rsid w:val="00D069A2"/>
    <w:pPr>
      <w:spacing w:line="240" w:lineRule="auto"/>
    </w:pPr>
    <w:rPr>
      <w:sz w:val="20"/>
      <w:szCs w:val="20"/>
    </w:rPr>
  </w:style>
  <w:style w:type="character" w:customStyle="1" w:styleId="CommentTextChar">
    <w:name w:val="Comment Text Char"/>
    <w:basedOn w:val="DefaultParagraphFont"/>
    <w:link w:val="CommentText"/>
    <w:uiPriority w:val="99"/>
    <w:semiHidden/>
    <w:rsid w:val="00D069A2"/>
    <w:rPr>
      <w:rFonts w:asciiTheme="minorHAnsi" w:eastAsiaTheme="minorHAnsi" w:hAnsiTheme="minorHAnsi" w:cstheme="minorBidi"/>
      <w:kern w:val="2"/>
      <w:sz w:val="20"/>
      <w:szCs w:val="20"/>
      <w:lang w:val="en-US"/>
      <w14:ligatures w14:val="standardContextual"/>
    </w:rPr>
  </w:style>
  <w:style w:type="paragraph" w:styleId="CommentSubject">
    <w:name w:val="annotation subject"/>
    <w:basedOn w:val="CommentText"/>
    <w:next w:val="CommentText"/>
    <w:link w:val="CommentSubjectChar"/>
    <w:uiPriority w:val="99"/>
    <w:semiHidden/>
    <w:unhideWhenUsed/>
    <w:rsid w:val="00D069A2"/>
    <w:rPr>
      <w:b/>
      <w:bCs/>
    </w:rPr>
  </w:style>
  <w:style w:type="character" w:customStyle="1" w:styleId="CommentSubjectChar">
    <w:name w:val="Comment Subject Char"/>
    <w:basedOn w:val="CommentTextChar"/>
    <w:link w:val="CommentSubject"/>
    <w:uiPriority w:val="99"/>
    <w:semiHidden/>
    <w:rsid w:val="00D069A2"/>
    <w:rPr>
      <w:rFonts w:asciiTheme="minorHAnsi" w:eastAsiaTheme="minorHAnsi" w:hAnsiTheme="minorHAnsi" w:cstheme="minorBidi"/>
      <w:b/>
      <w:bCs/>
      <w:kern w:val="2"/>
      <w:sz w:val="20"/>
      <w:szCs w:val="20"/>
      <w:lang w:val="en-US"/>
      <w14:ligatures w14:val="standardContextual"/>
    </w:rPr>
  </w:style>
  <w:style w:type="character" w:customStyle="1" w:styleId="IC-Icon-Packt">
    <w:name w:val="IC - Icon-Packt"/>
    <w:basedOn w:val="CS-Italic"/>
    <w:uiPriority w:val="1"/>
    <w:qFormat/>
    <w:rsid w:val="00D069A2"/>
    <w:rPr>
      <w:i w:val="0"/>
      <w:color w:val="000000" w:themeColor="text1"/>
    </w:rPr>
  </w:style>
  <w:style w:type="paragraph" w:customStyle="1" w:styleId="I1-InfoBox">
    <w:name w:val="I1 - InfoBox"/>
    <w:basedOn w:val="I0-InfoBox"/>
    <w:qFormat/>
    <w:rsid w:val="00D069A2"/>
    <w:pPr>
      <w:ind w:left="454"/>
    </w:pPr>
  </w:style>
  <w:style w:type="paragraph" w:customStyle="1" w:styleId="I1-InfoBoxBullet">
    <w:name w:val="I1 - InfoBoxBullet"/>
    <w:basedOn w:val="I0-InfoBoxBullet"/>
    <w:qFormat/>
    <w:rsid w:val="00D069A2"/>
    <w:pPr>
      <w:ind w:left="811" w:hanging="357"/>
    </w:pPr>
  </w:style>
  <w:style w:type="paragraph" w:customStyle="1" w:styleId="I1-InfoBoxCaption">
    <w:name w:val="I1 - InfoBoxCaption"/>
    <w:basedOn w:val="I0-InfoBoxCaption"/>
    <w:qFormat/>
    <w:rsid w:val="00D069A2"/>
    <w:pPr>
      <w:ind w:left="454"/>
    </w:pPr>
  </w:style>
  <w:style w:type="paragraph" w:customStyle="1" w:styleId="I1-InfoBoxCenter">
    <w:name w:val="I1 - InfoBoxCenter"/>
    <w:basedOn w:val="I0-InfoBoxCenter"/>
    <w:qFormat/>
    <w:rsid w:val="00D069A2"/>
    <w:pPr>
      <w:ind w:left="454"/>
    </w:pPr>
  </w:style>
  <w:style w:type="paragraph" w:customStyle="1" w:styleId="I1-InfoBoxCode">
    <w:name w:val="I1 - InfoBoxCode"/>
    <w:basedOn w:val="I0-InfoBoxCode"/>
    <w:qFormat/>
    <w:rsid w:val="00D069A2"/>
    <w:pPr>
      <w:ind w:left="454"/>
    </w:pPr>
  </w:style>
  <w:style w:type="paragraph" w:customStyle="1" w:styleId="I1-InfoBoxConsole">
    <w:name w:val="I1 - InfoBoxConsole"/>
    <w:basedOn w:val="I0-InfoBoxConsole"/>
    <w:qFormat/>
    <w:rsid w:val="00D069A2"/>
    <w:pPr>
      <w:ind w:left="454"/>
    </w:pPr>
  </w:style>
  <w:style w:type="paragraph" w:customStyle="1" w:styleId="I1-InfoBoxFigure">
    <w:name w:val="I1 - InfoBoxFigure"/>
    <w:basedOn w:val="I0-InfoBoxFigure"/>
    <w:qFormat/>
    <w:rsid w:val="00D069A2"/>
    <w:pPr>
      <w:ind w:left="454"/>
    </w:pPr>
  </w:style>
  <w:style w:type="paragraph" w:customStyle="1" w:styleId="I1-InfoBoxNumberedList">
    <w:name w:val="I1 - InfoBoxNumberedList"/>
    <w:basedOn w:val="I0-InfoBoxNumberedList"/>
    <w:qFormat/>
    <w:rsid w:val="00D069A2"/>
    <w:pPr>
      <w:ind w:left="811" w:hanging="357"/>
    </w:pPr>
  </w:style>
  <w:style w:type="paragraph" w:customStyle="1" w:styleId="I2-InfoBox">
    <w:name w:val="I2 - InfoBox"/>
    <w:basedOn w:val="I1-InfoBox"/>
    <w:qFormat/>
    <w:rsid w:val="00D069A2"/>
    <w:pPr>
      <w:ind w:left="794"/>
    </w:pPr>
  </w:style>
  <w:style w:type="paragraph" w:customStyle="1" w:styleId="I2-InfoBoxBullet">
    <w:name w:val="I2 - InfoBoxBullet"/>
    <w:basedOn w:val="I1-InfoBoxBullet"/>
    <w:qFormat/>
    <w:rsid w:val="00D069A2"/>
    <w:pPr>
      <w:ind w:left="1151"/>
    </w:pPr>
  </w:style>
  <w:style w:type="paragraph" w:customStyle="1" w:styleId="I2-InfoBoxCaption">
    <w:name w:val="I2 - InfoBoxCaption"/>
    <w:basedOn w:val="I1-InfoBoxCaption"/>
    <w:qFormat/>
    <w:rsid w:val="00D069A2"/>
    <w:pPr>
      <w:ind w:left="794"/>
    </w:pPr>
  </w:style>
  <w:style w:type="paragraph" w:customStyle="1" w:styleId="I2-InfoBoxCenter">
    <w:name w:val="I2 - InfoBoxCenter"/>
    <w:basedOn w:val="I1-InfoBoxCenter"/>
    <w:qFormat/>
    <w:rsid w:val="00D069A2"/>
    <w:pPr>
      <w:ind w:left="794"/>
    </w:pPr>
  </w:style>
  <w:style w:type="paragraph" w:customStyle="1" w:styleId="I2-InfoBoxCode">
    <w:name w:val="I2 - InfoBoxCode"/>
    <w:basedOn w:val="I1-InfoBoxCode"/>
    <w:qFormat/>
    <w:rsid w:val="00D069A2"/>
    <w:pPr>
      <w:ind w:left="794"/>
    </w:pPr>
  </w:style>
  <w:style w:type="paragraph" w:customStyle="1" w:styleId="I2-InfoBoxConsole">
    <w:name w:val="I2 - InfoBoxConsole"/>
    <w:basedOn w:val="I1-InfoBoxConsole"/>
    <w:qFormat/>
    <w:rsid w:val="00D069A2"/>
    <w:pPr>
      <w:ind w:left="794"/>
    </w:pPr>
  </w:style>
  <w:style w:type="paragraph" w:customStyle="1" w:styleId="I2-InfoBoxFigure">
    <w:name w:val="I2 - InfoBoxFigure"/>
    <w:basedOn w:val="I1-InfoBoxFigure"/>
    <w:qFormat/>
    <w:rsid w:val="00D069A2"/>
    <w:pPr>
      <w:ind w:left="794"/>
    </w:pPr>
  </w:style>
  <w:style w:type="paragraph" w:customStyle="1" w:styleId="I2-InfoBoxNumberedList">
    <w:name w:val="I2 - InfoBoxNumberedList"/>
    <w:basedOn w:val="I1-InfoBoxNumberedList"/>
    <w:qFormat/>
    <w:rsid w:val="00D069A2"/>
    <w:pPr>
      <w:ind w:left="1151"/>
    </w:pPr>
  </w:style>
  <w:style w:type="paragraph" w:customStyle="1" w:styleId="T1-TipBox">
    <w:name w:val="T1 - TipBox"/>
    <w:basedOn w:val="T0-TipBox"/>
    <w:qFormat/>
    <w:rsid w:val="00D069A2"/>
    <w:pPr>
      <w:ind w:left="454"/>
    </w:pPr>
  </w:style>
  <w:style w:type="paragraph" w:customStyle="1" w:styleId="T1-TipBoxBullet">
    <w:name w:val="T1 - TipBoxBullet"/>
    <w:basedOn w:val="T0-TipBoxBullet"/>
    <w:qFormat/>
    <w:rsid w:val="00D069A2"/>
    <w:pPr>
      <w:ind w:left="811" w:hanging="357"/>
    </w:pPr>
  </w:style>
  <w:style w:type="paragraph" w:customStyle="1" w:styleId="T1-TipBoxCaption">
    <w:name w:val="T1 - TipBoxCaption"/>
    <w:basedOn w:val="T0-TipBoxCaption"/>
    <w:qFormat/>
    <w:rsid w:val="00D069A2"/>
    <w:pPr>
      <w:ind w:left="454"/>
    </w:pPr>
  </w:style>
  <w:style w:type="paragraph" w:customStyle="1" w:styleId="T1-TipBoxCenter">
    <w:name w:val="T1 - TipBoxCenter"/>
    <w:basedOn w:val="T0-TipBoxCenter"/>
    <w:qFormat/>
    <w:rsid w:val="00D069A2"/>
    <w:pPr>
      <w:ind w:left="454"/>
    </w:pPr>
  </w:style>
  <w:style w:type="paragraph" w:customStyle="1" w:styleId="T1-TipBoxCode">
    <w:name w:val="T1 - TipBoxCode"/>
    <w:basedOn w:val="T0-TipBoxCode"/>
    <w:qFormat/>
    <w:rsid w:val="00D069A2"/>
    <w:pPr>
      <w:ind w:left="454"/>
    </w:pPr>
  </w:style>
  <w:style w:type="paragraph" w:customStyle="1" w:styleId="T1-TipBoxConsole">
    <w:name w:val="T1 - TipBoxConsole"/>
    <w:basedOn w:val="T0-TipBoxConsole"/>
    <w:qFormat/>
    <w:rsid w:val="00D069A2"/>
    <w:pPr>
      <w:ind w:left="454"/>
    </w:pPr>
  </w:style>
  <w:style w:type="paragraph" w:customStyle="1" w:styleId="T1-TipBoxFigure">
    <w:name w:val="T1 - TipBoxFigure"/>
    <w:basedOn w:val="T0-TipBoxFigure"/>
    <w:qFormat/>
    <w:rsid w:val="00D069A2"/>
    <w:pPr>
      <w:ind w:left="454"/>
    </w:pPr>
  </w:style>
  <w:style w:type="paragraph" w:customStyle="1" w:styleId="T1-TipBoxNumberedList">
    <w:name w:val="T1 - TipBoxNumberedList"/>
    <w:basedOn w:val="T0-TipBoxNumberedList"/>
    <w:qFormat/>
    <w:rsid w:val="00D069A2"/>
  </w:style>
  <w:style w:type="paragraph" w:customStyle="1" w:styleId="T2-TipBox">
    <w:name w:val="T2 - TipBox"/>
    <w:basedOn w:val="T1-TipBox"/>
    <w:qFormat/>
    <w:rsid w:val="00D069A2"/>
    <w:pPr>
      <w:ind w:left="794"/>
    </w:pPr>
  </w:style>
  <w:style w:type="paragraph" w:customStyle="1" w:styleId="T2-TipBoxBullet">
    <w:name w:val="T2 - TipBoxBullet"/>
    <w:basedOn w:val="T1-TipBoxBullet"/>
    <w:qFormat/>
    <w:rsid w:val="00D069A2"/>
    <w:pPr>
      <w:ind w:left="1151"/>
    </w:pPr>
  </w:style>
  <w:style w:type="paragraph" w:customStyle="1" w:styleId="T2-TipBoxCaption">
    <w:name w:val="T2 - TipBoxCaption"/>
    <w:basedOn w:val="T1-TipBoxCaption"/>
    <w:qFormat/>
    <w:rsid w:val="00D069A2"/>
    <w:pPr>
      <w:ind w:left="794"/>
    </w:pPr>
  </w:style>
  <w:style w:type="paragraph" w:customStyle="1" w:styleId="T2-TipBoxCenter">
    <w:name w:val="T2 - TipBoxCenter"/>
    <w:basedOn w:val="T1-TipBoxCenter"/>
    <w:qFormat/>
    <w:rsid w:val="00D069A2"/>
    <w:pPr>
      <w:ind w:left="794"/>
    </w:pPr>
  </w:style>
  <w:style w:type="paragraph" w:customStyle="1" w:styleId="T2-TipBoxCode">
    <w:name w:val="T2 - TipBoxCode"/>
    <w:basedOn w:val="T1-TipBoxCode"/>
    <w:qFormat/>
    <w:rsid w:val="00D069A2"/>
    <w:pPr>
      <w:ind w:left="794"/>
    </w:pPr>
  </w:style>
  <w:style w:type="paragraph" w:customStyle="1" w:styleId="T2-TipBoxConsole">
    <w:name w:val="T2 - TipBoxConsole"/>
    <w:basedOn w:val="T1-TipBoxConsole"/>
    <w:qFormat/>
    <w:rsid w:val="00D069A2"/>
    <w:pPr>
      <w:ind w:left="794"/>
    </w:pPr>
  </w:style>
  <w:style w:type="paragraph" w:customStyle="1" w:styleId="T2-TipBoxFigure">
    <w:name w:val="T2 - TipBoxFigure"/>
    <w:basedOn w:val="T1-TipBoxFigure"/>
    <w:qFormat/>
    <w:rsid w:val="00D069A2"/>
    <w:pPr>
      <w:ind w:left="794"/>
    </w:pPr>
  </w:style>
  <w:style w:type="paragraph" w:customStyle="1" w:styleId="T2-TipBoxNumberedList">
    <w:name w:val="T2 - TipBoxNumberedList"/>
    <w:basedOn w:val="T1-TipBoxNumberedList"/>
    <w:qFormat/>
    <w:rsid w:val="00D069A2"/>
    <w:pPr>
      <w:ind w:left="1151" w:hanging="357"/>
    </w:pPr>
  </w:style>
  <w:style w:type="paragraph" w:customStyle="1" w:styleId="T1-Table">
    <w:name w:val="T1 - Table"/>
    <w:basedOn w:val="T0-Table"/>
    <w:qFormat/>
    <w:rsid w:val="00D069A2"/>
    <w:pPr>
      <w:ind w:left="454"/>
    </w:pPr>
  </w:style>
  <w:style w:type="paragraph" w:customStyle="1" w:styleId="T1-TableBullet">
    <w:name w:val="T1 - TableBullet"/>
    <w:basedOn w:val="T0-TableBullet"/>
    <w:qFormat/>
    <w:rsid w:val="00D069A2"/>
    <w:pPr>
      <w:ind w:left="476" w:right="74" w:hanging="357"/>
    </w:pPr>
  </w:style>
  <w:style w:type="paragraph" w:customStyle="1" w:styleId="T1-TableCaption">
    <w:name w:val="T1 - TableCaption"/>
    <w:basedOn w:val="T0-TableCaption"/>
    <w:qFormat/>
    <w:rsid w:val="00D069A2"/>
    <w:pPr>
      <w:ind w:left="454"/>
    </w:pPr>
  </w:style>
  <w:style w:type="paragraph" w:customStyle="1" w:styleId="T1-TableCenter">
    <w:name w:val="T1 - TableCenter"/>
    <w:basedOn w:val="T0-TableCenter"/>
    <w:qFormat/>
    <w:rsid w:val="00D069A2"/>
    <w:pPr>
      <w:ind w:left="454"/>
    </w:pPr>
  </w:style>
  <w:style w:type="paragraph" w:customStyle="1" w:styleId="T1-TableFigure">
    <w:name w:val="T1 - TableFigure"/>
    <w:basedOn w:val="T0-TableFigure"/>
    <w:qFormat/>
    <w:rsid w:val="00D069A2"/>
    <w:pPr>
      <w:ind w:left="454"/>
    </w:pPr>
  </w:style>
  <w:style w:type="paragraph" w:customStyle="1" w:styleId="T1-TableNumberedList">
    <w:name w:val="T1 - TableNumberedList"/>
    <w:basedOn w:val="T0-TableNumberedList"/>
    <w:qFormat/>
    <w:rsid w:val="00D069A2"/>
    <w:pPr>
      <w:ind w:left="1242" w:right="74" w:hanging="357"/>
    </w:pPr>
  </w:style>
  <w:style w:type="paragraph" w:customStyle="1" w:styleId="T1-TableCode">
    <w:name w:val="T1 - TableCode"/>
    <w:basedOn w:val="T0-TableCode"/>
    <w:qFormat/>
    <w:rsid w:val="00D069A2"/>
    <w:pPr>
      <w:ind w:left="278" w:right="232"/>
    </w:pPr>
  </w:style>
  <w:style w:type="paragraph" w:customStyle="1" w:styleId="T1-TableConsole">
    <w:name w:val="T1 - TableConsole"/>
    <w:basedOn w:val="T0-TableConsole"/>
    <w:qFormat/>
    <w:rsid w:val="00D069A2"/>
    <w:pPr>
      <w:ind w:left="278" w:right="232"/>
    </w:pPr>
  </w:style>
  <w:style w:type="paragraph" w:customStyle="1" w:styleId="T2-Table">
    <w:name w:val="T2 - Table"/>
    <w:basedOn w:val="T0-Table"/>
    <w:qFormat/>
    <w:rsid w:val="00D069A2"/>
    <w:pPr>
      <w:ind w:left="794"/>
    </w:pPr>
  </w:style>
  <w:style w:type="paragraph" w:customStyle="1" w:styleId="T2-TableBullet">
    <w:name w:val="T2 - TableBullet"/>
    <w:basedOn w:val="T0-TableBullet"/>
    <w:qFormat/>
    <w:rsid w:val="00D069A2"/>
    <w:pPr>
      <w:ind w:left="1225" w:right="74" w:hanging="357"/>
    </w:pPr>
  </w:style>
  <w:style w:type="paragraph" w:customStyle="1" w:styleId="T2-TableCaption">
    <w:name w:val="T2 - TableCaption"/>
    <w:basedOn w:val="T0-TableCaption"/>
    <w:qFormat/>
    <w:rsid w:val="00D069A2"/>
    <w:pPr>
      <w:ind w:left="794"/>
    </w:pPr>
  </w:style>
  <w:style w:type="paragraph" w:customStyle="1" w:styleId="T2-TableCenter">
    <w:name w:val="T2 - TableCenter"/>
    <w:basedOn w:val="T0-TableCenter"/>
    <w:qFormat/>
    <w:rsid w:val="00D069A2"/>
    <w:pPr>
      <w:ind w:left="794"/>
    </w:pPr>
  </w:style>
  <w:style w:type="paragraph" w:customStyle="1" w:styleId="T2-TableCode">
    <w:name w:val="T2 - TableCode"/>
    <w:basedOn w:val="T0-TableCode"/>
    <w:qFormat/>
    <w:rsid w:val="00D069A2"/>
    <w:pPr>
      <w:ind w:left="856" w:right="232"/>
    </w:pPr>
  </w:style>
  <w:style w:type="paragraph" w:customStyle="1" w:styleId="T2-TableConsole">
    <w:name w:val="T2 - TableConsole"/>
    <w:basedOn w:val="T0-TableConsole"/>
    <w:qFormat/>
    <w:rsid w:val="00D069A2"/>
    <w:pPr>
      <w:ind w:left="856" w:right="232"/>
    </w:pPr>
  </w:style>
  <w:style w:type="paragraph" w:customStyle="1" w:styleId="T2-TableFigure">
    <w:name w:val="T2 - TableFigure"/>
    <w:basedOn w:val="T0-TipBoxFigure"/>
    <w:qFormat/>
    <w:rsid w:val="00D069A2"/>
    <w:pPr>
      <w:ind w:left="794"/>
    </w:pPr>
  </w:style>
  <w:style w:type="paragraph" w:customStyle="1" w:styleId="T2-TableNumberedList">
    <w:name w:val="T2 - TableNumberedList"/>
    <w:basedOn w:val="T0-TableNumberedList"/>
    <w:qFormat/>
    <w:rsid w:val="00D069A2"/>
    <w:pPr>
      <w:ind w:left="2149" w:right="74" w:hanging="357"/>
    </w:pPr>
  </w:style>
  <w:style w:type="paragraph" w:customStyle="1" w:styleId="FM-Dedication">
    <w:name w:val="FM - Dedication"/>
    <w:basedOn w:val="FM-CopyrightText"/>
    <w:qFormat/>
    <w:rsid w:val="00D069A2"/>
    <w:pPr>
      <w:jc w:val="center"/>
    </w:pPr>
    <w:rPr>
      <w:i/>
    </w:rPr>
  </w:style>
  <w:style w:type="character" w:customStyle="1" w:styleId="CS-ColumnHeader">
    <w:name w:val="CS - ColumnHeader"/>
    <w:basedOn w:val="CS-Keyword"/>
    <w:uiPriority w:val="1"/>
    <w:qFormat/>
    <w:rsid w:val="00D069A2"/>
    <w:rPr>
      <w:b/>
    </w:rPr>
  </w:style>
  <w:style w:type="character" w:customStyle="1" w:styleId="CS-RowHeader">
    <w:name w:val="CS - RowHeader"/>
    <w:basedOn w:val="CS-ColumnHeader"/>
    <w:uiPriority w:val="1"/>
    <w:qFormat/>
    <w:rsid w:val="00D069A2"/>
    <w:rPr>
      <w:b/>
    </w:rPr>
  </w:style>
  <w:style w:type="paragraph" w:customStyle="1" w:styleId="Important0-ImportantBoxBullet">
    <w:name w:val="Important0 - ImportantBoxBullet"/>
    <w:basedOn w:val="I0-InfoBoxBullet"/>
    <w:link w:val="Important0-ImportantBoxBulletChar"/>
    <w:rsid w:val="00D069A2"/>
  </w:style>
  <w:style w:type="character" w:customStyle="1" w:styleId="P0-ParagraphChar">
    <w:name w:val="P0 - Paragraph Char"/>
    <w:basedOn w:val="DefaultParagraphFont"/>
    <w:link w:val="P0-Paragraph"/>
    <w:rsid w:val="00D069A2"/>
    <w:rPr>
      <w:rFonts w:ascii="Crimson Pro" w:eastAsia="Times New Roman" w:hAnsi="Crimson Pro" w:cs="Times New Roman"/>
      <w:sz w:val="21"/>
      <w:lang w:val="en-US"/>
    </w:rPr>
  </w:style>
  <w:style w:type="character" w:customStyle="1" w:styleId="Important0-ImportantBoxBulletChar">
    <w:name w:val="Important0 - ImportantBoxBullet Char"/>
    <w:basedOn w:val="P0-ParagraphChar"/>
    <w:link w:val="Important0-ImportantBoxBullet"/>
    <w:rsid w:val="00D069A2"/>
    <w:rPr>
      <w:rFonts w:ascii="Crimson Pro" w:eastAsia="Times New Roman" w:hAnsi="Crimson Pro" w:cs="Times New Roman"/>
      <w:sz w:val="20"/>
      <w:shd w:val="clear" w:color="auto" w:fill="FFFFFF"/>
      <w:lang w:val="en-US"/>
    </w:rPr>
  </w:style>
  <w:style w:type="paragraph" w:customStyle="1" w:styleId="Important0-ImportantBoxCenter">
    <w:name w:val="Important0 - ImportantBoxCenter"/>
    <w:basedOn w:val="I0-InfoBoxCenter"/>
    <w:link w:val="Important0-ImportantBoxCenterChar"/>
    <w:rsid w:val="00D069A2"/>
  </w:style>
  <w:style w:type="character" w:customStyle="1" w:styleId="Important0-ImportantBoxCenterChar">
    <w:name w:val="Important0 - ImportantBoxCenter Char"/>
    <w:basedOn w:val="P0-ParagraphChar"/>
    <w:link w:val="Important0-ImportantBoxCenter"/>
    <w:rsid w:val="00D069A2"/>
    <w:rPr>
      <w:rFonts w:ascii="Crimson Pro" w:eastAsia="Times New Roman" w:hAnsi="Crimson Pro" w:cs="Times New Roman"/>
      <w:sz w:val="20"/>
      <w:shd w:val="clear" w:color="auto" w:fill="FFFFFF"/>
      <w:lang w:val="en-US"/>
    </w:rPr>
  </w:style>
  <w:style w:type="paragraph" w:customStyle="1" w:styleId="Important0-ImportantBoxFigure">
    <w:name w:val="Important0 - ImportantBoxFigure"/>
    <w:basedOn w:val="I0-InfoBoxFigure"/>
    <w:link w:val="Important0-ImportantBoxFigureChar"/>
    <w:rsid w:val="00D069A2"/>
  </w:style>
  <w:style w:type="character" w:customStyle="1" w:styleId="Important0-ImportantBoxFigureChar">
    <w:name w:val="Important0 - ImportantBoxFigure Char"/>
    <w:basedOn w:val="P0-ParagraphChar"/>
    <w:link w:val="Important0-ImportantBoxFigure"/>
    <w:rsid w:val="00D069A2"/>
    <w:rPr>
      <w:rFonts w:ascii="Crimson Pro" w:eastAsia="Times New Roman" w:hAnsi="Crimson Pro" w:cs="Times New Roman"/>
      <w:sz w:val="16"/>
      <w:shd w:val="clear" w:color="auto" w:fill="FFFFFF"/>
      <w:lang w:val="en-US"/>
    </w:rPr>
  </w:style>
  <w:style w:type="paragraph" w:customStyle="1" w:styleId="Important0-ImportantBoxCaption">
    <w:name w:val="Important0 - ImportantBoxCaption"/>
    <w:basedOn w:val="I0-InfoBoxCaption"/>
    <w:link w:val="Important0-ImportantBoxCaptionChar"/>
    <w:rsid w:val="00D069A2"/>
  </w:style>
  <w:style w:type="character" w:customStyle="1" w:styleId="Important0-ImportantBoxCaptionChar">
    <w:name w:val="Important0 - ImportantBoxCaption Char"/>
    <w:basedOn w:val="P0-ParagraphChar"/>
    <w:link w:val="Important0-ImportantBoxCaption"/>
    <w:rsid w:val="00D069A2"/>
    <w:rPr>
      <w:rFonts w:ascii="Crimson Pro" w:eastAsia="Times New Roman" w:hAnsi="Crimson Pro" w:cs="Times New Roman"/>
      <w:sz w:val="16"/>
      <w:shd w:val="clear" w:color="auto" w:fill="FFFFFF"/>
      <w:lang w:val="en-US"/>
    </w:rPr>
  </w:style>
  <w:style w:type="paragraph" w:customStyle="1" w:styleId="Important0-ImportantBox">
    <w:name w:val="Important0 - ImportantBox"/>
    <w:basedOn w:val="I0-InfoBox"/>
    <w:link w:val="Important0-ImportantBoxChar"/>
    <w:rsid w:val="00D069A2"/>
  </w:style>
  <w:style w:type="character" w:customStyle="1" w:styleId="Important0-ImportantBoxChar">
    <w:name w:val="Important0 - ImportantBox Char"/>
    <w:basedOn w:val="P0-ParagraphChar"/>
    <w:link w:val="Important0-ImportantBox"/>
    <w:rsid w:val="00D069A2"/>
    <w:rPr>
      <w:rFonts w:ascii="Crimson Pro" w:eastAsia="Times New Roman" w:hAnsi="Crimson Pro" w:cs="Times New Roman"/>
      <w:sz w:val="20"/>
      <w:shd w:val="clear" w:color="auto" w:fill="FFFFFF"/>
      <w:lang w:val="en-US"/>
    </w:rPr>
  </w:style>
  <w:style w:type="paragraph" w:customStyle="1" w:styleId="Important0-ImportantBoxNumberedList">
    <w:name w:val="Important0 - ImportantBoxNumberedList"/>
    <w:basedOn w:val="I0-InfoBoxNumberedList"/>
    <w:link w:val="Important0-ImportantBoxNumberedListChar"/>
    <w:rsid w:val="00D069A2"/>
  </w:style>
  <w:style w:type="character" w:customStyle="1" w:styleId="Important0-ImportantBoxNumberedListChar">
    <w:name w:val="Important0 - ImportantBoxNumberedList Char"/>
    <w:basedOn w:val="P0-ParagraphChar"/>
    <w:link w:val="Important0-ImportantBoxNumberedList"/>
    <w:rsid w:val="00D069A2"/>
    <w:rPr>
      <w:rFonts w:ascii="Crimson Pro" w:eastAsia="Times New Roman" w:hAnsi="Crimson Pro" w:cs="Times New Roman"/>
      <w:sz w:val="20"/>
      <w:shd w:val="clear" w:color="auto" w:fill="FFFFFF"/>
      <w:lang w:val="en-US"/>
    </w:rPr>
  </w:style>
  <w:style w:type="paragraph" w:customStyle="1" w:styleId="Important0-ImportantBoxCode">
    <w:name w:val="Important0 - ImportantBoxCode"/>
    <w:basedOn w:val="I0-InfoBoxCode"/>
    <w:link w:val="Important0-ImportantBoxCodeChar"/>
    <w:rsid w:val="00D069A2"/>
  </w:style>
  <w:style w:type="character" w:customStyle="1" w:styleId="Important0-ImportantBoxCodeChar">
    <w:name w:val="Important0 - ImportantBoxCode Char"/>
    <w:basedOn w:val="P0-ParagraphChar"/>
    <w:link w:val="Important0-ImportantBoxCode"/>
    <w:rsid w:val="00D069A2"/>
    <w:rPr>
      <w:rFonts w:ascii="Consolas" w:eastAsia="Times New Roman" w:hAnsi="Consolas" w:cs="Times New Roman"/>
      <w:color w:val="383A42"/>
      <w:sz w:val="18"/>
      <w:shd w:val="clear" w:color="auto" w:fill="FAFAFA"/>
      <w:lang w:val="en-US"/>
    </w:rPr>
  </w:style>
  <w:style w:type="paragraph" w:customStyle="1" w:styleId="Important0-ImportantBoxConsole">
    <w:name w:val="Important0 - ImportantBoxConsole"/>
    <w:basedOn w:val="I0-InfoBoxConsole"/>
    <w:link w:val="Important0-ImportantBoxConsoleChar"/>
    <w:rsid w:val="00D069A2"/>
  </w:style>
  <w:style w:type="character" w:customStyle="1" w:styleId="Important0-ImportantBoxConsoleChar">
    <w:name w:val="Important0 - ImportantBoxConsole Char"/>
    <w:basedOn w:val="P0-ParagraphChar"/>
    <w:link w:val="Important0-ImportantBoxConsole"/>
    <w:rsid w:val="00D069A2"/>
    <w:rPr>
      <w:rFonts w:ascii="Consolas" w:eastAsia="Times New Roman" w:hAnsi="Consolas" w:cs="Times New Roman"/>
      <w:color w:val="F8F8F2"/>
      <w:sz w:val="18"/>
      <w:shd w:val="clear" w:color="auto" w:fill="282A36"/>
      <w:lang w:val="en-US"/>
    </w:rPr>
  </w:style>
  <w:style w:type="paragraph" w:customStyle="1" w:styleId="Important1-ImportantBoxBullet">
    <w:name w:val="Important1 - ImportantBoxBullet"/>
    <w:basedOn w:val="I1-InfoBoxBullet"/>
    <w:link w:val="Important1-ImportantBoxBulletChar"/>
    <w:rsid w:val="00D069A2"/>
  </w:style>
  <w:style w:type="character" w:customStyle="1" w:styleId="Important1-ImportantBoxBulletChar">
    <w:name w:val="Important1 - ImportantBoxBullet Char"/>
    <w:basedOn w:val="P0-ParagraphChar"/>
    <w:link w:val="Important1-ImportantBoxBullet"/>
    <w:rsid w:val="00D069A2"/>
    <w:rPr>
      <w:rFonts w:ascii="Crimson Pro" w:eastAsia="Times New Roman" w:hAnsi="Crimson Pro" w:cs="Times New Roman"/>
      <w:sz w:val="20"/>
      <w:shd w:val="clear" w:color="auto" w:fill="FFFFFF"/>
      <w:lang w:val="en-US"/>
    </w:rPr>
  </w:style>
  <w:style w:type="paragraph" w:customStyle="1" w:styleId="Important1-ImportantBoxCenter">
    <w:name w:val="Important1 - ImportantBoxCenter"/>
    <w:basedOn w:val="I1-InfoBoxCenter"/>
    <w:link w:val="Important1-ImportantBoxCenterChar"/>
    <w:rsid w:val="00D069A2"/>
  </w:style>
  <w:style w:type="character" w:customStyle="1" w:styleId="Important1-ImportantBoxCenterChar">
    <w:name w:val="Important1 - ImportantBoxCenter Char"/>
    <w:basedOn w:val="P0-ParagraphChar"/>
    <w:link w:val="Important1-ImportantBoxCenter"/>
    <w:rsid w:val="00D069A2"/>
    <w:rPr>
      <w:rFonts w:ascii="Crimson Pro" w:eastAsia="Times New Roman" w:hAnsi="Crimson Pro" w:cs="Times New Roman"/>
      <w:sz w:val="20"/>
      <w:shd w:val="clear" w:color="auto" w:fill="FFFFFF"/>
      <w:lang w:val="en-US"/>
    </w:rPr>
  </w:style>
  <w:style w:type="paragraph" w:customStyle="1" w:styleId="Important1-ImportantBoxFigure">
    <w:name w:val="Important1 - ImportantBoxFigure"/>
    <w:basedOn w:val="I1-InfoBoxFigure"/>
    <w:link w:val="Important1-ImportantBoxFigureChar"/>
    <w:rsid w:val="00D069A2"/>
  </w:style>
  <w:style w:type="character" w:customStyle="1" w:styleId="Important1-ImportantBoxFigureChar">
    <w:name w:val="Important1 - ImportantBoxFigure Char"/>
    <w:basedOn w:val="P0-ParagraphChar"/>
    <w:link w:val="Important1-ImportantBoxFigure"/>
    <w:rsid w:val="00D069A2"/>
    <w:rPr>
      <w:rFonts w:ascii="Crimson Pro" w:eastAsia="Times New Roman" w:hAnsi="Crimson Pro" w:cs="Times New Roman"/>
      <w:sz w:val="16"/>
      <w:shd w:val="clear" w:color="auto" w:fill="FFFFFF"/>
      <w:lang w:val="en-US"/>
    </w:rPr>
  </w:style>
  <w:style w:type="paragraph" w:customStyle="1" w:styleId="Important1-ImportantBoxCaption">
    <w:name w:val="Important1 - ImportantBoxCaption"/>
    <w:basedOn w:val="I1-InfoBoxCaption"/>
    <w:link w:val="Important1-ImportantBoxCaptionChar"/>
    <w:rsid w:val="00D069A2"/>
  </w:style>
  <w:style w:type="character" w:customStyle="1" w:styleId="Important1-ImportantBoxCaptionChar">
    <w:name w:val="Important1 - ImportantBoxCaption Char"/>
    <w:basedOn w:val="P0-ParagraphChar"/>
    <w:link w:val="Important1-ImportantBoxCaption"/>
    <w:rsid w:val="00D069A2"/>
    <w:rPr>
      <w:rFonts w:ascii="Crimson Pro" w:eastAsia="Times New Roman" w:hAnsi="Crimson Pro" w:cs="Times New Roman"/>
      <w:sz w:val="16"/>
      <w:shd w:val="clear" w:color="auto" w:fill="FFFFFF"/>
      <w:lang w:val="en-US"/>
    </w:rPr>
  </w:style>
  <w:style w:type="paragraph" w:customStyle="1" w:styleId="Important1-ImportantBox">
    <w:name w:val="Important1 - ImportantBox"/>
    <w:basedOn w:val="I1-InfoBox"/>
    <w:link w:val="Important1-ImportantBoxChar"/>
    <w:rsid w:val="00D069A2"/>
  </w:style>
  <w:style w:type="character" w:customStyle="1" w:styleId="Important1-ImportantBoxChar">
    <w:name w:val="Important1 - ImportantBox Char"/>
    <w:basedOn w:val="P0-ParagraphChar"/>
    <w:link w:val="Important1-ImportantBox"/>
    <w:rsid w:val="00D069A2"/>
    <w:rPr>
      <w:rFonts w:ascii="Crimson Pro" w:eastAsia="Times New Roman" w:hAnsi="Crimson Pro" w:cs="Times New Roman"/>
      <w:sz w:val="20"/>
      <w:shd w:val="clear" w:color="auto" w:fill="FFFFFF"/>
      <w:lang w:val="en-US"/>
    </w:rPr>
  </w:style>
  <w:style w:type="paragraph" w:customStyle="1" w:styleId="Important1-ImportantBoxNumberedList">
    <w:name w:val="Important1 - ImportantBoxNumberedList"/>
    <w:basedOn w:val="I1-InfoBoxNumberedList"/>
    <w:link w:val="Important1-ImportantBoxNumberedListChar"/>
    <w:rsid w:val="00D069A2"/>
  </w:style>
  <w:style w:type="character" w:customStyle="1" w:styleId="Important1-ImportantBoxNumberedListChar">
    <w:name w:val="Important1 - ImportantBoxNumberedList Char"/>
    <w:basedOn w:val="P0-ParagraphChar"/>
    <w:link w:val="Important1-ImportantBoxNumberedList"/>
    <w:rsid w:val="00D069A2"/>
    <w:rPr>
      <w:rFonts w:ascii="Crimson Pro" w:eastAsia="Times New Roman" w:hAnsi="Crimson Pro" w:cs="Times New Roman"/>
      <w:sz w:val="20"/>
      <w:shd w:val="clear" w:color="auto" w:fill="FFFFFF"/>
      <w:lang w:val="en-US"/>
    </w:rPr>
  </w:style>
  <w:style w:type="paragraph" w:customStyle="1" w:styleId="Important1-ImportantBoxCode">
    <w:name w:val="Important1 - ImportantBoxCode"/>
    <w:basedOn w:val="I1-InfoBoxCode"/>
    <w:link w:val="Important1-ImportantBoxCodeChar"/>
    <w:rsid w:val="00D069A2"/>
  </w:style>
  <w:style w:type="character" w:customStyle="1" w:styleId="Important1-ImportantBoxCodeChar">
    <w:name w:val="Important1 - ImportantBoxCode Char"/>
    <w:basedOn w:val="P0-ParagraphChar"/>
    <w:link w:val="Important1-ImportantBoxCode"/>
    <w:rsid w:val="00D069A2"/>
    <w:rPr>
      <w:rFonts w:ascii="Consolas" w:eastAsia="Times New Roman" w:hAnsi="Consolas" w:cs="Times New Roman"/>
      <w:color w:val="383A42"/>
      <w:sz w:val="18"/>
      <w:shd w:val="clear" w:color="auto" w:fill="FAFAFA"/>
      <w:lang w:val="en-US"/>
    </w:rPr>
  </w:style>
  <w:style w:type="paragraph" w:customStyle="1" w:styleId="Important1-ImportantBoxConsole">
    <w:name w:val="Important1 - ImportantBoxConsole"/>
    <w:basedOn w:val="I1-InfoBoxConsole"/>
    <w:link w:val="Important1-ImportantBoxConsoleChar"/>
    <w:rsid w:val="00D069A2"/>
  </w:style>
  <w:style w:type="character" w:customStyle="1" w:styleId="Important1-ImportantBoxConsoleChar">
    <w:name w:val="Important1 - ImportantBoxConsole Char"/>
    <w:basedOn w:val="P0-ParagraphChar"/>
    <w:link w:val="Important1-ImportantBoxConsole"/>
    <w:rsid w:val="00D069A2"/>
    <w:rPr>
      <w:rFonts w:ascii="Consolas" w:eastAsia="Times New Roman" w:hAnsi="Consolas" w:cs="Times New Roman"/>
      <w:color w:val="F8F8F2"/>
      <w:sz w:val="18"/>
      <w:shd w:val="clear" w:color="auto" w:fill="282A36"/>
      <w:lang w:val="en-US"/>
    </w:rPr>
  </w:style>
  <w:style w:type="paragraph" w:customStyle="1" w:styleId="Important2-ImportantBoxBullet">
    <w:name w:val="Important2 - ImportantBoxBullet"/>
    <w:basedOn w:val="I2-InfoBoxBullet"/>
    <w:link w:val="Important2-ImportantBoxBulletChar"/>
    <w:rsid w:val="00D069A2"/>
  </w:style>
  <w:style w:type="character" w:customStyle="1" w:styleId="Important2-ImportantBoxBulletChar">
    <w:name w:val="Important2 - ImportantBoxBullet Char"/>
    <w:basedOn w:val="P0-ParagraphChar"/>
    <w:link w:val="Important2-ImportantBoxBullet"/>
    <w:rsid w:val="00D069A2"/>
    <w:rPr>
      <w:rFonts w:ascii="Crimson Pro" w:eastAsia="Times New Roman" w:hAnsi="Crimson Pro" w:cs="Times New Roman"/>
      <w:sz w:val="20"/>
      <w:shd w:val="clear" w:color="auto" w:fill="FFFFFF"/>
      <w:lang w:val="en-US"/>
    </w:rPr>
  </w:style>
  <w:style w:type="paragraph" w:customStyle="1" w:styleId="Important2-ImportantBoxCenter">
    <w:name w:val="Important2 - ImportantBoxCenter"/>
    <w:basedOn w:val="I2-InfoBoxCenter"/>
    <w:link w:val="Important2-ImportantBoxCenterChar"/>
    <w:rsid w:val="00D069A2"/>
  </w:style>
  <w:style w:type="character" w:customStyle="1" w:styleId="Important2-ImportantBoxCenterChar">
    <w:name w:val="Important2 - ImportantBoxCenter Char"/>
    <w:basedOn w:val="P0-ParagraphChar"/>
    <w:link w:val="Important2-ImportantBoxCenter"/>
    <w:rsid w:val="00D069A2"/>
    <w:rPr>
      <w:rFonts w:ascii="Crimson Pro" w:eastAsia="Times New Roman" w:hAnsi="Crimson Pro" w:cs="Times New Roman"/>
      <w:sz w:val="20"/>
      <w:shd w:val="clear" w:color="auto" w:fill="FFFFFF"/>
      <w:lang w:val="en-US"/>
    </w:rPr>
  </w:style>
  <w:style w:type="paragraph" w:customStyle="1" w:styleId="Important2-ImportantBoxFigure">
    <w:name w:val="Important2 - ImportantBoxFigure"/>
    <w:basedOn w:val="I2-InfoBoxFigure"/>
    <w:link w:val="Important2-ImportantBoxFigureChar"/>
    <w:rsid w:val="00D069A2"/>
  </w:style>
  <w:style w:type="character" w:customStyle="1" w:styleId="Important2-ImportantBoxFigureChar">
    <w:name w:val="Important2 - ImportantBoxFigure Char"/>
    <w:basedOn w:val="P0-ParagraphChar"/>
    <w:link w:val="Important2-ImportantBoxFigure"/>
    <w:rsid w:val="00D069A2"/>
    <w:rPr>
      <w:rFonts w:ascii="Crimson Pro" w:eastAsia="Times New Roman" w:hAnsi="Crimson Pro" w:cs="Times New Roman"/>
      <w:sz w:val="16"/>
      <w:shd w:val="clear" w:color="auto" w:fill="FFFFFF"/>
      <w:lang w:val="en-US"/>
    </w:rPr>
  </w:style>
  <w:style w:type="paragraph" w:customStyle="1" w:styleId="Important2-ImportantBoxCaption">
    <w:name w:val="Important2 - ImportantBoxCaption"/>
    <w:basedOn w:val="I2-InfoBoxCaption"/>
    <w:link w:val="Important2-ImportantBoxCaptionChar"/>
    <w:rsid w:val="00D069A2"/>
  </w:style>
  <w:style w:type="character" w:customStyle="1" w:styleId="Important2-ImportantBoxCaptionChar">
    <w:name w:val="Important2 - ImportantBoxCaption Char"/>
    <w:basedOn w:val="P0-ParagraphChar"/>
    <w:link w:val="Important2-ImportantBoxCaption"/>
    <w:rsid w:val="00D069A2"/>
    <w:rPr>
      <w:rFonts w:ascii="Crimson Pro" w:eastAsia="Times New Roman" w:hAnsi="Crimson Pro" w:cs="Times New Roman"/>
      <w:sz w:val="16"/>
      <w:shd w:val="clear" w:color="auto" w:fill="FFFFFF"/>
      <w:lang w:val="en-US"/>
    </w:rPr>
  </w:style>
  <w:style w:type="paragraph" w:customStyle="1" w:styleId="Important2-ImportantBox">
    <w:name w:val="Important2 - ImportantBox"/>
    <w:basedOn w:val="I2-InfoBox"/>
    <w:link w:val="Important2-ImportantBoxChar"/>
    <w:rsid w:val="00D069A2"/>
  </w:style>
  <w:style w:type="character" w:customStyle="1" w:styleId="Important2-ImportantBoxChar">
    <w:name w:val="Important2 - ImportantBox Char"/>
    <w:basedOn w:val="P0-ParagraphChar"/>
    <w:link w:val="Important2-ImportantBox"/>
    <w:rsid w:val="00D069A2"/>
    <w:rPr>
      <w:rFonts w:ascii="Crimson Pro" w:eastAsia="Times New Roman" w:hAnsi="Crimson Pro" w:cs="Times New Roman"/>
      <w:sz w:val="20"/>
      <w:shd w:val="clear" w:color="auto" w:fill="FFFFFF"/>
      <w:lang w:val="en-US"/>
    </w:rPr>
  </w:style>
  <w:style w:type="paragraph" w:customStyle="1" w:styleId="Important2-ImportantBoxNumberedList">
    <w:name w:val="Important2 - ImportantBoxNumberedList"/>
    <w:basedOn w:val="I2-InfoBoxNumberedList"/>
    <w:link w:val="Important2-ImportantBoxNumberedListChar"/>
    <w:rsid w:val="00D069A2"/>
  </w:style>
  <w:style w:type="character" w:customStyle="1" w:styleId="Important2-ImportantBoxNumberedListChar">
    <w:name w:val="Important2 - ImportantBoxNumberedList Char"/>
    <w:basedOn w:val="P0-ParagraphChar"/>
    <w:link w:val="Important2-ImportantBoxNumberedList"/>
    <w:rsid w:val="00D069A2"/>
    <w:rPr>
      <w:rFonts w:ascii="Crimson Pro" w:eastAsia="Times New Roman" w:hAnsi="Crimson Pro" w:cs="Times New Roman"/>
      <w:sz w:val="20"/>
      <w:shd w:val="clear" w:color="auto" w:fill="FFFFFF"/>
      <w:lang w:val="en-US"/>
    </w:rPr>
  </w:style>
  <w:style w:type="paragraph" w:customStyle="1" w:styleId="Important2-ImportantBoxCode">
    <w:name w:val="Important2 - ImportantBoxCode"/>
    <w:basedOn w:val="I2-InfoBoxCode"/>
    <w:link w:val="Important2-ImportantBoxCodeChar"/>
    <w:rsid w:val="00D069A2"/>
  </w:style>
  <w:style w:type="character" w:customStyle="1" w:styleId="Important2-ImportantBoxCodeChar">
    <w:name w:val="Important2 - ImportantBoxCode Char"/>
    <w:basedOn w:val="P0-ParagraphChar"/>
    <w:link w:val="Important2-ImportantBoxCode"/>
    <w:rsid w:val="00D069A2"/>
    <w:rPr>
      <w:rFonts w:ascii="Consolas" w:eastAsia="Times New Roman" w:hAnsi="Consolas" w:cs="Times New Roman"/>
      <w:color w:val="383A42"/>
      <w:sz w:val="18"/>
      <w:shd w:val="clear" w:color="auto" w:fill="FAFAFA"/>
      <w:lang w:val="en-US"/>
    </w:rPr>
  </w:style>
  <w:style w:type="paragraph" w:customStyle="1" w:styleId="Important2-ImportantBoxConsole">
    <w:name w:val="Important2 - ImportantBoxConsole"/>
    <w:basedOn w:val="I2-InfoBoxConsole"/>
    <w:link w:val="Important2-ImportantBoxConsoleChar"/>
    <w:rsid w:val="00D069A2"/>
  </w:style>
  <w:style w:type="character" w:customStyle="1" w:styleId="Important2-ImportantBoxConsoleChar">
    <w:name w:val="Important2 - ImportantBoxConsole Char"/>
    <w:basedOn w:val="P0-ParagraphChar"/>
    <w:link w:val="Important2-ImportantBoxConsole"/>
    <w:rsid w:val="00D069A2"/>
    <w:rPr>
      <w:rFonts w:ascii="Consolas" w:eastAsia="Times New Roman" w:hAnsi="Consolas" w:cs="Times New Roman"/>
      <w:color w:val="F8F8F2"/>
      <w:sz w:val="18"/>
      <w:shd w:val="clear" w:color="auto" w:fill="282A36"/>
      <w:lang w:val="en-US"/>
    </w:rPr>
  </w:style>
  <w:style w:type="paragraph" w:customStyle="1" w:styleId="Caution0-CautionBoxBullet">
    <w:name w:val="Caution0 - CautionBoxBullet"/>
    <w:basedOn w:val="I0-InfoBoxBullet"/>
    <w:link w:val="Caution0-CautionBoxBulletChar"/>
    <w:rsid w:val="00D069A2"/>
  </w:style>
  <w:style w:type="character" w:customStyle="1" w:styleId="Caution0-CautionBoxBulletChar">
    <w:name w:val="Caution0 - CautionBoxBullet Char"/>
    <w:basedOn w:val="P0-ParagraphChar"/>
    <w:link w:val="Caution0-CautionBoxBullet"/>
    <w:rsid w:val="00D069A2"/>
    <w:rPr>
      <w:rFonts w:ascii="Crimson Pro" w:eastAsia="Times New Roman" w:hAnsi="Crimson Pro" w:cs="Times New Roman"/>
      <w:sz w:val="20"/>
      <w:shd w:val="clear" w:color="auto" w:fill="FFFFFF"/>
      <w:lang w:val="en-US"/>
    </w:rPr>
  </w:style>
  <w:style w:type="paragraph" w:customStyle="1" w:styleId="Caution0-CautionBoxCenter">
    <w:name w:val="Caution0 - CautionBoxCenter"/>
    <w:basedOn w:val="I0-InfoBoxCenter"/>
    <w:link w:val="Caution0-CautionBoxCenterChar"/>
    <w:rsid w:val="00D069A2"/>
  </w:style>
  <w:style w:type="character" w:customStyle="1" w:styleId="Caution0-CautionBoxCenterChar">
    <w:name w:val="Caution0 - CautionBoxCenter Char"/>
    <w:basedOn w:val="P0-ParagraphChar"/>
    <w:link w:val="Caution0-CautionBoxCenter"/>
    <w:rsid w:val="00D069A2"/>
    <w:rPr>
      <w:rFonts w:ascii="Crimson Pro" w:eastAsia="Times New Roman" w:hAnsi="Crimson Pro" w:cs="Times New Roman"/>
      <w:sz w:val="20"/>
      <w:shd w:val="clear" w:color="auto" w:fill="FFFFFF"/>
      <w:lang w:val="en-US"/>
    </w:rPr>
  </w:style>
  <w:style w:type="paragraph" w:customStyle="1" w:styleId="Caution0-CautionBoxFigure">
    <w:name w:val="Caution0 - CautionBoxFigure"/>
    <w:basedOn w:val="I0-InfoBoxFigure"/>
    <w:link w:val="Caution0-CautionBoxFigureChar"/>
    <w:rsid w:val="00D069A2"/>
  </w:style>
  <w:style w:type="character" w:customStyle="1" w:styleId="Caution0-CautionBoxFigureChar">
    <w:name w:val="Caution0 - CautionBoxFigure Char"/>
    <w:basedOn w:val="P0-ParagraphChar"/>
    <w:link w:val="Caution0-CautionBoxFigure"/>
    <w:rsid w:val="00D069A2"/>
    <w:rPr>
      <w:rFonts w:ascii="Crimson Pro" w:eastAsia="Times New Roman" w:hAnsi="Crimson Pro" w:cs="Times New Roman"/>
      <w:sz w:val="16"/>
      <w:shd w:val="clear" w:color="auto" w:fill="FFFFFF"/>
      <w:lang w:val="en-US"/>
    </w:rPr>
  </w:style>
  <w:style w:type="paragraph" w:customStyle="1" w:styleId="Caution0-CautionBoxCaption">
    <w:name w:val="Caution0 - CautionBoxCaption"/>
    <w:basedOn w:val="I0-InfoBoxCaption"/>
    <w:link w:val="Caution0-CautionBoxCaptionChar"/>
    <w:rsid w:val="00D069A2"/>
  </w:style>
  <w:style w:type="character" w:customStyle="1" w:styleId="Caution0-CautionBoxCaptionChar">
    <w:name w:val="Caution0 - CautionBoxCaption Char"/>
    <w:basedOn w:val="P0-ParagraphChar"/>
    <w:link w:val="Caution0-CautionBoxCaption"/>
    <w:rsid w:val="00D069A2"/>
    <w:rPr>
      <w:rFonts w:ascii="Crimson Pro" w:eastAsia="Times New Roman" w:hAnsi="Crimson Pro" w:cs="Times New Roman"/>
      <w:sz w:val="16"/>
      <w:shd w:val="clear" w:color="auto" w:fill="FFFFFF"/>
      <w:lang w:val="en-US"/>
    </w:rPr>
  </w:style>
  <w:style w:type="paragraph" w:customStyle="1" w:styleId="Caution0-CautionBox">
    <w:name w:val="Caution0 - CautionBox"/>
    <w:basedOn w:val="I0-InfoBox"/>
    <w:link w:val="Caution0-CautionBoxChar"/>
    <w:rsid w:val="00D069A2"/>
  </w:style>
  <w:style w:type="character" w:customStyle="1" w:styleId="Caution0-CautionBoxChar">
    <w:name w:val="Caution0 - CautionBox Char"/>
    <w:basedOn w:val="P0-ParagraphChar"/>
    <w:link w:val="Caution0-CautionBox"/>
    <w:rsid w:val="00D069A2"/>
    <w:rPr>
      <w:rFonts w:ascii="Crimson Pro" w:eastAsia="Times New Roman" w:hAnsi="Crimson Pro" w:cs="Times New Roman"/>
      <w:sz w:val="20"/>
      <w:shd w:val="clear" w:color="auto" w:fill="FFFFFF"/>
      <w:lang w:val="en-US"/>
    </w:rPr>
  </w:style>
  <w:style w:type="paragraph" w:customStyle="1" w:styleId="Caution0-CautionBoxNumberedList">
    <w:name w:val="Caution0 - CautionBoxNumberedList"/>
    <w:basedOn w:val="I0-InfoBoxNumberedList"/>
    <w:link w:val="Caution0-CautionBoxNumberedListChar"/>
    <w:rsid w:val="00D069A2"/>
  </w:style>
  <w:style w:type="character" w:customStyle="1" w:styleId="Caution0-CautionBoxNumberedListChar">
    <w:name w:val="Caution0 - CautionBoxNumberedList Char"/>
    <w:basedOn w:val="P0-ParagraphChar"/>
    <w:link w:val="Caution0-CautionBoxNumberedList"/>
    <w:rsid w:val="00D069A2"/>
    <w:rPr>
      <w:rFonts w:ascii="Crimson Pro" w:eastAsia="Times New Roman" w:hAnsi="Crimson Pro" w:cs="Times New Roman"/>
      <w:sz w:val="20"/>
      <w:shd w:val="clear" w:color="auto" w:fill="FFFFFF"/>
      <w:lang w:val="en-US"/>
    </w:rPr>
  </w:style>
  <w:style w:type="paragraph" w:customStyle="1" w:styleId="Caution0-CautionBoxCode">
    <w:name w:val="Caution0 - CautionBoxCode"/>
    <w:basedOn w:val="I0-InfoBoxCode"/>
    <w:link w:val="Caution0-CautionBoxCodeChar"/>
    <w:rsid w:val="00D069A2"/>
  </w:style>
  <w:style w:type="character" w:customStyle="1" w:styleId="Caution0-CautionBoxCodeChar">
    <w:name w:val="Caution0 - CautionBoxCode Char"/>
    <w:basedOn w:val="P0-ParagraphChar"/>
    <w:link w:val="Caution0-CautionBoxCode"/>
    <w:rsid w:val="00D069A2"/>
    <w:rPr>
      <w:rFonts w:ascii="Consolas" w:eastAsia="Times New Roman" w:hAnsi="Consolas" w:cs="Times New Roman"/>
      <w:color w:val="383A42"/>
      <w:sz w:val="18"/>
      <w:shd w:val="clear" w:color="auto" w:fill="FAFAFA"/>
      <w:lang w:val="en-US"/>
    </w:rPr>
  </w:style>
  <w:style w:type="paragraph" w:customStyle="1" w:styleId="Caution0-CautionBoxConsole">
    <w:name w:val="Caution0 - CautionBoxConsole"/>
    <w:basedOn w:val="I0-InfoBoxConsole"/>
    <w:link w:val="Caution0-CautionBoxConsoleChar"/>
    <w:rsid w:val="00D069A2"/>
  </w:style>
  <w:style w:type="character" w:customStyle="1" w:styleId="Caution0-CautionBoxConsoleChar">
    <w:name w:val="Caution0 - CautionBoxConsole Char"/>
    <w:basedOn w:val="P0-ParagraphChar"/>
    <w:link w:val="Caution0-CautionBoxConsole"/>
    <w:rsid w:val="00D069A2"/>
    <w:rPr>
      <w:rFonts w:ascii="Consolas" w:eastAsia="Times New Roman" w:hAnsi="Consolas" w:cs="Times New Roman"/>
      <w:color w:val="F8F8F2"/>
      <w:sz w:val="18"/>
      <w:shd w:val="clear" w:color="auto" w:fill="282A36"/>
      <w:lang w:val="en-US"/>
    </w:rPr>
  </w:style>
  <w:style w:type="paragraph" w:customStyle="1" w:styleId="Caution1-CautionBoxBullet">
    <w:name w:val="Caution1 - CautionBoxBullet"/>
    <w:basedOn w:val="I1-InfoBoxBullet"/>
    <w:link w:val="Caution1-CautionBoxBulletChar"/>
    <w:rsid w:val="00D069A2"/>
  </w:style>
  <w:style w:type="character" w:customStyle="1" w:styleId="Caution1-CautionBoxBulletChar">
    <w:name w:val="Caution1 - CautionBoxBullet Char"/>
    <w:basedOn w:val="P0-ParagraphChar"/>
    <w:link w:val="Caution1-CautionBoxBullet"/>
    <w:rsid w:val="00D069A2"/>
    <w:rPr>
      <w:rFonts w:ascii="Crimson Pro" w:eastAsia="Times New Roman" w:hAnsi="Crimson Pro" w:cs="Times New Roman"/>
      <w:sz w:val="20"/>
      <w:shd w:val="clear" w:color="auto" w:fill="FFFFFF"/>
      <w:lang w:val="en-US"/>
    </w:rPr>
  </w:style>
  <w:style w:type="paragraph" w:customStyle="1" w:styleId="Caution1-CautionBoxCenter">
    <w:name w:val="Caution1 - CautionBoxCenter"/>
    <w:basedOn w:val="I1-InfoBoxCenter"/>
    <w:link w:val="Caution1-CautionBoxCenterChar"/>
    <w:rsid w:val="00D069A2"/>
  </w:style>
  <w:style w:type="character" w:customStyle="1" w:styleId="Caution1-CautionBoxCenterChar">
    <w:name w:val="Caution1 - CautionBoxCenter Char"/>
    <w:basedOn w:val="P0-ParagraphChar"/>
    <w:link w:val="Caution1-CautionBoxCenter"/>
    <w:rsid w:val="00D069A2"/>
    <w:rPr>
      <w:rFonts w:ascii="Crimson Pro" w:eastAsia="Times New Roman" w:hAnsi="Crimson Pro" w:cs="Times New Roman"/>
      <w:sz w:val="20"/>
      <w:shd w:val="clear" w:color="auto" w:fill="FFFFFF"/>
      <w:lang w:val="en-US"/>
    </w:rPr>
  </w:style>
  <w:style w:type="paragraph" w:customStyle="1" w:styleId="Caution1-CautionBoxFigure">
    <w:name w:val="Caution1 - CautionBoxFigure"/>
    <w:basedOn w:val="I1-InfoBoxFigure"/>
    <w:link w:val="Caution1-CautionBoxFigureChar"/>
    <w:rsid w:val="00D069A2"/>
  </w:style>
  <w:style w:type="character" w:customStyle="1" w:styleId="Caution1-CautionBoxFigureChar">
    <w:name w:val="Caution1 - CautionBoxFigure Char"/>
    <w:basedOn w:val="P0-ParagraphChar"/>
    <w:link w:val="Caution1-CautionBoxFigure"/>
    <w:rsid w:val="00D069A2"/>
    <w:rPr>
      <w:rFonts w:ascii="Crimson Pro" w:eastAsia="Times New Roman" w:hAnsi="Crimson Pro" w:cs="Times New Roman"/>
      <w:sz w:val="16"/>
      <w:shd w:val="clear" w:color="auto" w:fill="FFFFFF"/>
      <w:lang w:val="en-US"/>
    </w:rPr>
  </w:style>
  <w:style w:type="paragraph" w:customStyle="1" w:styleId="Caution1-CautionBoxCaption">
    <w:name w:val="Caution1 - CautionBoxCaption"/>
    <w:basedOn w:val="I1-InfoBoxCaption"/>
    <w:link w:val="Caution1-CautionBoxCaptionChar"/>
    <w:rsid w:val="00D069A2"/>
  </w:style>
  <w:style w:type="character" w:customStyle="1" w:styleId="Caution1-CautionBoxCaptionChar">
    <w:name w:val="Caution1 - CautionBoxCaption Char"/>
    <w:basedOn w:val="P0-ParagraphChar"/>
    <w:link w:val="Caution1-CautionBoxCaption"/>
    <w:rsid w:val="00D069A2"/>
    <w:rPr>
      <w:rFonts w:ascii="Crimson Pro" w:eastAsia="Times New Roman" w:hAnsi="Crimson Pro" w:cs="Times New Roman"/>
      <w:sz w:val="16"/>
      <w:shd w:val="clear" w:color="auto" w:fill="FFFFFF"/>
      <w:lang w:val="en-US"/>
    </w:rPr>
  </w:style>
  <w:style w:type="paragraph" w:customStyle="1" w:styleId="Caution1-CautionBox">
    <w:name w:val="Caution1 - CautionBox"/>
    <w:basedOn w:val="I1-InfoBox"/>
    <w:link w:val="Caution1-CautionBoxChar"/>
    <w:rsid w:val="00D069A2"/>
  </w:style>
  <w:style w:type="character" w:customStyle="1" w:styleId="Caution1-CautionBoxChar">
    <w:name w:val="Caution1 - CautionBox Char"/>
    <w:basedOn w:val="P0-ParagraphChar"/>
    <w:link w:val="Caution1-CautionBox"/>
    <w:rsid w:val="00D069A2"/>
    <w:rPr>
      <w:rFonts w:ascii="Crimson Pro" w:eastAsia="Times New Roman" w:hAnsi="Crimson Pro" w:cs="Times New Roman"/>
      <w:sz w:val="20"/>
      <w:shd w:val="clear" w:color="auto" w:fill="FFFFFF"/>
      <w:lang w:val="en-US"/>
    </w:rPr>
  </w:style>
  <w:style w:type="paragraph" w:customStyle="1" w:styleId="Caution1-CautionBoxNumberedList">
    <w:name w:val="Caution1 - CautionBoxNumberedList"/>
    <w:basedOn w:val="I1-InfoBoxNumberedList"/>
    <w:link w:val="Caution1-CautionBoxNumberedListChar"/>
    <w:rsid w:val="00D069A2"/>
  </w:style>
  <w:style w:type="character" w:customStyle="1" w:styleId="Caution1-CautionBoxNumberedListChar">
    <w:name w:val="Caution1 - CautionBoxNumberedList Char"/>
    <w:basedOn w:val="P0-ParagraphChar"/>
    <w:link w:val="Caution1-CautionBoxNumberedList"/>
    <w:rsid w:val="00D069A2"/>
    <w:rPr>
      <w:rFonts w:ascii="Crimson Pro" w:eastAsia="Times New Roman" w:hAnsi="Crimson Pro" w:cs="Times New Roman"/>
      <w:sz w:val="20"/>
      <w:shd w:val="clear" w:color="auto" w:fill="FFFFFF"/>
      <w:lang w:val="en-US"/>
    </w:rPr>
  </w:style>
  <w:style w:type="paragraph" w:customStyle="1" w:styleId="Caution1-CautionBoxCode">
    <w:name w:val="Caution1 - CautionBoxCode"/>
    <w:basedOn w:val="I1-InfoBoxCode"/>
    <w:link w:val="Caution1-CautionBoxCodeChar"/>
    <w:rsid w:val="00D069A2"/>
  </w:style>
  <w:style w:type="character" w:customStyle="1" w:styleId="Caution1-CautionBoxCodeChar">
    <w:name w:val="Caution1 - CautionBoxCode Char"/>
    <w:basedOn w:val="P0-ParagraphChar"/>
    <w:link w:val="Caution1-CautionBoxCode"/>
    <w:rsid w:val="00D069A2"/>
    <w:rPr>
      <w:rFonts w:ascii="Consolas" w:eastAsia="Times New Roman" w:hAnsi="Consolas" w:cs="Times New Roman"/>
      <w:color w:val="383A42"/>
      <w:sz w:val="18"/>
      <w:shd w:val="clear" w:color="auto" w:fill="FAFAFA"/>
      <w:lang w:val="en-US"/>
    </w:rPr>
  </w:style>
  <w:style w:type="paragraph" w:customStyle="1" w:styleId="Caution1-CautionBoxConsole">
    <w:name w:val="Caution1 - CautionBoxConsole"/>
    <w:basedOn w:val="I1-InfoBoxConsole"/>
    <w:link w:val="Caution1-CautionBoxConsoleChar"/>
    <w:rsid w:val="00D069A2"/>
  </w:style>
  <w:style w:type="character" w:customStyle="1" w:styleId="Caution1-CautionBoxConsoleChar">
    <w:name w:val="Caution1 - CautionBoxConsole Char"/>
    <w:basedOn w:val="P0-ParagraphChar"/>
    <w:link w:val="Caution1-CautionBoxConsole"/>
    <w:rsid w:val="00D069A2"/>
    <w:rPr>
      <w:rFonts w:ascii="Consolas" w:eastAsia="Times New Roman" w:hAnsi="Consolas" w:cs="Times New Roman"/>
      <w:color w:val="F8F8F2"/>
      <w:sz w:val="18"/>
      <w:shd w:val="clear" w:color="auto" w:fill="282A36"/>
      <w:lang w:val="en-US"/>
    </w:rPr>
  </w:style>
  <w:style w:type="paragraph" w:customStyle="1" w:styleId="Caution2-CautionBoxBullet">
    <w:name w:val="Caution2 - CautionBoxBullet"/>
    <w:basedOn w:val="I2-InfoBoxBullet"/>
    <w:link w:val="Caution2-CautionBoxBulletChar"/>
    <w:rsid w:val="00D069A2"/>
  </w:style>
  <w:style w:type="character" w:customStyle="1" w:styleId="Caution2-CautionBoxBulletChar">
    <w:name w:val="Caution2 - CautionBoxBullet Char"/>
    <w:basedOn w:val="P0-ParagraphChar"/>
    <w:link w:val="Caution2-CautionBoxBullet"/>
    <w:rsid w:val="00D069A2"/>
    <w:rPr>
      <w:rFonts w:ascii="Crimson Pro" w:eastAsia="Times New Roman" w:hAnsi="Crimson Pro" w:cs="Times New Roman"/>
      <w:sz w:val="20"/>
      <w:shd w:val="clear" w:color="auto" w:fill="FFFFFF"/>
      <w:lang w:val="en-US"/>
    </w:rPr>
  </w:style>
  <w:style w:type="paragraph" w:customStyle="1" w:styleId="Caution2-CautionBoxCenter">
    <w:name w:val="Caution2 - CautionBoxCenter"/>
    <w:basedOn w:val="I2-InfoBoxCenter"/>
    <w:link w:val="Caution2-CautionBoxCenterChar"/>
    <w:rsid w:val="00D069A2"/>
  </w:style>
  <w:style w:type="character" w:customStyle="1" w:styleId="Caution2-CautionBoxCenterChar">
    <w:name w:val="Caution2 - CautionBoxCenter Char"/>
    <w:basedOn w:val="P0-ParagraphChar"/>
    <w:link w:val="Caution2-CautionBoxCenter"/>
    <w:rsid w:val="00D069A2"/>
    <w:rPr>
      <w:rFonts w:ascii="Crimson Pro" w:eastAsia="Times New Roman" w:hAnsi="Crimson Pro" w:cs="Times New Roman"/>
      <w:sz w:val="20"/>
      <w:shd w:val="clear" w:color="auto" w:fill="FFFFFF"/>
      <w:lang w:val="en-US"/>
    </w:rPr>
  </w:style>
  <w:style w:type="paragraph" w:customStyle="1" w:styleId="Caution2-CautionBoxFigure">
    <w:name w:val="Caution2 - CautionBoxFigure"/>
    <w:basedOn w:val="I2-InfoBoxFigure"/>
    <w:link w:val="Caution2-CautionBoxFigureChar"/>
    <w:rsid w:val="00D069A2"/>
  </w:style>
  <w:style w:type="character" w:customStyle="1" w:styleId="Caution2-CautionBoxFigureChar">
    <w:name w:val="Caution2 - CautionBoxFigure Char"/>
    <w:basedOn w:val="P0-ParagraphChar"/>
    <w:link w:val="Caution2-CautionBoxFigure"/>
    <w:rsid w:val="00D069A2"/>
    <w:rPr>
      <w:rFonts w:ascii="Crimson Pro" w:eastAsia="Times New Roman" w:hAnsi="Crimson Pro" w:cs="Times New Roman"/>
      <w:sz w:val="16"/>
      <w:shd w:val="clear" w:color="auto" w:fill="FFFFFF"/>
      <w:lang w:val="en-US"/>
    </w:rPr>
  </w:style>
  <w:style w:type="paragraph" w:customStyle="1" w:styleId="Caution2-CautionBoxCaption">
    <w:name w:val="Caution2 - CautionBoxCaption"/>
    <w:basedOn w:val="I2-InfoBoxCaption"/>
    <w:link w:val="Caution2-CautionBoxCaptionChar"/>
    <w:rsid w:val="00D069A2"/>
  </w:style>
  <w:style w:type="character" w:customStyle="1" w:styleId="Caution2-CautionBoxCaptionChar">
    <w:name w:val="Caution2 - CautionBoxCaption Char"/>
    <w:basedOn w:val="P0-ParagraphChar"/>
    <w:link w:val="Caution2-CautionBoxCaption"/>
    <w:rsid w:val="00D069A2"/>
    <w:rPr>
      <w:rFonts w:ascii="Crimson Pro" w:eastAsia="Times New Roman" w:hAnsi="Crimson Pro" w:cs="Times New Roman"/>
      <w:sz w:val="16"/>
      <w:shd w:val="clear" w:color="auto" w:fill="FFFFFF"/>
      <w:lang w:val="en-US"/>
    </w:rPr>
  </w:style>
  <w:style w:type="paragraph" w:customStyle="1" w:styleId="Caution2-CautionBox">
    <w:name w:val="Caution2 - CautionBox"/>
    <w:basedOn w:val="I2-InfoBox"/>
    <w:link w:val="Caution2-CautionBoxChar"/>
    <w:rsid w:val="00D069A2"/>
  </w:style>
  <w:style w:type="character" w:customStyle="1" w:styleId="Caution2-CautionBoxChar">
    <w:name w:val="Caution2 - CautionBox Char"/>
    <w:basedOn w:val="P0-ParagraphChar"/>
    <w:link w:val="Caution2-CautionBox"/>
    <w:rsid w:val="00D069A2"/>
    <w:rPr>
      <w:rFonts w:ascii="Crimson Pro" w:eastAsia="Times New Roman" w:hAnsi="Crimson Pro" w:cs="Times New Roman"/>
      <w:sz w:val="20"/>
      <w:shd w:val="clear" w:color="auto" w:fill="FFFFFF"/>
      <w:lang w:val="en-US"/>
    </w:rPr>
  </w:style>
  <w:style w:type="paragraph" w:customStyle="1" w:styleId="Caution2-CautionBoxNumberedList">
    <w:name w:val="Caution2 - CautionBoxNumberedList"/>
    <w:basedOn w:val="I2-InfoBoxNumberedList"/>
    <w:link w:val="Caution2-CautionBoxNumberedListChar"/>
    <w:rsid w:val="00D069A2"/>
  </w:style>
  <w:style w:type="character" w:customStyle="1" w:styleId="Caution2-CautionBoxNumberedListChar">
    <w:name w:val="Caution2 - CautionBoxNumberedList Char"/>
    <w:basedOn w:val="P0-ParagraphChar"/>
    <w:link w:val="Caution2-CautionBoxNumberedList"/>
    <w:rsid w:val="00D069A2"/>
    <w:rPr>
      <w:rFonts w:ascii="Crimson Pro" w:eastAsia="Times New Roman" w:hAnsi="Crimson Pro" w:cs="Times New Roman"/>
      <w:sz w:val="20"/>
      <w:shd w:val="clear" w:color="auto" w:fill="FFFFFF"/>
      <w:lang w:val="en-US"/>
    </w:rPr>
  </w:style>
  <w:style w:type="paragraph" w:customStyle="1" w:styleId="Caution2-CautionBoxCode">
    <w:name w:val="Caution2 - CautionBoxCode"/>
    <w:basedOn w:val="I2-InfoBoxCode"/>
    <w:link w:val="Caution2-CautionBoxCodeChar"/>
    <w:rsid w:val="00D069A2"/>
  </w:style>
  <w:style w:type="character" w:customStyle="1" w:styleId="Caution2-CautionBoxCodeChar">
    <w:name w:val="Caution2 - CautionBoxCode Char"/>
    <w:basedOn w:val="P0-ParagraphChar"/>
    <w:link w:val="Caution2-CautionBoxCode"/>
    <w:rsid w:val="00D069A2"/>
    <w:rPr>
      <w:rFonts w:ascii="Consolas" w:eastAsia="Times New Roman" w:hAnsi="Consolas" w:cs="Times New Roman"/>
      <w:color w:val="383A42"/>
      <w:sz w:val="18"/>
      <w:shd w:val="clear" w:color="auto" w:fill="FAFAFA"/>
      <w:lang w:val="en-US"/>
    </w:rPr>
  </w:style>
  <w:style w:type="paragraph" w:customStyle="1" w:styleId="Caution2-CautionBoxConsole">
    <w:name w:val="Caution2 - CautionBoxConsole"/>
    <w:basedOn w:val="I2-InfoBoxConsole"/>
    <w:link w:val="Caution2-CautionBoxConsoleChar"/>
    <w:rsid w:val="00D069A2"/>
  </w:style>
  <w:style w:type="character" w:customStyle="1" w:styleId="Caution2-CautionBoxConsoleChar">
    <w:name w:val="Caution2 - CautionBoxConsole Char"/>
    <w:basedOn w:val="P0-ParagraphChar"/>
    <w:link w:val="Caution2-CautionBoxConsole"/>
    <w:rsid w:val="00D069A2"/>
    <w:rPr>
      <w:rFonts w:ascii="Consolas" w:eastAsia="Times New Roman" w:hAnsi="Consolas" w:cs="Times New Roman"/>
      <w:color w:val="F8F8F2"/>
      <w:sz w:val="18"/>
      <w:shd w:val="clear" w:color="auto" w:fill="282A36"/>
      <w:lang w:val="en-US"/>
    </w:rPr>
  </w:style>
  <w:style w:type="paragraph" w:customStyle="1" w:styleId="AIHelper0-AIHelperBoxBullet">
    <w:name w:val="AI Helper0 - AIHelperBoxBullet"/>
    <w:basedOn w:val="I0-InfoBoxBullet"/>
    <w:link w:val="AIHelper0-AIHelperBoxBulletChar"/>
    <w:rsid w:val="00D069A2"/>
  </w:style>
  <w:style w:type="character" w:customStyle="1" w:styleId="AIHelper0-AIHelperBoxBulletChar">
    <w:name w:val="AI Helper0 - AIHelperBoxBullet Char"/>
    <w:basedOn w:val="P0-ParagraphChar"/>
    <w:link w:val="AIHelper0-AIHelperBoxBullet"/>
    <w:rsid w:val="00D069A2"/>
    <w:rPr>
      <w:rFonts w:ascii="Crimson Pro" w:eastAsia="Times New Roman" w:hAnsi="Crimson Pro" w:cs="Times New Roman"/>
      <w:sz w:val="20"/>
      <w:shd w:val="clear" w:color="auto" w:fill="FFFFFF"/>
      <w:lang w:val="en-US"/>
    </w:rPr>
  </w:style>
  <w:style w:type="paragraph" w:customStyle="1" w:styleId="AIHelper0-AIHelperBoxCenter">
    <w:name w:val="AI Helper0 - AIHelperBoxCenter"/>
    <w:basedOn w:val="I0-InfoBoxCenter"/>
    <w:link w:val="AIHelper0-AIHelperBoxCenterChar"/>
    <w:rsid w:val="00D069A2"/>
  </w:style>
  <w:style w:type="character" w:customStyle="1" w:styleId="AIHelper0-AIHelperBoxCenterChar">
    <w:name w:val="AI Helper0 - AIHelperBoxCenter Char"/>
    <w:basedOn w:val="P0-ParagraphChar"/>
    <w:link w:val="AIHelper0-AIHelperBoxCenter"/>
    <w:rsid w:val="00D069A2"/>
    <w:rPr>
      <w:rFonts w:ascii="Crimson Pro" w:eastAsia="Times New Roman" w:hAnsi="Crimson Pro" w:cs="Times New Roman"/>
      <w:sz w:val="20"/>
      <w:shd w:val="clear" w:color="auto" w:fill="FFFFFF"/>
      <w:lang w:val="en-US"/>
    </w:rPr>
  </w:style>
  <w:style w:type="paragraph" w:customStyle="1" w:styleId="AIHelper0-AIHelperBoxFigure">
    <w:name w:val="AI Helper0 - AIHelperBoxFigure"/>
    <w:basedOn w:val="I0-InfoBoxFigure"/>
    <w:link w:val="AIHelper0-AIHelperBoxFigureChar"/>
    <w:rsid w:val="00D069A2"/>
  </w:style>
  <w:style w:type="character" w:customStyle="1" w:styleId="AIHelper0-AIHelperBoxFigureChar">
    <w:name w:val="AI Helper0 - AIHelperBoxFigure Char"/>
    <w:basedOn w:val="P0-ParagraphChar"/>
    <w:link w:val="AIHelper0-AIHelperBoxFigure"/>
    <w:rsid w:val="00D069A2"/>
    <w:rPr>
      <w:rFonts w:ascii="Crimson Pro" w:eastAsia="Times New Roman" w:hAnsi="Crimson Pro" w:cs="Times New Roman"/>
      <w:sz w:val="16"/>
      <w:shd w:val="clear" w:color="auto" w:fill="FFFFFF"/>
      <w:lang w:val="en-US"/>
    </w:rPr>
  </w:style>
  <w:style w:type="paragraph" w:customStyle="1" w:styleId="AIHelper0-AIHelperBoxCaption">
    <w:name w:val="AI Helper0 - AIHelperBoxCaption"/>
    <w:basedOn w:val="I0-InfoBoxCaption"/>
    <w:link w:val="AIHelper0-AIHelperBoxCaptionChar"/>
    <w:rsid w:val="00D069A2"/>
  </w:style>
  <w:style w:type="character" w:customStyle="1" w:styleId="AIHelper0-AIHelperBoxCaptionChar">
    <w:name w:val="AI Helper0 - AIHelperBoxCaption Char"/>
    <w:basedOn w:val="P0-ParagraphChar"/>
    <w:link w:val="AIHelper0-AIHelperBoxCaption"/>
    <w:rsid w:val="00D069A2"/>
    <w:rPr>
      <w:rFonts w:ascii="Crimson Pro" w:eastAsia="Times New Roman" w:hAnsi="Crimson Pro" w:cs="Times New Roman"/>
      <w:sz w:val="16"/>
      <w:shd w:val="clear" w:color="auto" w:fill="FFFFFF"/>
      <w:lang w:val="en-US"/>
    </w:rPr>
  </w:style>
  <w:style w:type="paragraph" w:customStyle="1" w:styleId="AIHelper0-AIHelperBox">
    <w:name w:val="AI Helper0 - AIHelperBox"/>
    <w:basedOn w:val="I0-InfoBox"/>
    <w:link w:val="AIHelper0-AIHelperBoxChar"/>
    <w:rsid w:val="00D069A2"/>
  </w:style>
  <w:style w:type="character" w:customStyle="1" w:styleId="AIHelper0-AIHelperBoxChar">
    <w:name w:val="AI Helper0 - AIHelperBox Char"/>
    <w:basedOn w:val="P0-ParagraphChar"/>
    <w:link w:val="AIHelper0-AIHelperBox"/>
    <w:rsid w:val="00D069A2"/>
    <w:rPr>
      <w:rFonts w:ascii="Crimson Pro" w:eastAsia="Times New Roman" w:hAnsi="Crimson Pro" w:cs="Times New Roman"/>
      <w:sz w:val="20"/>
      <w:shd w:val="clear" w:color="auto" w:fill="FFFFFF"/>
      <w:lang w:val="en-US"/>
    </w:rPr>
  </w:style>
  <w:style w:type="paragraph" w:customStyle="1" w:styleId="AIHelper0-AIHelperBoxNumberedList">
    <w:name w:val="AI Helper0 - AIHelperBoxNumberedList"/>
    <w:basedOn w:val="I0-InfoBoxNumberedList"/>
    <w:link w:val="AIHelper0-AIHelperBoxNumberedListChar"/>
    <w:rsid w:val="00D069A2"/>
  </w:style>
  <w:style w:type="character" w:customStyle="1" w:styleId="AIHelper0-AIHelperBoxNumberedListChar">
    <w:name w:val="AI Helper0 - AIHelperBoxNumberedList Char"/>
    <w:basedOn w:val="P0-ParagraphChar"/>
    <w:link w:val="AIHelper0-AIHelperBoxNumberedList"/>
    <w:rsid w:val="00D069A2"/>
    <w:rPr>
      <w:rFonts w:ascii="Crimson Pro" w:eastAsia="Times New Roman" w:hAnsi="Crimson Pro" w:cs="Times New Roman"/>
      <w:sz w:val="20"/>
      <w:shd w:val="clear" w:color="auto" w:fill="FFFFFF"/>
      <w:lang w:val="en-US"/>
    </w:rPr>
  </w:style>
  <w:style w:type="paragraph" w:customStyle="1" w:styleId="AIHelper0-AIHelperBoxCode">
    <w:name w:val="AI Helper0 - AIHelperBoxCode"/>
    <w:basedOn w:val="I0-InfoBoxCode"/>
    <w:link w:val="AIHelper0-AIHelperBoxCodeChar"/>
    <w:rsid w:val="00D069A2"/>
  </w:style>
  <w:style w:type="character" w:customStyle="1" w:styleId="AIHelper0-AIHelperBoxCodeChar">
    <w:name w:val="AI Helper0 - AIHelperBoxCode Char"/>
    <w:basedOn w:val="P0-ParagraphChar"/>
    <w:link w:val="AIHelper0-AIHelperBoxCode"/>
    <w:rsid w:val="00D069A2"/>
    <w:rPr>
      <w:rFonts w:ascii="Consolas" w:eastAsia="Times New Roman" w:hAnsi="Consolas" w:cs="Times New Roman"/>
      <w:color w:val="383A42"/>
      <w:sz w:val="18"/>
      <w:shd w:val="clear" w:color="auto" w:fill="FAFAFA"/>
      <w:lang w:val="en-US"/>
    </w:rPr>
  </w:style>
  <w:style w:type="paragraph" w:customStyle="1" w:styleId="AIHelper0-AIHelperBoxConsole">
    <w:name w:val="AI Helper0 - AIHelperBoxConsole"/>
    <w:basedOn w:val="I0-InfoBoxConsole"/>
    <w:link w:val="AIHelper0-AIHelperBoxConsoleChar"/>
    <w:rsid w:val="00D069A2"/>
  </w:style>
  <w:style w:type="character" w:customStyle="1" w:styleId="AIHelper0-AIHelperBoxConsoleChar">
    <w:name w:val="AI Helper0 - AIHelperBoxConsole Char"/>
    <w:basedOn w:val="P0-ParagraphChar"/>
    <w:link w:val="AIHelper0-AIHelperBoxConsole"/>
    <w:rsid w:val="00D069A2"/>
    <w:rPr>
      <w:rFonts w:ascii="Consolas" w:eastAsia="Times New Roman" w:hAnsi="Consolas" w:cs="Times New Roman"/>
      <w:color w:val="F8F8F2"/>
      <w:sz w:val="18"/>
      <w:shd w:val="clear" w:color="auto" w:fill="282A36"/>
      <w:lang w:val="en-US"/>
    </w:rPr>
  </w:style>
  <w:style w:type="paragraph" w:customStyle="1" w:styleId="AIHelper1-AIHelperBoxBullet">
    <w:name w:val="AI Helper1 - AIHelperBoxBullet"/>
    <w:basedOn w:val="I1-InfoBoxBullet"/>
    <w:link w:val="AIHelper1-AIHelperBoxBulletChar"/>
    <w:rsid w:val="00D069A2"/>
  </w:style>
  <w:style w:type="character" w:customStyle="1" w:styleId="AIHelper1-AIHelperBoxBulletChar">
    <w:name w:val="AI Helper1 - AIHelperBoxBullet Char"/>
    <w:basedOn w:val="P0-ParagraphChar"/>
    <w:link w:val="AIHelper1-AIHelperBoxBullet"/>
    <w:rsid w:val="00D069A2"/>
    <w:rPr>
      <w:rFonts w:ascii="Crimson Pro" w:eastAsia="Times New Roman" w:hAnsi="Crimson Pro" w:cs="Times New Roman"/>
      <w:sz w:val="20"/>
      <w:shd w:val="clear" w:color="auto" w:fill="FFFFFF"/>
      <w:lang w:val="en-US"/>
    </w:rPr>
  </w:style>
  <w:style w:type="paragraph" w:customStyle="1" w:styleId="AIHelper1-AIHelperBoxCenter">
    <w:name w:val="AI Helper1 - AIHelperBoxCenter"/>
    <w:basedOn w:val="I1-InfoBoxCenter"/>
    <w:link w:val="AIHelper1-AIHelperBoxCenterChar"/>
    <w:rsid w:val="00D069A2"/>
  </w:style>
  <w:style w:type="character" w:customStyle="1" w:styleId="AIHelper1-AIHelperBoxCenterChar">
    <w:name w:val="AI Helper1 - AIHelperBoxCenter Char"/>
    <w:basedOn w:val="P0-ParagraphChar"/>
    <w:link w:val="AIHelper1-AIHelperBoxCenter"/>
    <w:rsid w:val="00D069A2"/>
    <w:rPr>
      <w:rFonts w:ascii="Crimson Pro" w:eastAsia="Times New Roman" w:hAnsi="Crimson Pro" w:cs="Times New Roman"/>
      <w:sz w:val="20"/>
      <w:shd w:val="clear" w:color="auto" w:fill="FFFFFF"/>
      <w:lang w:val="en-US"/>
    </w:rPr>
  </w:style>
  <w:style w:type="paragraph" w:customStyle="1" w:styleId="AIHelper1-AIHelperBoxFigure">
    <w:name w:val="AI Helper1 - AIHelperBoxFigure"/>
    <w:basedOn w:val="I1-InfoBoxFigure"/>
    <w:link w:val="AIHelper1-AIHelperBoxFigureChar"/>
    <w:rsid w:val="00D069A2"/>
  </w:style>
  <w:style w:type="character" w:customStyle="1" w:styleId="AIHelper1-AIHelperBoxFigureChar">
    <w:name w:val="AI Helper1 - AIHelperBoxFigure Char"/>
    <w:basedOn w:val="P0-ParagraphChar"/>
    <w:link w:val="AIHelper1-AIHelperBoxFigure"/>
    <w:rsid w:val="00D069A2"/>
    <w:rPr>
      <w:rFonts w:ascii="Crimson Pro" w:eastAsia="Times New Roman" w:hAnsi="Crimson Pro" w:cs="Times New Roman"/>
      <w:sz w:val="16"/>
      <w:shd w:val="clear" w:color="auto" w:fill="FFFFFF"/>
      <w:lang w:val="en-US"/>
    </w:rPr>
  </w:style>
  <w:style w:type="paragraph" w:customStyle="1" w:styleId="AIHelper1-AIHelperBoxCaption">
    <w:name w:val="AI Helper1 - AIHelperBoxCaption"/>
    <w:basedOn w:val="I1-InfoBoxCaption"/>
    <w:link w:val="AIHelper1-AIHelperBoxCaptionChar"/>
    <w:rsid w:val="00D069A2"/>
  </w:style>
  <w:style w:type="character" w:customStyle="1" w:styleId="AIHelper1-AIHelperBoxCaptionChar">
    <w:name w:val="AI Helper1 - AIHelperBoxCaption Char"/>
    <w:basedOn w:val="P0-ParagraphChar"/>
    <w:link w:val="AIHelper1-AIHelperBoxCaption"/>
    <w:rsid w:val="00D069A2"/>
    <w:rPr>
      <w:rFonts w:ascii="Crimson Pro" w:eastAsia="Times New Roman" w:hAnsi="Crimson Pro" w:cs="Times New Roman"/>
      <w:sz w:val="16"/>
      <w:shd w:val="clear" w:color="auto" w:fill="FFFFFF"/>
      <w:lang w:val="en-US"/>
    </w:rPr>
  </w:style>
  <w:style w:type="paragraph" w:customStyle="1" w:styleId="AIHelper1-AIHelperBox">
    <w:name w:val="AI Helper1 - AIHelperBox"/>
    <w:basedOn w:val="I1-InfoBox"/>
    <w:link w:val="AIHelper1-AIHelperBoxChar"/>
    <w:rsid w:val="00D069A2"/>
  </w:style>
  <w:style w:type="character" w:customStyle="1" w:styleId="AIHelper1-AIHelperBoxChar">
    <w:name w:val="AI Helper1 - AIHelperBox Char"/>
    <w:basedOn w:val="P0-ParagraphChar"/>
    <w:link w:val="AIHelper1-AIHelperBox"/>
    <w:rsid w:val="00D069A2"/>
    <w:rPr>
      <w:rFonts w:ascii="Crimson Pro" w:eastAsia="Times New Roman" w:hAnsi="Crimson Pro" w:cs="Times New Roman"/>
      <w:sz w:val="20"/>
      <w:shd w:val="clear" w:color="auto" w:fill="FFFFFF"/>
      <w:lang w:val="en-US"/>
    </w:rPr>
  </w:style>
  <w:style w:type="paragraph" w:customStyle="1" w:styleId="AIHelper1-AIHelperBoxNumberedList">
    <w:name w:val="AI Helper1 - AIHelperBoxNumberedList"/>
    <w:basedOn w:val="I1-InfoBoxNumberedList"/>
    <w:link w:val="AIHelper1-AIHelperBoxNumberedListChar"/>
    <w:rsid w:val="00D069A2"/>
  </w:style>
  <w:style w:type="character" w:customStyle="1" w:styleId="AIHelper1-AIHelperBoxNumberedListChar">
    <w:name w:val="AI Helper1 - AIHelperBoxNumberedList Char"/>
    <w:basedOn w:val="P0-ParagraphChar"/>
    <w:link w:val="AIHelper1-AIHelperBoxNumberedList"/>
    <w:rsid w:val="00D069A2"/>
    <w:rPr>
      <w:rFonts w:ascii="Crimson Pro" w:eastAsia="Times New Roman" w:hAnsi="Crimson Pro" w:cs="Times New Roman"/>
      <w:sz w:val="20"/>
      <w:shd w:val="clear" w:color="auto" w:fill="FFFFFF"/>
      <w:lang w:val="en-US"/>
    </w:rPr>
  </w:style>
  <w:style w:type="paragraph" w:customStyle="1" w:styleId="AIHelper1-AIHelperBoxCode">
    <w:name w:val="AI Helper1 - AIHelperBoxCode"/>
    <w:basedOn w:val="I1-InfoBoxCode"/>
    <w:link w:val="AIHelper1-AIHelperBoxCodeChar"/>
    <w:rsid w:val="00D069A2"/>
  </w:style>
  <w:style w:type="character" w:customStyle="1" w:styleId="AIHelper1-AIHelperBoxCodeChar">
    <w:name w:val="AI Helper1 - AIHelperBoxCode Char"/>
    <w:basedOn w:val="P0-ParagraphChar"/>
    <w:link w:val="AIHelper1-AIHelperBoxCode"/>
    <w:rsid w:val="00D069A2"/>
    <w:rPr>
      <w:rFonts w:ascii="Consolas" w:eastAsia="Times New Roman" w:hAnsi="Consolas" w:cs="Times New Roman"/>
      <w:color w:val="383A42"/>
      <w:sz w:val="18"/>
      <w:shd w:val="clear" w:color="auto" w:fill="FAFAFA"/>
      <w:lang w:val="en-US"/>
    </w:rPr>
  </w:style>
  <w:style w:type="paragraph" w:customStyle="1" w:styleId="AIHelper1-AIHelperBoxConsole">
    <w:name w:val="AI Helper1 - AIHelperBoxConsole"/>
    <w:basedOn w:val="I1-InfoBoxConsole"/>
    <w:link w:val="AIHelper1-AIHelperBoxConsoleChar"/>
    <w:rsid w:val="00D069A2"/>
  </w:style>
  <w:style w:type="character" w:customStyle="1" w:styleId="AIHelper1-AIHelperBoxConsoleChar">
    <w:name w:val="AI Helper1 - AIHelperBoxConsole Char"/>
    <w:basedOn w:val="P0-ParagraphChar"/>
    <w:link w:val="AIHelper1-AIHelperBoxConsole"/>
    <w:rsid w:val="00D069A2"/>
    <w:rPr>
      <w:rFonts w:ascii="Consolas" w:eastAsia="Times New Roman" w:hAnsi="Consolas" w:cs="Times New Roman"/>
      <w:color w:val="F8F8F2"/>
      <w:sz w:val="18"/>
      <w:shd w:val="clear" w:color="auto" w:fill="282A36"/>
      <w:lang w:val="en-US"/>
    </w:rPr>
  </w:style>
  <w:style w:type="paragraph" w:customStyle="1" w:styleId="AIHelper2-AIHelperBoxBullet">
    <w:name w:val="AI Helper2 - AIHelperBoxBullet"/>
    <w:basedOn w:val="I2-InfoBoxBullet"/>
    <w:link w:val="AIHelper2-AIHelperBoxBulletChar"/>
    <w:rsid w:val="00D069A2"/>
  </w:style>
  <w:style w:type="character" w:customStyle="1" w:styleId="AIHelper2-AIHelperBoxBulletChar">
    <w:name w:val="AI Helper2 - AIHelperBoxBullet Char"/>
    <w:basedOn w:val="P0-ParagraphChar"/>
    <w:link w:val="AIHelper2-AIHelperBoxBullet"/>
    <w:rsid w:val="00D069A2"/>
    <w:rPr>
      <w:rFonts w:ascii="Crimson Pro" w:eastAsia="Times New Roman" w:hAnsi="Crimson Pro" w:cs="Times New Roman"/>
      <w:sz w:val="20"/>
      <w:shd w:val="clear" w:color="auto" w:fill="FFFFFF"/>
      <w:lang w:val="en-US"/>
    </w:rPr>
  </w:style>
  <w:style w:type="paragraph" w:customStyle="1" w:styleId="AIHelper2-AIHelperBoxCenter">
    <w:name w:val="AI Helper2 - AIHelperBoxCenter"/>
    <w:basedOn w:val="I2-InfoBoxCenter"/>
    <w:link w:val="AIHelper2-AIHelperBoxCenterChar"/>
    <w:rsid w:val="00D069A2"/>
  </w:style>
  <w:style w:type="character" w:customStyle="1" w:styleId="AIHelper2-AIHelperBoxCenterChar">
    <w:name w:val="AI Helper2 - AIHelperBoxCenter Char"/>
    <w:basedOn w:val="P0-ParagraphChar"/>
    <w:link w:val="AIHelper2-AIHelperBoxCenter"/>
    <w:rsid w:val="00D069A2"/>
    <w:rPr>
      <w:rFonts w:ascii="Crimson Pro" w:eastAsia="Times New Roman" w:hAnsi="Crimson Pro" w:cs="Times New Roman"/>
      <w:sz w:val="20"/>
      <w:shd w:val="clear" w:color="auto" w:fill="FFFFFF"/>
      <w:lang w:val="en-US"/>
    </w:rPr>
  </w:style>
  <w:style w:type="paragraph" w:customStyle="1" w:styleId="AIHelper2-AIHelperBoxFigure">
    <w:name w:val="AI Helper2 - AIHelperBoxFigure"/>
    <w:basedOn w:val="I2-InfoBoxFigure"/>
    <w:link w:val="AIHelper2-AIHelperBoxFigureChar"/>
    <w:rsid w:val="00D069A2"/>
  </w:style>
  <w:style w:type="character" w:customStyle="1" w:styleId="AIHelper2-AIHelperBoxFigureChar">
    <w:name w:val="AI Helper2 - AIHelperBoxFigure Char"/>
    <w:basedOn w:val="P0-ParagraphChar"/>
    <w:link w:val="AIHelper2-AIHelperBoxFigure"/>
    <w:rsid w:val="00D069A2"/>
    <w:rPr>
      <w:rFonts w:ascii="Crimson Pro" w:eastAsia="Times New Roman" w:hAnsi="Crimson Pro" w:cs="Times New Roman"/>
      <w:sz w:val="16"/>
      <w:shd w:val="clear" w:color="auto" w:fill="FFFFFF"/>
      <w:lang w:val="en-US"/>
    </w:rPr>
  </w:style>
  <w:style w:type="paragraph" w:customStyle="1" w:styleId="AIHelper2-AIHelperBoxCaption">
    <w:name w:val="AI Helper2 - AIHelperBoxCaption"/>
    <w:basedOn w:val="I2-InfoBoxCaption"/>
    <w:link w:val="AIHelper2-AIHelperBoxCaptionChar"/>
    <w:rsid w:val="00D069A2"/>
  </w:style>
  <w:style w:type="character" w:customStyle="1" w:styleId="AIHelper2-AIHelperBoxCaptionChar">
    <w:name w:val="AI Helper2 - AIHelperBoxCaption Char"/>
    <w:basedOn w:val="P0-ParagraphChar"/>
    <w:link w:val="AIHelper2-AIHelperBoxCaption"/>
    <w:rsid w:val="00D069A2"/>
    <w:rPr>
      <w:rFonts w:ascii="Crimson Pro" w:eastAsia="Times New Roman" w:hAnsi="Crimson Pro" w:cs="Times New Roman"/>
      <w:sz w:val="16"/>
      <w:shd w:val="clear" w:color="auto" w:fill="FFFFFF"/>
      <w:lang w:val="en-US"/>
    </w:rPr>
  </w:style>
  <w:style w:type="paragraph" w:customStyle="1" w:styleId="AIHelper2-AIHelperBox">
    <w:name w:val="AI Helper2 - AIHelperBox"/>
    <w:basedOn w:val="I2-InfoBox"/>
    <w:link w:val="AIHelper2-AIHelperBoxChar"/>
    <w:rsid w:val="00D069A2"/>
  </w:style>
  <w:style w:type="character" w:customStyle="1" w:styleId="AIHelper2-AIHelperBoxChar">
    <w:name w:val="AI Helper2 - AIHelperBox Char"/>
    <w:basedOn w:val="P0-ParagraphChar"/>
    <w:link w:val="AIHelper2-AIHelperBox"/>
    <w:rsid w:val="00D069A2"/>
    <w:rPr>
      <w:rFonts w:ascii="Crimson Pro" w:eastAsia="Times New Roman" w:hAnsi="Crimson Pro" w:cs="Times New Roman"/>
      <w:sz w:val="20"/>
      <w:shd w:val="clear" w:color="auto" w:fill="FFFFFF"/>
      <w:lang w:val="en-US"/>
    </w:rPr>
  </w:style>
  <w:style w:type="paragraph" w:customStyle="1" w:styleId="AIHelper2-AIHelperBoxNumberedList">
    <w:name w:val="AI Helper2 - AIHelperBoxNumberedList"/>
    <w:basedOn w:val="I2-InfoBoxNumberedList"/>
    <w:link w:val="AIHelper2-AIHelperBoxNumberedListChar"/>
    <w:rsid w:val="00D069A2"/>
  </w:style>
  <w:style w:type="character" w:customStyle="1" w:styleId="AIHelper2-AIHelperBoxNumberedListChar">
    <w:name w:val="AI Helper2 - AIHelperBoxNumberedList Char"/>
    <w:basedOn w:val="P0-ParagraphChar"/>
    <w:link w:val="AIHelper2-AIHelperBoxNumberedList"/>
    <w:rsid w:val="00D069A2"/>
    <w:rPr>
      <w:rFonts w:ascii="Crimson Pro" w:eastAsia="Times New Roman" w:hAnsi="Crimson Pro" w:cs="Times New Roman"/>
      <w:sz w:val="20"/>
      <w:shd w:val="clear" w:color="auto" w:fill="FFFFFF"/>
      <w:lang w:val="en-US"/>
    </w:rPr>
  </w:style>
  <w:style w:type="paragraph" w:customStyle="1" w:styleId="AIHelper2-AIHelperBoxCode">
    <w:name w:val="AI Helper2 - AIHelperBoxCode"/>
    <w:basedOn w:val="I2-InfoBoxCode"/>
    <w:link w:val="AIHelper2-AIHelperBoxCodeChar"/>
    <w:rsid w:val="00D069A2"/>
  </w:style>
  <w:style w:type="character" w:customStyle="1" w:styleId="AIHelper2-AIHelperBoxCodeChar">
    <w:name w:val="AI Helper2 - AIHelperBoxCode Char"/>
    <w:basedOn w:val="P0-ParagraphChar"/>
    <w:link w:val="AIHelper2-AIHelperBoxCode"/>
    <w:rsid w:val="00D069A2"/>
    <w:rPr>
      <w:rFonts w:ascii="Consolas" w:eastAsia="Times New Roman" w:hAnsi="Consolas" w:cs="Times New Roman"/>
      <w:color w:val="383A42"/>
      <w:sz w:val="18"/>
      <w:shd w:val="clear" w:color="auto" w:fill="FAFAFA"/>
      <w:lang w:val="en-US"/>
    </w:rPr>
  </w:style>
  <w:style w:type="paragraph" w:customStyle="1" w:styleId="AIHelper2-AIHelperBoxConsole">
    <w:name w:val="AI Helper2 - AIHelperBoxConsole"/>
    <w:basedOn w:val="I2-InfoBoxConsole"/>
    <w:link w:val="AIHelper2-AIHelperBoxConsoleChar"/>
    <w:rsid w:val="00D069A2"/>
  </w:style>
  <w:style w:type="character" w:customStyle="1" w:styleId="AIHelper2-AIHelperBoxConsoleChar">
    <w:name w:val="AI Helper2 - AIHelperBoxConsole Char"/>
    <w:basedOn w:val="P0-ParagraphChar"/>
    <w:link w:val="AIHelper2-AIHelperBoxConsole"/>
    <w:rsid w:val="00D069A2"/>
    <w:rPr>
      <w:rFonts w:ascii="Consolas" w:eastAsia="Times New Roman" w:hAnsi="Consolas" w:cs="Times New Roman"/>
      <w:color w:val="F8F8F2"/>
      <w:sz w:val="18"/>
      <w:shd w:val="clear" w:color="auto" w:fill="282A36"/>
      <w:lang w:val="en-US"/>
    </w:rPr>
  </w:style>
  <w:style w:type="paragraph" w:customStyle="1" w:styleId="L1-AlphabetCapital">
    <w:name w:val="L1 - AlphabetCapital"/>
    <w:basedOn w:val="L1-Alphabet"/>
    <w:qFormat/>
    <w:rsid w:val="00D069A2"/>
    <w:pPr>
      <w:numPr>
        <w:numId w:val="12"/>
      </w:numPr>
    </w:pPr>
  </w:style>
  <w:style w:type="paragraph" w:customStyle="1" w:styleId="L2-AlphabetCapital">
    <w:name w:val="L2 - AlphabetCapital"/>
    <w:basedOn w:val="L2-Alphabet"/>
    <w:qFormat/>
    <w:rsid w:val="00D069A2"/>
    <w:pPr>
      <w:numPr>
        <w:numId w:val="13"/>
      </w:numPr>
    </w:pPr>
  </w:style>
  <w:style w:type="paragraph" w:customStyle="1" w:styleId="L3-AlphabetCapital">
    <w:name w:val="L3 - AlphabetCapital"/>
    <w:basedOn w:val="L3-Alphabet"/>
    <w:qFormat/>
    <w:rsid w:val="00D069A2"/>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ubhraMayuri\AppData\Roaming\Microsoft\Templates\Packt_Editorial_Template_Auto_Layou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nNDe8hTaDyKpkgm6tg0joQelg==">CgMxLjAyDmguZ2JueDUzeW5uM3lmMg5oLnF4Zmtld2Jja3lzcjIOaC4xZml2eGR2bThhZWEyDmgubW41NTd5Z2Y3M3BtMg1oLmY1eXVtbnQxeHpkMg5oLmtlMW10MWtwdXNtMDIOaC5hMjQ5NGZjOGw3Z3YyDmguanlhazNlNnk3eXQ5OAByITFhdG95c3NYWkM1TjJYU3Fta0xDSjNvenZYbThoaFB2Yw==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Packt_Editorial_Template_Auto_Layout</Template>
  <TotalTime>45</TotalTime>
  <Pages>36</Pages>
  <Words>16996</Words>
  <Characters>96882</Characters>
  <Application>Microsoft Office Word</Application>
  <DocSecurity>0</DocSecurity>
  <Lines>807</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Shubhra Mayuri</cp:lastModifiedBy>
  <cp:revision>3</cp:revision>
  <dcterms:created xsi:type="dcterms:W3CDTF">2026-10-06T09:17:00Z</dcterms:created>
  <dcterms:modified xsi:type="dcterms:W3CDTF">2026-10-06T10:02:00Z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0x010100F28CD1E3B10FD647B2C00F8D5CAE40C5</vt:lpwstr>
  </property>
  <property fmtid="{D5CDD505-2E9C-101B-9397-08002B2CF9AE}" pid="3" name="MediaServiceImageTags">
    <vt:lpwstr/>
  </property>
</Properties>
</file>