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CA60" w14:textId="77777777" w:rsidR="00EA4835" w:rsidRPr="00AD5F49" w:rsidRDefault="00000000">
      <w:pPr>
        <w:pStyle w:val="Title"/>
        <w:spacing w:after="40"/>
      </w:pPr>
      <w:bookmarkStart w:id="0" w:name="_heading=h.xf8i623q5mmb" w:colFirst="0" w:colLast="0"/>
      <w:bookmarkEnd w:id="0"/>
      <w:r w:rsidRPr="00AD5F49">
        <w:t>ASCR-12-OE02 — Implementation and Integration Guide</w:t>
      </w:r>
    </w:p>
    <w:p w14:paraId="7E5496D8" w14:textId="77777777" w:rsidR="00EA4835" w:rsidRPr="00AD5F49" w:rsidRDefault="00000000" w:rsidP="00AD5F49">
      <w:pPr>
        <w:pStyle w:val="HS-Heading1"/>
      </w:pPr>
      <w:bookmarkStart w:id="1" w:name="_heading=h.vh3svqo7bxsr" w:colFirst="0" w:colLast="0"/>
      <w:bookmarkEnd w:id="1"/>
      <w:r w:rsidRPr="00AD5F49">
        <w:t>Quarterly Agentic Health Scorecard</w:t>
      </w:r>
    </w:p>
    <w:p w14:paraId="0E2BD1BC" w14:textId="77777777" w:rsidR="00EA4835" w:rsidRPr="00AD5F49" w:rsidRDefault="00000000" w:rsidP="00216A62">
      <w:pPr>
        <w:pStyle w:val="P0-Paragraph"/>
      </w:pPr>
      <w:r w:rsidRPr="00AD5F49">
        <w:t>Operational guide for ASOC Leads, Risk Officers, CISOs, Legal / Compliance, and Program Managers</w:t>
      </w: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7380"/>
      </w:tblGrid>
      <w:tr w:rsidR="00EA4835" w:rsidRPr="00AD5F49" w14:paraId="5FF3973F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9D71D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File ID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E47C0" w14:textId="77777777" w:rsidR="00EA4835" w:rsidRPr="00AD5F49" w:rsidRDefault="00000000" w:rsidP="00AD5F49">
            <w:pPr>
              <w:pStyle w:val="T0-Table"/>
            </w:pPr>
            <w:r w:rsidRPr="00AD5F49">
              <w:t>ASCR-12-OE02 — Implementation and Integration Guide</w:t>
            </w:r>
          </w:p>
        </w:tc>
      </w:tr>
      <w:tr w:rsidR="00EA4835" w:rsidRPr="00AD5F49" w14:paraId="6B9A6B49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E2787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Format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F1F24" w14:textId="77777777" w:rsidR="00EA4835" w:rsidRPr="00AD5F49" w:rsidRDefault="00000000" w:rsidP="00AD5F49">
            <w:pPr>
              <w:pStyle w:val="T0-Table"/>
            </w:pPr>
            <w:r w:rsidRPr="00AD5F49">
              <w:t>.docx</w:t>
            </w:r>
          </w:p>
        </w:tc>
      </w:tr>
      <w:tr w:rsidR="00EA4835" w:rsidRPr="00AD5F49" w14:paraId="5A5BBFF4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2CD1A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Version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32268" w14:textId="77777777" w:rsidR="00EA4835" w:rsidRPr="00AD5F49" w:rsidRDefault="00000000" w:rsidP="00AD5F49">
            <w:pPr>
              <w:pStyle w:val="T0-Table"/>
            </w:pPr>
            <w:r w:rsidRPr="00AD5F49">
              <w:t>1.0 — June 2026</w:t>
            </w:r>
          </w:p>
        </w:tc>
      </w:tr>
      <w:tr w:rsidR="00EA4835" w:rsidRPr="00AD5F49" w14:paraId="4814F98C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FDB1F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Consolidates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5E1D2" w14:textId="77777777" w:rsidR="00EA4835" w:rsidRPr="00AD5F49" w:rsidRDefault="00000000" w:rsidP="00AD5F49">
            <w:pPr>
              <w:pStyle w:val="T0-Table"/>
            </w:pPr>
            <w:r w:rsidRPr="00AD5F49">
              <w:t>Operational implementation and integration guidance supporting ASCR-12</w:t>
            </w:r>
          </w:p>
        </w:tc>
      </w:tr>
      <w:tr w:rsidR="00EA4835" w:rsidRPr="00AD5F49" w14:paraId="04338D26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65BE8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Type / Scope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0C146" w14:textId="77777777" w:rsidR="00EA4835" w:rsidRPr="00AD5F49" w:rsidRDefault="00000000" w:rsidP="00AD5F49">
            <w:pPr>
              <w:pStyle w:val="T0-Table"/>
            </w:pPr>
            <w:r w:rsidRPr="00AD5F49">
              <w:t>Data-source mapping, GRC substitution, system integration, regulatory evidence-chain, workbook-use, and first-use guidance</w:t>
            </w:r>
          </w:p>
        </w:tc>
      </w:tr>
      <w:tr w:rsidR="00EA4835" w:rsidRPr="00AD5F49" w14:paraId="75DB6C43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AA1CD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Precedence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E1BC0" w14:textId="77777777" w:rsidR="00EA4835" w:rsidRPr="00AD5F49" w:rsidRDefault="00000000" w:rsidP="00AD5F49">
            <w:pPr>
              <w:pStyle w:val="T0-Table"/>
            </w:pPr>
            <w:r w:rsidRPr="00AD5F49">
              <w:t>ASCR-12: Quarterly Agentic Health Scorecard governs if any value differs between this guide and the main scorecard</w:t>
            </w:r>
          </w:p>
        </w:tc>
      </w:tr>
    </w:tbl>
    <w:p w14:paraId="7DD54C88" w14:textId="77777777" w:rsidR="00EA4835" w:rsidRPr="00AD5F49" w:rsidRDefault="00EA4835" w:rsidP="00216A62">
      <w:pPr>
        <w:pStyle w:val="P0-Paragraph"/>
      </w:pP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7380"/>
      </w:tblGrid>
      <w:tr w:rsidR="00EA4835" w:rsidRPr="00AD5F49" w14:paraId="09278E60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609E5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Pillar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68635" w14:textId="77777777" w:rsidR="00EA4835" w:rsidRPr="00AD5F49" w:rsidRDefault="00000000" w:rsidP="00AD5F49">
            <w:pPr>
              <w:pStyle w:val="T0-Table"/>
            </w:pPr>
            <w:r w:rsidRPr="00AD5F49">
              <w:t>Pillar 4 — Governance, Accountability, and Continuous Assurance</w:t>
            </w:r>
          </w:p>
        </w:tc>
      </w:tr>
      <w:tr w:rsidR="00EA4835" w:rsidRPr="00AD5F49" w14:paraId="71FE52A7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DBAA9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Version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ED1AA" w14:textId="77777777" w:rsidR="00EA4835" w:rsidRPr="00AD5F49" w:rsidRDefault="00000000" w:rsidP="00AD5F49">
            <w:pPr>
              <w:pStyle w:val="T0-Table"/>
            </w:pPr>
            <w:r w:rsidRPr="00AD5F49">
              <w:t>1.0 — June 2026</w:t>
            </w:r>
          </w:p>
        </w:tc>
      </w:tr>
      <w:tr w:rsidR="00EA4835" w:rsidRPr="00AD5F49" w14:paraId="37916754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5C016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Classification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6E9BB" w14:textId="77777777" w:rsidR="00EA4835" w:rsidRPr="00AD5F49" w:rsidRDefault="00000000" w:rsidP="00AD5F49">
            <w:pPr>
              <w:pStyle w:val="T0-Table"/>
            </w:pPr>
            <w:r w:rsidRPr="00AD5F49">
              <w:t>Confidential — Authorized ASCR Preparers; Board and Executive Distribution</w:t>
            </w:r>
          </w:p>
        </w:tc>
      </w:tr>
      <w:tr w:rsidR="00EA4835" w:rsidRPr="00AD5F49" w14:paraId="42CA63C8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35C46D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Retention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D6B4F" w14:textId="77777777" w:rsidR="00EA4835" w:rsidRPr="00AD5F49" w:rsidRDefault="00000000" w:rsidP="00AD5F49">
            <w:pPr>
              <w:pStyle w:val="T0-Table"/>
            </w:pPr>
            <w:r w:rsidRPr="00AD5F49">
              <w:t>Deployment-specific; Legal / Compliance establishes applicable recordkeeping, limitation/expiry, litigation-hold, contractual, and evidence-preservation requirements</w:t>
            </w:r>
          </w:p>
        </w:tc>
      </w:tr>
      <w:tr w:rsidR="00EA4835" w:rsidRPr="00AD5F49" w14:paraId="24ECE2E2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62BE54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Companion Files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C9215" w14:textId="77777777" w:rsidR="00EA4835" w:rsidRPr="00AD5F49" w:rsidRDefault="00000000" w:rsidP="00AD5F49">
            <w:pPr>
              <w:pStyle w:val="T0-Table"/>
            </w:pPr>
            <w:r w:rsidRPr="00AD5F49">
              <w:t>ASCR-12-OE01 Companion Workbook   ASCR-12: Quarterly Agentic Health Scorecard</w:t>
            </w:r>
          </w:p>
        </w:tc>
      </w:tr>
      <w:tr w:rsidR="00EA4835" w:rsidRPr="00AD5F49" w14:paraId="0996D286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8B4DF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Upstream ASCRs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F8E66" w14:textId="77777777" w:rsidR="00EA4835" w:rsidRPr="00AD5F49" w:rsidRDefault="00000000" w:rsidP="00AD5F49">
            <w:pPr>
              <w:pStyle w:val="T0-Table"/>
            </w:pPr>
            <w:r w:rsidRPr="00AD5F49">
              <w:t>ASCR-01, -03, -04, -05, -06, -07, -08, -09, -10, -11, -13, -14, -15, -16, -17</w:t>
            </w:r>
          </w:p>
        </w:tc>
      </w:tr>
      <w:tr w:rsidR="00EA4835" w:rsidRPr="00AD5F49" w14:paraId="4F43E57E" w14:textId="77777777">
        <w:tc>
          <w:tcPr>
            <w:tcW w:w="270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70EA1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Regulatory Anchors</w:t>
            </w:r>
          </w:p>
        </w:tc>
        <w:tc>
          <w:tcPr>
            <w:tcW w:w="73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94048" w14:textId="77777777" w:rsidR="00EA4835" w:rsidRPr="00AD5F49" w:rsidRDefault="00000000" w:rsidP="00AD5F49">
            <w:pPr>
              <w:pStyle w:val="T0-Table"/>
            </w:pPr>
            <w:r w:rsidRPr="00AD5F49">
              <w:t>EU AI Act Arts. 9, 12, 13, 14, 15, 72-73 | NIS2 Arts. 21(2)(a), 21(2)(d), 21(2)(e), 23(4)(a), 23(4)(b), 23(4)(d) | DORA Arts. 6, 19, 24-26 | RPLD Arts. 9(1), 10(2)(a), 16-17</w:t>
            </w:r>
          </w:p>
        </w:tc>
      </w:tr>
    </w:tbl>
    <w:p w14:paraId="7AC7FCB8" w14:textId="77777777" w:rsidR="00EA4835" w:rsidRPr="00AD5F49" w:rsidRDefault="00EA4835" w:rsidP="00216A62">
      <w:pPr>
        <w:pStyle w:val="P0-Paragraph"/>
      </w:pPr>
    </w:p>
    <w:p w14:paraId="653718E6" w14:textId="77777777" w:rsidR="00EA4835" w:rsidRPr="00AD5F49" w:rsidRDefault="00000000" w:rsidP="00AD5F49">
      <w:pPr>
        <w:pStyle w:val="HS-Heading2"/>
      </w:pPr>
      <w:bookmarkStart w:id="2" w:name="_heading=h.x19y1rclfmeg" w:colFirst="0" w:colLast="0"/>
      <w:bookmarkEnd w:id="2"/>
      <w:r w:rsidRPr="00AD5F49">
        <w:t xml:space="preserve">Before you </w:t>
      </w:r>
      <w:proofErr w:type="gramStart"/>
      <w:r w:rsidRPr="00AD5F49">
        <w:t>operationalize</w:t>
      </w:r>
      <w:proofErr w:type="gramEnd"/>
      <w:r w:rsidRPr="00AD5F49">
        <w:t xml:space="preserve"> this instrument</w:t>
      </w:r>
    </w:p>
    <w:p w14:paraId="0DC32BB7" w14:textId="77777777" w:rsidR="00EA4835" w:rsidRPr="00AD5F49" w:rsidRDefault="00000000" w:rsidP="00216A62">
      <w:pPr>
        <w:pStyle w:val="P0-Paragraph"/>
      </w:pPr>
      <w:r w:rsidRPr="00AD5F49">
        <w:t>Validate the current ASCR-01 baseline and applicable-cluster set; effective governed SLO references; GRC or telemetry substitutions; OT safety-class bounds; applicable ASCR-04, ASCR-05, ASCR-06, ASCR-07, ASCR-10, ASCR-13, and ASCR-17 source interfaces; regulatory applicability and evidence ownership; and deployment-specific retention requirements before first operational use.</w:t>
      </w:r>
    </w:p>
    <w:p w14:paraId="1370BE23" w14:textId="77777777" w:rsidR="00EA4835" w:rsidRPr="00AD5F49" w:rsidRDefault="00000000" w:rsidP="00216A62">
      <w:pPr>
        <w:pStyle w:val="P0-Paragraph"/>
      </w:pPr>
      <w:r w:rsidRPr="00AD5F49">
        <w:rPr>
          <w:b/>
          <w:bCs/>
        </w:rPr>
        <w:lastRenderedPageBreak/>
        <w:t xml:space="preserve">Change control / lockstep. </w:t>
      </w:r>
      <w:r w:rsidRPr="00AD5F49">
        <w:t xml:space="preserve"> Version this guide in lockstep with ASCR-12 and ASCR-12-OE01. Review it whenever the ASCR-12 structure, upstream reporting interfaces, governed SLO mappings, regulatory evidence mappings, or companion-workbook structure changes.</w:t>
      </w:r>
    </w:p>
    <w:p w14:paraId="673AF019" w14:textId="77777777" w:rsidR="00EA4835" w:rsidRPr="00AD5F49" w:rsidRDefault="00000000" w:rsidP="00AD5F49">
      <w:pPr>
        <w:pStyle w:val="HS-Heading2"/>
      </w:pPr>
      <w:r w:rsidRPr="00AD5F49">
        <w:t>1. Purpose of this guide</w:t>
      </w:r>
    </w:p>
    <w:p w14:paraId="5B19CF70" w14:textId="77777777" w:rsidR="00EA4835" w:rsidRPr="00AD5F49" w:rsidRDefault="00000000" w:rsidP="00216A62">
      <w:pPr>
        <w:pStyle w:val="P0-Paragraph"/>
      </w:pPr>
      <w:r w:rsidRPr="00AD5F49">
        <w:t>ASCR-12 is the governance closure artifact of the ASCR Blueprint. It aggregates technical telemetry from Pillars 1–3 and converts it into board-level evidence. Most ASCR artifacts are intentionally abstract to remain system-agnostic. This guide exists to make ASCR-12 concrete: it explains what each section requires, where the data comes from, what systems to connect, and how to integrate the scorecard into existing GRC, SIEM, and reporting workflows.</w:t>
      </w:r>
    </w:p>
    <w:p w14:paraId="0837EC29" w14:textId="77777777" w:rsidR="00EA4835" w:rsidRPr="00AD5F49" w:rsidRDefault="00000000" w:rsidP="00216A62">
      <w:pPr>
        <w:pStyle w:val="P0-Paragraph"/>
      </w:pPr>
      <w:r w:rsidRPr="00AD5F49">
        <w:t>Three questions this guide answers:</w:t>
      </w:r>
    </w:p>
    <w:p w14:paraId="646B86A8" w14:textId="77777777" w:rsidR="00EA4835" w:rsidRPr="00AD5F49" w:rsidRDefault="00000000" w:rsidP="00AD5F49">
      <w:pPr>
        <w:pStyle w:val="L1-Bullet"/>
      </w:pPr>
      <w:r w:rsidRPr="00AD5F49">
        <w:rPr>
          <w:rFonts w:eastAsia="Calibri"/>
        </w:rPr>
        <w:t>How do I pull data from upstream ASCRs (or GRC substitutes) into each section of ASCR-12?</w:t>
      </w:r>
    </w:p>
    <w:p w14:paraId="0C19C9DB" w14:textId="77777777" w:rsidR="00EA4835" w:rsidRPr="00AD5F49" w:rsidRDefault="00000000" w:rsidP="00AD5F49">
      <w:pPr>
        <w:pStyle w:val="L1-Bullet"/>
      </w:pPr>
      <w:r w:rsidRPr="00AD5F49">
        <w:rPr>
          <w:rFonts w:eastAsia="Calibri"/>
        </w:rPr>
        <w:t>What does the companion workbook (ASCR-12-OE01 Companion Workbook) replace vs. supplement?</w:t>
      </w:r>
    </w:p>
    <w:p w14:paraId="54617C79" w14:textId="77777777" w:rsidR="00EA4835" w:rsidRPr="00AD5F49" w:rsidRDefault="00000000" w:rsidP="00AD5F49">
      <w:pPr>
        <w:pStyle w:val="L1-Bullet"/>
      </w:pPr>
      <w:r w:rsidRPr="00AD5F49">
        <w:rPr>
          <w:rFonts w:eastAsia="Calibri"/>
        </w:rPr>
        <w:t>How does ASCR-12 connect to existing regulatory compliance workflows?</w:t>
      </w: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A4835" w:rsidRPr="00AD5F49" w14:paraId="0681F72C" w14:textId="77777777">
        <w:tc>
          <w:tcPr>
            <w:tcW w:w="100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F1045A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Who should read this guide</w:t>
            </w:r>
          </w:p>
          <w:p w14:paraId="4B40B4BB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ASOC Lead: Sections 2, 3, 4, 5, and 7 (data sources, integration, workbook use, and first-use checklist).</w:t>
            </w:r>
          </w:p>
          <w:p w14:paraId="0C624114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CISO: Sections 2 and 6 (narrative requirements and board pack).</w:t>
            </w:r>
          </w:p>
          <w:p w14:paraId="30675942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Legal / Compliance: Section 6 (regulatory anchors and evidence chain).</w:t>
            </w:r>
          </w:p>
          <w:p w14:paraId="07D80D46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Program Manager: Sections 4 and 7 (system integration and preparation timeline).</w:t>
            </w:r>
          </w:p>
        </w:tc>
      </w:tr>
    </w:tbl>
    <w:p w14:paraId="42F40410" w14:textId="77777777" w:rsidR="00EA4835" w:rsidRPr="00AD5F49" w:rsidRDefault="00EA4835" w:rsidP="00216A62">
      <w:pPr>
        <w:pStyle w:val="P0-Paragraph"/>
      </w:pPr>
    </w:p>
    <w:p w14:paraId="264CB2AE" w14:textId="77777777" w:rsidR="00EA4835" w:rsidRPr="00AD5F49" w:rsidRDefault="00000000" w:rsidP="00AD5F49">
      <w:pPr>
        <w:pStyle w:val="HS-Heading2"/>
      </w:pPr>
      <w:r w:rsidRPr="00AD5F49">
        <w:t>2. Artifact structure and usage: the ASCR-12 document set</w:t>
      </w:r>
    </w:p>
    <w:p w14:paraId="676F8105" w14:textId="77777777" w:rsidR="00EA4835" w:rsidRPr="00AD5F49" w:rsidRDefault="00000000" w:rsidP="00216A62">
      <w:pPr>
        <w:pStyle w:val="P0-Paragraph"/>
      </w:pPr>
      <w:r w:rsidRPr="00AD5F49">
        <w:t>ASCR-12 is distributed as a three-file document set. All three constitute the governance record.</w:t>
      </w:r>
    </w:p>
    <w:tbl>
      <w:tblPr>
        <w:tblStyle w:val="a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02"/>
        <w:gridCol w:w="5778"/>
      </w:tblGrid>
      <w:tr w:rsidR="00EA4835" w:rsidRPr="00AD5F49" w14:paraId="5B703B3D" w14:textId="77777777">
        <w:trPr>
          <w:cantSplit/>
          <w:tblHeader/>
        </w:trPr>
        <w:tc>
          <w:tcPr>
            <w:tcW w:w="43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B5856B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File</w:t>
            </w:r>
          </w:p>
        </w:tc>
        <w:tc>
          <w:tcPr>
            <w:tcW w:w="57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C233A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Purpose</w:t>
            </w:r>
          </w:p>
        </w:tc>
      </w:tr>
      <w:tr w:rsidR="00EA4835" w:rsidRPr="00AD5F49" w14:paraId="6C5FAB1A" w14:textId="77777777">
        <w:trPr>
          <w:cantSplit/>
        </w:trPr>
        <w:tc>
          <w:tcPr>
            <w:tcW w:w="43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9D84D3" w14:textId="77777777" w:rsidR="00EA4835" w:rsidRPr="00AD5F49" w:rsidRDefault="00000000" w:rsidP="00AD5F49">
            <w:pPr>
              <w:pStyle w:val="T0-Table"/>
            </w:pPr>
            <w:r w:rsidRPr="00AD5F49">
              <w:t>ASCR-12 — Quarterly Agentic Health Scorecard (main document)</w:t>
            </w:r>
          </w:p>
        </w:tc>
        <w:tc>
          <w:tcPr>
            <w:tcW w:w="57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D818B" w14:textId="77777777" w:rsidR="00EA4835" w:rsidRPr="00AD5F49" w:rsidRDefault="00000000" w:rsidP="00AD5F49">
            <w:pPr>
              <w:pStyle w:val="T0-Table"/>
            </w:pPr>
            <w:r w:rsidRPr="00AD5F49">
              <w:t>The authoritative ASCR-12 document. Contains the complete scorecard template, all narrative sections, all annexes, and all cross-checks. The text of record for audit, legal, and regulatory purposes.</w:t>
            </w:r>
          </w:p>
        </w:tc>
      </w:tr>
      <w:tr w:rsidR="00EA4835" w:rsidRPr="00AD5F49" w14:paraId="6F32B9FE" w14:textId="77777777">
        <w:trPr>
          <w:cantSplit/>
        </w:trPr>
        <w:tc>
          <w:tcPr>
            <w:tcW w:w="43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3FD15" w14:textId="77777777" w:rsidR="00EA4835" w:rsidRPr="00AD5F49" w:rsidRDefault="00000000" w:rsidP="00AD5F49">
            <w:pPr>
              <w:pStyle w:val="T0-Table"/>
            </w:pPr>
            <w:r w:rsidRPr="00AD5F49">
              <w:t xml:space="preserve">ASCR-12-OE01 — Companion </w:t>
            </w:r>
            <w:proofErr w:type="gramStart"/>
            <w:r w:rsidRPr="00AD5F49">
              <w:t>Workbook (.</w:t>
            </w:r>
            <w:proofErr w:type="gramEnd"/>
            <w:r w:rsidRPr="00AD5F49">
              <w:t>xlsx)</w:t>
            </w:r>
          </w:p>
        </w:tc>
        <w:tc>
          <w:tcPr>
            <w:tcW w:w="57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0D330" w14:textId="77777777" w:rsidR="00EA4835" w:rsidRPr="00AD5F49" w:rsidRDefault="00000000" w:rsidP="00AD5F49">
            <w:pPr>
              <w:pStyle w:val="T0-Table"/>
            </w:pPr>
            <w:r w:rsidRPr="00AD5F49">
              <w:t>Structured data-entry and computation companion. Reproduces the quantitative scorecard tables, supports controlled status entry with data validation, implements the Annex E-1 pillar scoring calculator, tracks four-quarter ASCR-01 assessment-score reporting, maintains the Metric Dictionary, and provides source-field references for all five Annex V-1 board pack visualizations.</w:t>
            </w:r>
          </w:p>
        </w:tc>
      </w:tr>
      <w:tr w:rsidR="00EA4835" w:rsidRPr="00AD5F49" w14:paraId="35AE53BE" w14:textId="77777777">
        <w:trPr>
          <w:cantSplit/>
        </w:trPr>
        <w:tc>
          <w:tcPr>
            <w:tcW w:w="43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163226" w14:textId="77777777" w:rsidR="00EA4835" w:rsidRPr="00AD5F49" w:rsidRDefault="00000000" w:rsidP="00AD5F49">
            <w:pPr>
              <w:pStyle w:val="T0-Table"/>
            </w:pPr>
            <w:r w:rsidRPr="00AD5F49">
              <w:t>ASCR-12-OE02 — Implementation and Integration Guide (this file)</w:t>
            </w:r>
          </w:p>
        </w:tc>
        <w:tc>
          <w:tcPr>
            <w:tcW w:w="57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E8C6F" w14:textId="77777777" w:rsidR="00EA4835" w:rsidRPr="00AD5F49" w:rsidRDefault="00000000" w:rsidP="00AD5F49">
            <w:pPr>
              <w:pStyle w:val="T0-Table"/>
            </w:pPr>
            <w:r w:rsidRPr="00AD5F49">
              <w:t>Operational guide for ASOC Leads, CISOs, and integration engineers. Explains data sources, GRC substitution rules, system integration patterns, and the first-use checklist.</w:t>
            </w:r>
          </w:p>
        </w:tc>
      </w:tr>
    </w:tbl>
    <w:p w14:paraId="7BCF7C8E" w14:textId="77777777" w:rsidR="00EA4835" w:rsidRPr="00AD5F49" w:rsidRDefault="00EA4835" w:rsidP="00216A62">
      <w:pPr>
        <w:pStyle w:val="P0-Paragraph"/>
      </w:pPr>
    </w:p>
    <w:tbl>
      <w:tblPr>
        <w:tblStyle w:val="af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A4835" w:rsidRPr="00AD5F49" w14:paraId="1C574BF6" w14:textId="77777777">
        <w:tc>
          <w:tcPr>
            <w:tcW w:w="100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A604D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File relationship rule</w:t>
            </w:r>
          </w:p>
          <w:p w14:paraId="777D489B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lastRenderedPageBreak/>
              <w:t>If any value differs between the main scorecard and the companion workbook, the main scorecard governs. The workbook is a data-entry and computation aid, not the document of record. Populate the workbook first; transfer verified values to the main scorecard for signature and submission.</w:t>
            </w:r>
          </w:p>
        </w:tc>
      </w:tr>
    </w:tbl>
    <w:p w14:paraId="0023DB63" w14:textId="77777777" w:rsidR="00EA4835" w:rsidRPr="00AD5F49" w:rsidRDefault="00000000" w:rsidP="00AD5F49">
      <w:pPr>
        <w:pStyle w:val="HS-Heading2"/>
      </w:pPr>
      <w:r w:rsidRPr="00AD5F49">
        <w:lastRenderedPageBreak/>
        <w:t>3. Section-by-section data sources</w:t>
      </w:r>
    </w:p>
    <w:p w14:paraId="7AA406E7" w14:textId="77777777" w:rsidR="00EA4835" w:rsidRPr="00AD5F49" w:rsidRDefault="00000000" w:rsidP="00216A62">
      <w:pPr>
        <w:pStyle w:val="P0-Paragraph"/>
      </w:pPr>
      <w:r w:rsidRPr="00AD5F49">
        <w:t>ASCR-12 is a downstream aggregation artifact. It generates no data of its own. Every quantitative field must be sourced from an upstream artifact or a GRC-system substitute. This section maps each scorecard section to its source.</w:t>
      </w:r>
    </w:p>
    <w:p w14:paraId="01A9D6FE" w14:textId="77777777" w:rsidR="00EA4835" w:rsidRPr="00AD5F49" w:rsidRDefault="00000000" w:rsidP="00AD5F49">
      <w:pPr>
        <w:pStyle w:val="HS-Heading3"/>
      </w:pPr>
      <w:proofErr w:type="gramStart"/>
      <w:r w:rsidRPr="00AD5F49">
        <w:t>3.1  Section</w:t>
      </w:r>
      <w:proofErr w:type="gramEnd"/>
      <w:r w:rsidRPr="00AD5F49">
        <w:t xml:space="preserve"> C — behavioral risk indicators</w:t>
      </w:r>
    </w:p>
    <w:p w14:paraId="6BA96E91" w14:textId="77777777" w:rsidR="00EA4835" w:rsidRPr="00AD5F49" w:rsidRDefault="00000000" w:rsidP="00216A62">
      <w:pPr>
        <w:pStyle w:val="P0-Paragraph"/>
      </w:pPr>
      <w:r w:rsidRPr="00AD5F49">
        <w:t>Primary source: ASCR-07 planning cycle records.</w:t>
      </w:r>
    </w:p>
    <w:tbl>
      <w:tblPr>
        <w:tblStyle w:val="a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3938"/>
        <w:gridCol w:w="4724"/>
      </w:tblGrid>
      <w:tr w:rsidR="00EA4835" w:rsidRPr="00AD5F49" w14:paraId="066FD127" w14:textId="77777777">
        <w:trPr>
          <w:cantSplit/>
          <w:tblHeader/>
        </w:trPr>
        <w:tc>
          <w:tcPr>
            <w:tcW w:w="141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39587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Field</w:t>
            </w:r>
          </w:p>
        </w:tc>
        <w:tc>
          <w:tcPr>
            <w:tcW w:w="393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C5427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Source System / Field Name</w:t>
            </w:r>
          </w:p>
        </w:tc>
        <w:tc>
          <w:tcPr>
            <w:tcW w:w="47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53C88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GRC Substitute Rule</w:t>
            </w:r>
          </w:p>
        </w:tc>
      </w:tr>
      <w:tr w:rsidR="00EA4835" w:rsidRPr="00AD5F49" w14:paraId="327529B8" w14:textId="77777777">
        <w:trPr>
          <w:cantSplit/>
        </w:trPr>
        <w:tc>
          <w:tcPr>
            <w:tcW w:w="141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76AEF" w14:textId="77777777" w:rsidR="00EA4835" w:rsidRPr="00AD5F49" w:rsidRDefault="00000000" w:rsidP="00AD5F49">
            <w:pPr>
              <w:pStyle w:val="T0-Table"/>
            </w:pPr>
            <w:proofErr w:type="spellStart"/>
            <w:r w:rsidRPr="00AD5F49">
              <w:t>divergence_score</w:t>
            </w:r>
            <w:proofErr w:type="spellEnd"/>
            <w:r w:rsidRPr="00AD5F49">
              <w:t xml:space="preserve"> P50 / P95</w:t>
            </w:r>
          </w:p>
        </w:tc>
        <w:tc>
          <w:tcPr>
            <w:tcW w:w="393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E1B48" w14:textId="77777777" w:rsidR="00EA4835" w:rsidRPr="00AD5F49" w:rsidRDefault="00000000" w:rsidP="00AD5F49">
            <w:pPr>
              <w:pStyle w:val="T0-Table"/>
            </w:pPr>
            <w:r w:rsidRPr="00AD5F49">
              <w:t xml:space="preserve">ASCR-07: </w:t>
            </w:r>
            <w:proofErr w:type="spellStart"/>
            <w:r w:rsidRPr="00AD5F49">
              <w:t>divergence_score</w:t>
            </w:r>
            <w:proofErr w:type="spellEnd"/>
            <w:r w:rsidRPr="00AD5F49">
              <w:t xml:space="preserve"> field, all records in reporting period</w:t>
            </w:r>
          </w:p>
        </w:tc>
        <w:tc>
          <w:tcPr>
            <w:tcW w:w="47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96570" w14:textId="77777777" w:rsidR="00EA4835" w:rsidRPr="00AD5F49" w:rsidRDefault="00000000" w:rsidP="00AD5F49">
            <w:pPr>
              <w:pStyle w:val="T0-Table"/>
            </w:pPr>
            <w:r w:rsidRPr="00AD5F49">
              <w:t>Any SIEM/telemetry system that captures per-cycle behavioral divergence scores. Must preserve field name, timestamp, and agent ID.</w:t>
            </w:r>
          </w:p>
        </w:tc>
      </w:tr>
      <w:tr w:rsidR="00EA4835" w:rsidRPr="00AD5F49" w14:paraId="70836103" w14:textId="77777777">
        <w:trPr>
          <w:cantSplit/>
        </w:trPr>
        <w:tc>
          <w:tcPr>
            <w:tcW w:w="141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E3BE1" w14:textId="77777777" w:rsidR="00EA4835" w:rsidRPr="00AD5F49" w:rsidRDefault="00000000" w:rsidP="00AD5F49">
            <w:pPr>
              <w:pStyle w:val="T0-Table"/>
            </w:pPr>
            <w:r w:rsidRPr="00AD5F49">
              <w:t>Gradient elevation count</w:t>
            </w:r>
          </w:p>
        </w:tc>
        <w:tc>
          <w:tcPr>
            <w:tcW w:w="393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BFDE2" w14:textId="77777777" w:rsidR="00EA4835" w:rsidRPr="00AD5F49" w:rsidRDefault="00000000" w:rsidP="00AD5F49">
            <w:pPr>
              <w:pStyle w:val="T0-Table"/>
            </w:pPr>
            <w:r w:rsidRPr="00AD5F49">
              <w:t>ASCR-07: flag field or derived from 3+ consecutive above SOFT_ALERT</w:t>
            </w:r>
          </w:p>
        </w:tc>
        <w:tc>
          <w:tcPr>
            <w:tcW w:w="47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78417" w14:textId="77777777" w:rsidR="00EA4835" w:rsidRPr="00AD5F49" w:rsidRDefault="00000000" w:rsidP="00AD5F49">
            <w:pPr>
              <w:pStyle w:val="T0-Table"/>
            </w:pPr>
            <w:r w:rsidRPr="00AD5F49">
              <w:t>SIEM alert log filtered to SOFT_ALERT threshold events across ≥3 consecutive records per agent.</w:t>
            </w:r>
          </w:p>
        </w:tc>
      </w:tr>
      <w:tr w:rsidR="00EA4835" w:rsidRPr="00AD5F49" w14:paraId="6255EB1A" w14:textId="77777777">
        <w:trPr>
          <w:cantSplit/>
        </w:trPr>
        <w:tc>
          <w:tcPr>
            <w:tcW w:w="141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D9743" w14:textId="77777777" w:rsidR="00EA4835" w:rsidRPr="00AD5F49" w:rsidRDefault="00000000" w:rsidP="00AD5F49">
            <w:pPr>
              <w:pStyle w:val="T0-Table"/>
            </w:pPr>
            <w:r w:rsidRPr="00AD5F49">
              <w:t>HARD_BLOCK events</w:t>
            </w:r>
          </w:p>
        </w:tc>
        <w:tc>
          <w:tcPr>
            <w:tcW w:w="393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10EA31" w14:textId="77777777" w:rsidR="00EA4835" w:rsidRPr="00AD5F49" w:rsidRDefault="00000000" w:rsidP="00AD5F49">
            <w:pPr>
              <w:pStyle w:val="T0-Table"/>
            </w:pPr>
            <w:r w:rsidRPr="00AD5F49">
              <w:t>ASCR-07 / ASCR-04 enforcement evidence records: matched HARD_BLOCK event timestamp, outcome, affected system, and physical-actuation result</w:t>
            </w:r>
          </w:p>
        </w:tc>
        <w:tc>
          <w:tcPr>
            <w:tcW w:w="47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F50F39" w14:textId="77777777" w:rsidR="00EA4835" w:rsidRPr="00AD5F49" w:rsidRDefault="00000000" w:rsidP="00AD5F49">
            <w:pPr>
              <w:pStyle w:val="T0-Table"/>
            </w:pPr>
            <w:r w:rsidRPr="00AD5F49">
              <w:t>Any governed enforcement log that preserves event timestamp, affected system, enforcement outcome, and matched physical-state result. Report count and normalized rate; the event count itself is informational, while failed containment is a zero-tolerance failure metric.</w:t>
            </w:r>
          </w:p>
        </w:tc>
      </w:tr>
      <w:tr w:rsidR="00EA4835" w:rsidRPr="00AD5F49" w14:paraId="0B9E2F4E" w14:textId="77777777">
        <w:trPr>
          <w:cantSplit/>
        </w:trPr>
        <w:tc>
          <w:tcPr>
            <w:tcW w:w="1418" w:type="dxa"/>
            <w:shd w:val="clear" w:color="auto" w:fill="D9E2F3"/>
          </w:tcPr>
          <w:p w14:paraId="152925C8" w14:textId="77777777" w:rsidR="00EA4835" w:rsidRPr="00AD5F49" w:rsidRDefault="00000000" w:rsidP="00AD5F49">
            <w:pPr>
              <w:pStyle w:val="T0-Table"/>
            </w:pPr>
            <w:r w:rsidRPr="00AD5F49">
              <w:t>KQP event count / class</w:t>
            </w:r>
          </w:p>
        </w:tc>
        <w:tc>
          <w:tcPr>
            <w:tcW w:w="3938" w:type="dxa"/>
            <w:shd w:val="clear" w:color="auto" w:fill="D9E2F3"/>
          </w:tcPr>
          <w:p w14:paraId="669B1B42" w14:textId="77777777" w:rsidR="00EA4835" w:rsidRPr="00AD5F49" w:rsidRDefault="00000000" w:rsidP="00AD5F49">
            <w:pPr>
              <w:pStyle w:val="T0-Table"/>
            </w:pPr>
            <w:r w:rsidRPr="00AD5F49">
              <w:t>ASCR-07/gateway evidence records for KQP initiation events; K-1 through K-4 class definitions and KQP/TKQ enforcement semantics are governed by ASCR-04 Section 3.6. Preserve event timestamp, KQP class, affected asset/system, and associated enforcement outcome.</w:t>
            </w:r>
          </w:p>
        </w:tc>
        <w:tc>
          <w:tcPr>
            <w:tcW w:w="4724" w:type="dxa"/>
            <w:shd w:val="clear" w:color="auto" w:fill="D9E2F3"/>
          </w:tcPr>
          <w:p w14:paraId="67719641" w14:textId="77777777" w:rsidR="00EA4835" w:rsidRPr="00AD5F49" w:rsidRDefault="00000000" w:rsidP="00AD5F49">
            <w:pPr>
              <w:pStyle w:val="T0-Table"/>
            </w:pPr>
            <w:r w:rsidRPr="00AD5F49">
              <w:t>Any governed gateway or evidence pipeline that preserves KQP event timestamp, KQP class, affected asset/system, and enforcement outcome with evidentiary integrity.</w:t>
            </w:r>
          </w:p>
        </w:tc>
      </w:tr>
      <w:tr w:rsidR="00EA4835" w:rsidRPr="00AD5F49" w14:paraId="6E47BCB4" w14:textId="77777777">
        <w:trPr>
          <w:cantSplit/>
        </w:trPr>
        <w:tc>
          <w:tcPr>
            <w:tcW w:w="141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98832" w14:textId="77777777" w:rsidR="00EA4835" w:rsidRPr="00AD5F49" w:rsidRDefault="00000000" w:rsidP="00AD5F49">
            <w:pPr>
              <w:pStyle w:val="T0-Table"/>
            </w:pPr>
            <w:r w:rsidRPr="00AD5F49">
              <w:t>SLO-H1 chain-verification availability</w:t>
            </w:r>
          </w:p>
        </w:tc>
        <w:tc>
          <w:tcPr>
            <w:tcW w:w="393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ABD3C" w14:textId="77777777" w:rsidR="00EA4835" w:rsidRPr="00AD5F49" w:rsidRDefault="00000000" w:rsidP="00AD5F49">
            <w:pPr>
              <w:pStyle w:val="T0-Table"/>
            </w:pPr>
            <w:r w:rsidRPr="00AD5F49">
              <w:t>ASCR-07 required chain-verification outcomes: successful required chain-verification checks divided by total required checks, with each CHAIN_DISCONTINUITY tracked separately. Chain=INVALID does not by itself constitute Integrity=BROKEN; any independent cryptographic integrity failure is recorded separately.</w:t>
            </w:r>
          </w:p>
        </w:tc>
        <w:tc>
          <w:tcPr>
            <w:tcW w:w="47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A5CD3" w14:textId="77777777" w:rsidR="00EA4835" w:rsidRPr="00AD5F49" w:rsidRDefault="00000000" w:rsidP="00AD5F49">
            <w:pPr>
              <w:pStyle w:val="T0-Table"/>
            </w:pPr>
            <w:r w:rsidRPr="00AD5F49">
              <w:t>Any audit-trail system that independently verifies ordered chain continuity and records chain-plane failures separately from cryptographic integrity failures.</w:t>
            </w:r>
          </w:p>
        </w:tc>
      </w:tr>
      <w:tr w:rsidR="00EA4835" w:rsidRPr="00AD5F49" w14:paraId="635C3C84" w14:textId="77777777">
        <w:trPr>
          <w:cantSplit/>
        </w:trPr>
        <w:tc>
          <w:tcPr>
            <w:tcW w:w="141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F2C1E" w14:textId="77777777" w:rsidR="00EA4835" w:rsidRPr="00AD5F49" w:rsidRDefault="00000000" w:rsidP="00AD5F49">
            <w:pPr>
              <w:pStyle w:val="T0-Table"/>
            </w:pPr>
            <w:r w:rsidRPr="00AD5F49">
              <w:lastRenderedPageBreak/>
              <w:t>SLO-H2 enforcement latency</w:t>
            </w:r>
          </w:p>
        </w:tc>
        <w:tc>
          <w:tcPr>
            <w:tcW w:w="393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C55F0" w14:textId="77777777" w:rsidR="00EA4835" w:rsidRPr="00AD5F49" w:rsidRDefault="00000000" w:rsidP="00AD5F49">
            <w:pPr>
              <w:pStyle w:val="T0-Table"/>
            </w:pPr>
            <w:r w:rsidRPr="00AD5F49">
              <w:t>Matched ASCR-04 HARD_BLOCK trigger and control-plane enforcement-confirmation timestamps; threshold governed by ASCR-11</w:t>
            </w:r>
          </w:p>
        </w:tc>
        <w:tc>
          <w:tcPr>
            <w:tcW w:w="47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9A644" w14:textId="77777777" w:rsidR="00EA4835" w:rsidRPr="00AD5F49" w:rsidRDefault="00000000" w:rsidP="00AD5F49">
            <w:pPr>
              <w:pStyle w:val="T0-Table"/>
            </w:pPr>
            <w:r w:rsidRPr="00AD5F49">
              <w:t>Any system able to correlate the same HARD_BLOCK event across trigger and enforcement confirmation. Do not subtract independently aggregated percentiles.</w:t>
            </w:r>
          </w:p>
        </w:tc>
      </w:tr>
      <w:tr w:rsidR="00EA4835" w:rsidRPr="00AD5F49" w14:paraId="163DE12D" w14:textId="77777777">
        <w:trPr>
          <w:cantSplit/>
        </w:trPr>
        <w:tc>
          <w:tcPr>
            <w:tcW w:w="141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A8E89" w14:textId="77777777" w:rsidR="00EA4835" w:rsidRPr="00AD5F49" w:rsidRDefault="00000000" w:rsidP="00AD5F49">
            <w:pPr>
              <w:pStyle w:val="T0-Table"/>
            </w:pPr>
            <w:r w:rsidRPr="00AD5F49">
              <w:t>SLO-R1a physical latency</w:t>
            </w:r>
          </w:p>
        </w:tc>
        <w:tc>
          <w:tcPr>
            <w:tcW w:w="393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AFDE7" w14:textId="77777777" w:rsidR="00EA4835" w:rsidRPr="00AD5F49" w:rsidRDefault="00000000" w:rsidP="00AD5F49">
            <w:pPr>
              <w:pStyle w:val="T0-Table"/>
            </w:pPr>
            <w:r w:rsidRPr="00AD5F49">
              <w:t>Matched ASCR-04 HARD_BLOCK timestamp and OT/ICS confirmed safe-state timestamp for the same event; report the governed actuator-layer percentile</w:t>
            </w:r>
          </w:p>
        </w:tc>
        <w:tc>
          <w:tcPr>
            <w:tcW w:w="47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B627C" w14:textId="77777777" w:rsidR="00EA4835" w:rsidRPr="00AD5F49" w:rsidRDefault="00000000" w:rsidP="00AD5F49">
            <w:pPr>
              <w:pStyle w:val="T0-Table"/>
            </w:pPr>
            <w:r w:rsidRPr="00AD5F49">
              <w:t>Physical plant historian or OT monitoring platform with event correlation. Deployment-specific safe-state class bounds are required.</w:t>
            </w:r>
          </w:p>
        </w:tc>
      </w:tr>
      <w:tr w:rsidR="00EA4835" w:rsidRPr="00AD5F49" w14:paraId="5B6F0374" w14:textId="77777777">
        <w:trPr>
          <w:cantSplit/>
        </w:trPr>
        <w:tc>
          <w:tcPr>
            <w:tcW w:w="1418" w:type="dxa"/>
            <w:shd w:val="clear" w:color="auto" w:fill="D9E2F3"/>
          </w:tcPr>
          <w:p w14:paraId="5EF442AE" w14:textId="77777777" w:rsidR="00EA4835" w:rsidRPr="00AD5F49" w:rsidRDefault="00000000" w:rsidP="00AD5F49">
            <w:pPr>
              <w:pStyle w:val="T0-Table"/>
            </w:pPr>
            <w:r w:rsidRPr="00AD5F49">
              <w:t>C.3 cross-zone containment indicators</w:t>
            </w:r>
          </w:p>
        </w:tc>
        <w:tc>
          <w:tcPr>
            <w:tcW w:w="3938" w:type="dxa"/>
            <w:shd w:val="clear" w:color="auto" w:fill="D9E2F3"/>
          </w:tcPr>
          <w:p w14:paraId="5BAEE40D" w14:textId="77777777" w:rsidR="00EA4835" w:rsidRPr="00AD5F49" w:rsidRDefault="00000000" w:rsidP="00AD5F49">
            <w:pPr>
              <w:pStyle w:val="T0-Table"/>
            </w:pPr>
            <w:r w:rsidRPr="00AD5F49">
              <w:t>Boundary-policy violation telemetry plus quarter-end IEC 62443 assessment evidence comparing applicable achieved and target security levels.</w:t>
            </w:r>
          </w:p>
        </w:tc>
        <w:tc>
          <w:tcPr>
            <w:tcW w:w="4724" w:type="dxa"/>
            <w:shd w:val="clear" w:color="auto" w:fill="D9E2F3"/>
          </w:tcPr>
          <w:p w14:paraId="5F6FB491" w14:textId="77777777" w:rsidR="00EA4835" w:rsidRPr="00AD5F49" w:rsidRDefault="00000000" w:rsidP="00AD5F49">
            <w:pPr>
              <w:pStyle w:val="T0-Table"/>
            </w:pPr>
            <w:r w:rsidRPr="00AD5F49">
              <w:t>Firewall/data-diode or equivalent boundary enforcement telemetry plus the organization’s governed IEC 62443 zone/conduit assessment evidence.</w:t>
            </w:r>
          </w:p>
        </w:tc>
      </w:tr>
    </w:tbl>
    <w:p w14:paraId="4CE45EBE" w14:textId="77777777" w:rsidR="00EA4835" w:rsidRPr="00AD5F49" w:rsidRDefault="00EA4835" w:rsidP="00216A62">
      <w:pPr>
        <w:pStyle w:val="P0-Paragraph"/>
      </w:pPr>
    </w:p>
    <w:tbl>
      <w:tblPr>
        <w:tblStyle w:val="af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A4835" w:rsidRPr="00AD5F49" w14:paraId="6625227C" w14:textId="77777777">
        <w:tc>
          <w:tcPr>
            <w:tcW w:w="100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3848C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C.1 / C.3 Note</w:t>
            </w:r>
          </w:p>
          <w:p w14:paraId="37D0F3C8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SLO-H2 and SLO-R1a are recorded ONLY in C.3 of the companion workbook. C.1 contains a cross-reference note. Do not enter SLO-H2 or SLO-R1a values in the C.1 table — enter them in C.3 Control Plane and Physical Actuation tables respectively.</w:t>
            </w:r>
          </w:p>
        </w:tc>
      </w:tr>
    </w:tbl>
    <w:p w14:paraId="39A8DF4A" w14:textId="77777777" w:rsidR="00EA4835" w:rsidRPr="00AD5F49" w:rsidRDefault="00EA4835" w:rsidP="00216A62">
      <w:pPr>
        <w:pStyle w:val="P0-Paragraph"/>
      </w:pPr>
    </w:p>
    <w:p w14:paraId="1E8AF778" w14:textId="77777777" w:rsidR="00EA4835" w:rsidRPr="00AD5F49" w:rsidRDefault="00000000" w:rsidP="00AD5F49">
      <w:pPr>
        <w:pStyle w:val="HS-Heading3"/>
      </w:pPr>
      <w:proofErr w:type="gramStart"/>
      <w:r w:rsidRPr="00AD5F49">
        <w:t>3.2  Section</w:t>
      </w:r>
      <w:proofErr w:type="gramEnd"/>
      <w:r w:rsidRPr="00AD5F49">
        <w:t xml:space="preserve"> D — incident classification</w:t>
      </w:r>
    </w:p>
    <w:p w14:paraId="54448B69" w14:textId="77777777" w:rsidR="00EA4835" w:rsidRPr="00AD5F49" w:rsidRDefault="00000000" w:rsidP="00216A62">
      <w:pPr>
        <w:pStyle w:val="P0-Paragraph"/>
      </w:pPr>
      <w:r w:rsidRPr="00AD5F49">
        <w:t>Primary source: ASCR-08 classification records for the reporting period.</w:t>
      </w:r>
    </w:p>
    <w:tbl>
      <w:tblPr>
        <w:tblStyle w:val="af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55"/>
        <w:gridCol w:w="6925"/>
      </w:tblGrid>
      <w:tr w:rsidR="00EA4835" w:rsidRPr="00AD5F49" w14:paraId="6EDEC82E" w14:textId="77777777">
        <w:trPr>
          <w:cantSplit/>
          <w:tblHeader/>
        </w:trPr>
        <w:tc>
          <w:tcPr>
            <w:tcW w:w="315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52CA9" w14:textId="77777777" w:rsidR="00EA4835" w:rsidRPr="00AD5F49" w:rsidRDefault="00000000" w:rsidP="00AD5F49">
            <w:pPr>
              <w:pStyle w:val="T0-Table"/>
            </w:pPr>
            <w:r w:rsidRPr="00AD5F49">
              <w:t>Field</w:t>
            </w:r>
          </w:p>
        </w:tc>
        <w:tc>
          <w:tcPr>
            <w:tcW w:w="692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F305A" w14:textId="77777777" w:rsidR="00EA4835" w:rsidRPr="00AD5F49" w:rsidRDefault="00000000" w:rsidP="00AD5F49">
            <w:pPr>
              <w:pStyle w:val="T0-Table"/>
            </w:pPr>
            <w:r w:rsidRPr="00AD5F49">
              <w:t>Source and Notes</w:t>
            </w:r>
          </w:p>
        </w:tc>
      </w:tr>
      <w:tr w:rsidR="00EA4835" w:rsidRPr="00AD5F49" w14:paraId="631C08CF" w14:textId="77777777">
        <w:trPr>
          <w:cantSplit/>
        </w:trPr>
        <w:tc>
          <w:tcPr>
            <w:tcW w:w="315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B28498" w14:textId="77777777" w:rsidR="00EA4835" w:rsidRPr="00AD5F49" w:rsidRDefault="00000000" w:rsidP="00AD5F49">
            <w:pPr>
              <w:pStyle w:val="T0-Table"/>
            </w:pPr>
            <w:r w:rsidRPr="00AD5F49">
              <w:t>Type-A / S / X / Indeterminate counts</w:t>
            </w:r>
          </w:p>
        </w:tc>
        <w:tc>
          <w:tcPr>
            <w:tcW w:w="692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5AD09" w14:textId="77777777" w:rsidR="00EA4835" w:rsidRPr="00AD5F49" w:rsidRDefault="00000000" w:rsidP="00AD5F49">
            <w:pPr>
              <w:pStyle w:val="T0-Table"/>
            </w:pPr>
            <w:r w:rsidRPr="00AD5F49">
              <w:t>ASCR-08: intent × locus × authority classification. Roll up to four top-level types for D.1.</w:t>
            </w:r>
          </w:p>
        </w:tc>
      </w:tr>
      <w:tr w:rsidR="00EA4835" w:rsidRPr="00AD5F49" w14:paraId="69258F39" w14:textId="77777777">
        <w:trPr>
          <w:cantSplit/>
        </w:trPr>
        <w:tc>
          <w:tcPr>
            <w:tcW w:w="315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AE589" w14:textId="77777777" w:rsidR="00EA4835" w:rsidRPr="00AD5F49" w:rsidRDefault="00000000" w:rsidP="00AD5F49">
            <w:pPr>
              <w:pStyle w:val="T0-Table"/>
            </w:pPr>
            <w:r w:rsidRPr="00AD5F49">
              <w:t>Physical Consequence Action count</w:t>
            </w:r>
          </w:p>
        </w:tc>
        <w:tc>
          <w:tcPr>
            <w:tcW w:w="692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487AA" w14:textId="77777777" w:rsidR="00EA4835" w:rsidRPr="00AD5F49" w:rsidRDefault="00000000" w:rsidP="00AD5F49">
            <w:pPr>
              <w:pStyle w:val="T0-Table"/>
            </w:pPr>
            <w:r w:rsidRPr="00AD5F49">
              <w:t xml:space="preserve">ASCR-08: incidents with </w:t>
            </w:r>
            <w:proofErr w:type="spellStart"/>
            <w:r w:rsidRPr="00AD5F49">
              <w:t>physical_impact_action</w:t>
            </w:r>
            <w:proofErr w:type="spellEnd"/>
            <w:r w:rsidRPr="00AD5F49">
              <w:t xml:space="preserve"> flag set.</w:t>
            </w:r>
          </w:p>
        </w:tc>
      </w:tr>
      <w:tr w:rsidR="00EA4835" w:rsidRPr="00AD5F49" w14:paraId="1661F030" w14:textId="77777777">
        <w:trPr>
          <w:cantSplit/>
        </w:trPr>
        <w:tc>
          <w:tcPr>
            <w:tcW w:w="315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F47152" w14:textId="77777777" w:rsidR="00EA4835" w:rsidRPr="00AD5F49" w:rsidRDefault="00000000" w:rsidP="00AD5F49">
            <w:pPr>
              <w:pStyle w:val="T0-Table"/>
            </w:pPr>
            <w:r w:rsidRPr="00AD5F49">
              <w:t>NIS2-notifiable count</w:t>
            </w:r>
          </w:p>
        </w:tc>
        <w:tc>
          <w:tcPr>
            <w:tcW w:w="692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C3B0C" w14:textId="77777777" w:rsidR="00EA4835" w:rsidRPr="00AD5F49" w:rsidRDefault="00000000" w:rsidP="00AD5F49">
            <w:pPr>
              <w:pStyle w:val="T0-Table"/>
            </w:pPr>
            <w:r w:rsidRPr="00AD5F49">
              <w:t>ASCR-08 incidents with the applicable NIS2 significant-incident determination. CROSS-CHECK: the D.1 count must reconcile to the H.2 Article 23(4)(a) 24-hour early-warning submissions for the same population.</w:t>
            </w:r>
          </w:p>
        </w:tc>
      </w:tr>
      <w:tr w:rsidR="00EA4835" w:rsidRPr="00AD5F49" w14:paraId="666DB96D" w14:textId="77777777">
        <w:trPr>
          <w:cantSplit/>
        </w:trPr>
        <w:tc>
          <w:tcPr>
            <w:tcW w:w="315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481716" w14:textId="77777777" w:rsidR="00EA4835" w:rsidRPr="00AD5F49" w:rsidRDefault="00000000" w:rsidP="00AD5F49">
            <w:pPr>
              <w:pStyle w:val="T0-Table"/>
            </w:pPr>
            <w:r w:rsidRPr="00AD5F49">
              <w:t>SLO-D1 through SLO-D4</w:t>
            </w:r>
          </w:p>
        </w:tc>
        <w:tc>
          <w:tcPr>
            <w:tcW w:w="692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A82EE" w14:textId="77777777" w:rsidR="00EA4835" w:rsidRPr="00AD5F49" w:rsidRDefault="00000000" w:rsidP="00AD5F49">
            <w:pPr>
              <w:pStyle w:val="T0-Table"/>
            </w:pPr>
            <w:r w:rsidRPr="00AD5F49">
              <w:t>Detection telemetry and validation evidence defined in Chapter 8. Use the deployment-approved threshold reference governed through ASCR-11 for the quarter: ASCR-07/ASOC alert telemetry for D1; ASCR-09 simulation and ASCR-10 calibration evidence for D2; context-integrity investigation dispositions for D3; ASCR-09 coordination-anomaly validation results for D4. If the current executed ASCR-11 instrument does not yet contain the applicable D1-D4 threshold record, identify the approved deployment reference and log the synchronization gap in Section E.2.</w:t>
            </w:r>
          </w:p>
        </w:tc>
      </w:tr>
      <w:tr w:rsidR="00EA4835" w:rsidRPr="00AD5F49" w14:paraId="3214BDED" w14:textId="77777777">
        <w:trPr>
          <w:cantSplit/>
        </w:trPr>
        <w:tc>
          <w:tcPr>
            <w:tcW w:w="3155" w:type="dxa"/>
            <w:shd w:val="clear" w:color="auto" w:fill="FFFFFF"/>
          </w:tcPr>
          <w:p w14:paraId="1A6F8A0E" w14:textId="77777777" w:rsidR="00EA4835" w:rsidRPr="00AD5F49" w:rsidRDefault="00000000" w:rsidP="00AD5F49">
            <w:pPr>
              <w:pStyle w:val="T0-Table"/>
            </w:pPr>
            <w:r w:rsidRPr="00AD5F49">
              <w:lastRenderedPageBreak/>
              <w:t>SLO-R1 through SLO-R4</w:t>
            </w:r>
          </w:p>
        </w:tc>
        <w:tc>
          <w:tcPr>
            <w:tcW w:w="6925" w:type="dxa"/>
            <w:shd w:val="clear" w:color="auto" w:fill="FFFFFF"/>
          </w:tcPr>
          <w:p w14:paraId="440FED70" w14:textId="77777777" w:rsidR="00EA4835" w:rsidRPr="00AD5F49" w:rsidRDefault="00000000" w:rsidP="00AD5F49">
            <w:pPr>
              <w:pStyle w:val="T0-Table"/>
            </w:pPr>
            <w:r w:rsidRPr="00AD5F49">
              <w:t>ASCR-08 response records and the deployment-approved response-SLO threshold reference governed through ASCR-11. If the current executed ASCR-11 instrument does not yet carry the applicable R1-R4 threshold record, identify the approved deployment reference and log the synchronization gap in Section E.2.</w:t>
            </w:r>
          </w:p>
        </w:tc>
      </w:tr>
      <w:tr w:rsidR="00EA4835" w:rsidRPr="00AD5F49" w14:paraId="50E563BA" w14:textId="77777777">
        <w:trPr>
          <w:cantSplit/>
        </w:trPr>
        <w:tc>
          <w:tcPr>
            <w:tcW w:w="3155" w:type="dxa"/>
            <w:shd w:val="clear" w:color="auto" w:fill="D9E2F3"/>
          </w:tcPr>
          <w:p w14:paraId="60C6F793" w14:textId="77777777" w:rsidR="00EA4835" w:rsidRPr="00AD5F49" w:rsidRDefault="00000000" w:rsidP="00AD5F49">
            <w:pPr>
              <w:pStyle w:val="T0-Table"/>
            </w:pPr>
            <w:r w:rsidRPr="00AD5F49">
              <w:t>SLO-F1 through SLO-F2</w:t>
            </w:r>
          </w:p>
        </w:tc>
        <w:tc>
          <w:tcPr>
            <w:tcW w:w="6925" w:type="dxa"/>
            <w:shd w:val="clear" w:color="auto" w:fill="D9E2F3"/>
          </w:tcPr>
          <w:p w14:paraId="4C14B15F" w14:textId="77777777" w:rsidR="00EA4835" w:rsidRPr="00AD5F49" w:rsidRDefault="00000000" w:rsidP="00AD5F49">
            <w:pPr>
              <w:pStyle w:val="T0-Table"/>
            </w:pPr>
            <w:r w:rsidRPr="00AD5F49">
              <w:t>ASCR-07 forensic evidence and ASCR-08 reconstruction/classification records, with the deployment-approved forensic-SLO threshold reference governed through ASCR-11 where applicable.</w:t>
            </w:r>
          </w:p>
        </w:tc>
      </w:tr>
      <w:tr w:rsidR="00EA4835" w:rsidRPr="00AD5F49" w14:paraId="4BF20D5F" w14:textId="77777777">
        <w:trPr>
          <w:cantSplit/>
        </w:trPr>
        <w:tc>
          <w:tcPr>
            <w:tcW w:w="3155" w:type="dxa"/>
            <w:shd w:val="clear" w:color="auto" w:fill="FFFFFF"/>
          </w:tcPr>
          <w:p w14:paraId="0B2FA4B9" w14:textId="77777777" w:rsidR="00EA4835" w:rsidRPr="00AD5F49" w:rsidRDefault="00000000" w:rsidP="00AD5F49">
            <w:pPr>
              <w:pStyle w:val="T0-Table"/>
            </w:pPr>
            <w:r w:rsidRPr="00AD5F49">
              <w:t>SLO-H1 through SLO-H4</w:t>
            </w:r>
          </w:p>
        </w:tc>
        <w:tc>
          <w:tcPr>
            <w:tcW w:w="6925" w:type="dxa"/>
            <w:shd w:val="clear" w:color="auto" w:fill="FFFFFF"/>
          </w:tcPr>
          <w:p w14:paraId="3DCF11FE" w14:textId="77777777" w:rsidR="00EA4835" w:rsidRPr="00AD5F49" w:rsidRDefault="00000000" w:rsidP="00AD5F49">
            <w:pPr>
              <w:pStyle w:val="T0-Table"/>
            </w:pPr>
            <w:r w:rsidRPr="00AD5F49">
              <w:t>H1: ASCR-07 chain-verification telemetry, calculated as successful required chain-verification checks divided by total required checks, with CHAIN_DISCONTINUITY outcomes tracked separately; H2: ASCR-04 hold-enforcement telemetry; H3: ASCR-09 TVA-01 through TVA-05 prerequisite-gate execution records. For each prerequisite gate, record the latest required execution result, the most recent successful execution date, and the evidence reference; evaluate each gate independently and treat the aggregate SLO-H3 status as BREACH when any required prerequisite gate is missing, failed, stale, future-dated, or otherwise invalid. H4: ASCR-07 retention-class assignment audit. Verify that 100% of Physical Consequence Action records were assigned RPLD_RETENTION at ingestion under the ASCR evidentiary policy. Record the separate Legal Counsel RPLD applicability determination, but do not use that legal determination to reduce the SLO-H4 retention population. Any Physical Consequence Action record assigned below RPLD_RETENTION is an SLO-H4 breach; ambiguous or unvalidated classification fails safe to RPLD_RETENTION.</w:t>
            </w:r>
          </w:p>
        </w:tc>
      </w:tr>
      <w:tr w:rsidR="00EA4835" w:rsidRPr="00AD5F49" w14:paraId="301C9CCF" w14:textId="77777777">
        <w:trPr>
          <w:cantSplit/>
        </w:trPr>
        <w:tc>
          <w:tcPr>
            <w:tcW w:w="3155" w:type="dxa"/>
            <w:shd w:val="clear" w:color="auto" w:fill="D9E2F3"/>
          </w:tcPr>
          <w:p w14:paraId="1FF7D606" w14:textId="77777777" w:rsidR="00EA4835" w:rsidRPr="00AD5F49" w:rsidRDefault="00000000" w:rsidP="00AD5F49">
            <w:pPr>
              <w:pStyle w:val="T0-Table"/>
            </w:pPr>
            <w:r w:rsidRPr="00AD5F49">
              <w:t>D.2a Cascade Propagation Latency</w:t>
            </w:r>
          </w:p>
        </w:tc>
        <w:tc>
          <w:tcPr>
            <w:tcW w:w="6925" w:type="dxa"/>
            <w:shd w:val="clear" w:color="auto" w:fill="D9E2F3"/>
          </w:tcPr>
          <w:p w14:paraId="01DA55DC" w14:textId="77777777" w:rsidR="00EA4835" w:rsidRPr="00AD5F49" w:rsidRDefault="00000000" w:rsidP="00AD5F49">
            <w:pPr>
              <w:pStyle w:val="T0-Table"/>
            </w:pPr>
            <w:r w:rsidRPr="00AD5F49">
              <w:t xml:space="preserve">ASCR-06 CSP timing evidence and ASCR-07 cascade records. Measure MFAP/local verdict to </w:t>
            </w:r>
            <w:proofErr w:type="gramStart"/>
            <w:r w:rsidRPr="00AD5F49">
              <w:t>final required</w:t>
            </w:r>
            <w:proofErr w:type="gramEnd"/>
            <w:r w:rsidRPr="00AD5F49">
              <w:t xml:space="preserve"> Safe-State delivery confirmation for the applicable propagation scope.</w:t>
            </w:r>
          </w:p>
        </w:tc>
      </w:tr>
      <w:tr w:rsidR="00EA4835" w:rsidRPr="00AD5F49" w14:paraId="6A38BE4B" w14:textId="77777777">
        <w:trPr>
          <w:cantSplit/>
        </w:trPr>
        <w:tc>
          <w:tcPr>
            <w:tcW w:w="3155" w:type="dxa"/>
            <w:shd w:val="clear" w:color="auto" w:fill="FFFFFF"/>
          </w:tcPr>
          <w:p w14:paraId="54B87A68" w14:textId="77777777" w:rsidR="00EA4835" w:rsidRPr="00AD5F49" w:rsidRDefault="00000000" w:rsidP="00AD5F49">
            <w:pPr>
              <w:pStyle w:val="T0-Table"/>
            </w:pPr>
            <w:r w:rsidRPr="00AD5F49">
              <w:t>D.5 Adversarial Incident Rate</w:t>
            </w:r>
          </w:p>
        </w:tc>
        <w:tc>
          <w:tcPr>
            <w:tcW w:w="6925" w:type="dxa"/>
            <w:shd w:val="clear" w:color="auto" w:fill="FFFFFF"/>
          </w:tcPr>
          <w:p w14:paraId="443CC405" w14:textId="77777777" w:rsidR="00EA4835" w:rsidRPr="00AD5F49" w:rsidRDefault="00000000" w:rsidP="00AD5F49">
            <w:pPr>
              <w:pStyle w:val="T0-Table"/>
            </w:pPr>
            <w:r w:rsidRPr="00AD5F49">
              <w:t>ASCR-08 Type-A incident count / ASCR-07 planning-cycle count × 1,000.</w:t>
            </w:r>
          </w:p>
        </w:tc>
      </w:tr>
      <w:tr w:rsidR="00EA4835" w:rsidRPr="00AD5F49" w14:paraId="07504651" w14:textId="77777777">
        <w:trPr>
          <w:cantSplit/>
        </w:trPr>
        <w:tc>
          <w:tcPr>
            <w:tcW w:w="3155" w:type="dxa"/>
            <w:shd w:val="clear" w:color="auto" w:fill="D9E2F3"/>
          </w:tcPr>
          <w:p w14:paraId="1DE93238" w14:textId="77777777" w:rsidR="00EA4835" w:rsidRPr="00AD5F49" w:rsidRDefault="00000000" w:rsidP="00AD5F49">
            <w:pPr>
              <w:pStyle w:val="T0-Table"/>
            </w:pPr>
            <w:r w:rsidRPr="00AD5F49">
              <w:t>D.5 Autonomy Drift Rate</w:t>
            </w:r>
          </w:p>
        </w:tc>
        <w:tc>
          <w:tcPr>
            <w:tcW w:w="6925" w:type="dxa"/>
            <w:shd w:val="clear" w:color="auto" w:fill="D9E2F3"/>
          </w:tcPr>
          <w:p w14:paraId="16384232" w14:textId="77777777" w:rsidR="00EA4835" w:rsidRPr="00AD5F49" w:rsidRDefault="00000000" w:rsidP="00AD5F49">
            <w:pPr>
              <w:pStyle w:val="T0-Table"/>
            </w:pPr>
            <w:r w:rsidRPr="00AD5F49">
              <w:t xml:space="preserve">ASCR-08 Type-S incident </w:t>
            </w:r>
            <w:proofErr w:type="gramStart"/>
            <w:r w:rsidRPr="00AD5F49">
              <w:t>count</w:t>
            </w:r>
            <w:proofErr w:type="gramEnd"/>
            <w:r w:rsidRPr="00AD5F49">
              <w:t xml:space="preserve"> / autonomous operating hours × 1,000.</w:t>
            </w:r>
          </w:p>
        </w:tc>
      </w:tr>
      <w:tr w:rsidR="00EA4835" w:rsidRPr="00AD5F49" w14:paraId="5B21BDFD" w14:textId="77777777">
        <w:trPr>
          <w:cantSplit/>
        </w:trPr>
        <w:tc>
          <w:tcPr>
            <w:tcW w:w="3155" w:type="dxa"/>
            <w:shd w:val="clear" w:color="auto" w:fill="FFFFFF"/>
          </w:tcPr>
          <w:p w14:paraId="2DA65636" w14:textId="77777777" w:rsidR="00EA4835" w:rsidRPr="00AD5F49" w:rsidRDefault="00000000" w:rsidP="00AD5F49">
            <w:pPr>
              <w:pStyle w:val="T0-Table"/>
            </w:pPr>
            <w:r w:rsidRPr="00AD5F49">
              <w:t>D.5 Temporal Integrity Score</w:t>
            </w:r>
          </w:p>
        </w:tc>
        <w:tc>
          <w:tcPr>
            <w:tcW w:w="6925" w:type="dxa"/>
            <w:shd w:val="clear" w:color="auto" w:fill="FFFFFF"/>
          </w:tcPr>
          <w:p w14:paraId="614625B7" w14:textId="77777777" w:rsidR="00EA4835" w:rsidRPr="00AD5F49" w:rsidRDefault="00000000" w:rsidP="00AD5F49">
            <w:pPr>
              <w:pStyle w:val="T0-Table"/>
            </w:pPr>
            <w:r w:rsidRPr="00AD5F49">
              <w:t>Mean and P95 ASCR-04 hold-enforcement latency reported as separate values, plus Type-X incidents / autonomous operating hours × 1,000. Do not combine unlike units into a scalar unless a governed composite methodology is defined.</w:t>
            </w:r>
          </w:p>
        </w:tc>
      </w:tr>
    </w:tbl>
    <w:p w14:paraId="38826AF4" w14:textId="77777777" w:rsidR="00EA4835" w:rsidRPr="00AD5F49" w:rsidRDefault="00EA4835" w:rsidP="00216A62">
      <w:pPr>
        <w:pStyle w:val="P0-Paragraph"/>
      </w:pPr>
    </w:p>
    <w:p w14:paraId="7E4DD686" w14:textId="77777777" w:rsidR="00EA4835" w:rsidRPr="00AD5F49" w:rsidRDefault="00000000" w:rsidP="00AD5F49">
      <w:pPr>
        <w:pStyle w:val="HS-Heading2"/>
      </w:pPr>
      <w:proofErr w:type="gramStart"/>
      <w:r w:rsidRPr="00AD5F49">
        <w:t>3.3  Section</w:t>
      </w:r>
      <w:proofErr w:type="gramEnd"/>
      <w:r w:rsidRPr="00AD5F49">
        <w:t xml:space="preserve"> E — control effectiveness</w:t>
      </w:r>
    </w:p>
    <w:p w14:paraId="0B2BC240" w14:textId="77777777" w:rsidR="00EA4835" w:rsidRPr="00AD5F49" w:rsidRDefault="00000000" w:rsidP="00216A62">
      <w:pPr>
        <w:pStyle w:val="P0-Paragraph"/>
      </w:pPr>
      <w:r w:rsidRPr="00AD5F49">
        <w:t>Pillar scores are derived from three components per Annex E-1. The Annex E-1 tab in the companion workbook helps to automate some of the calculations.</w:t>
      </w:r>
    </w:p>
    <w:tbl>
      <w:tblPr>
        <w:tblStyle w:val="af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0"/>
        <w:gridCol w:w="6770"/>
      </w:tblGrid>
      <w:tr w:rsidR="00EA4835" w:rsidRPr="00AD5F49" w14:paraId="4527C6E4" w14:textId="77777777">
        <w:trPr>
          <w:cantSplit/>
          <w:tblHeader/>
        </w:trPr>
        <w:tc>
          <w:tcPr>
            <w:tcW w:w="331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7D68F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lastRenderedPageBreak/>
              <w:t>Input</w:t>
            </w:r>
          </w:p>
        </w:tc>
        <w:tc>
          <w:tcPr>
            <w:tcW w:w="677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F0677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Source</w:t>
            </w:r>
          </w:p>
        </w:tc>
      </w:tr>
      <w:tr w:rsidR="00EA4835" w:rsidRPr="00AD5F49" w14:paraId="1243E0F0" w14:textId="77777777">
        <w:trPr>
          <w:cantSplit/>
        </w:trPr>
        <w:tc>
          <w:tcPr>
            <w:tcW w:w="331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5F37E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Component 1 score (SLO performance)</w:t>
            </w:r>
          </w:p>
        </w:tc>
        <w:tc>
          <w:tcPr>
            <w:tcW w:w="677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AFA5E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 xml:space="preserve">Pillar 1 derives Component 1 from the current approved Total ASCR-01 </w:t>
            </w:r>
            <w:proofErr w:type="gramStart"/>
            <w:r w:rsidRPr="00AD5F49">
              <w:rPr>
                <w:rFonts w:eastAsia="Calibri"/>
              </w:rPr>
              <w:t>Score</w:t>
            </w:r>
            <w:proofErr w:type="gramEnd"/>
            <w:r w:rsidRPr="00AD5F49">
              <w:rPr>
                <w:rFonts w:eastAsia="Calibri"/>
              </w:rPr>
              <w:t xml:space="preserve"> / ASCR Prioritization Tier. Pillars 2–4 derive Component 1 from PASS / BREACH / N/A SLO results using the normative Annex E-1 continuous formula and SLO-to-pillar mapping.</w:t>
            </w:r>
          </w:p>
        </w:tc>
      </w:tr>
      <w:tr w:rsidR="00EA4835" w:rsidRPr="00AD5F49" w14:paraId="32B21149" w14:textId="77777777">
        <w:trPr>
          <w:cantSplit/>
        </w:trPr>
        <w:tc>
          <w:tcPr>
            <w:tcW w:w="331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9032B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Component 2 score (gap profile)</w:t>
            </w:r>
          </w:p>
        </w:tc>
        <w:tc>
          <w:tcPr>
            <w:tcW w:w="677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B7A5D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Derived from E.2 and E.3. Lowest applicable condition governs: 5 no gaps; 4 P3 only; 3 P2 present; 2 any P1 open ≤30 days; 1 any P1 open &gt;30 days. The separate &gt;90-day risk-acceptance rule remains in E.3.</w:t>
            </w:r>
          </w:p>
        </w:tc>
      </w:tr>
      <w:tr w:rsidR="00EA4835" w:rsidRPr="00AD5F49" w14:paraId="76F989D1" w14:textId="77777777">
        <w:trPr>
          <w:cantSplit/>
        </w:trPr>
        <w:tc>
          <w:tcPr>
            <w:tcW w:w="331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4DECA4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Component 3 score (exercise performance)</w:t>
            </w:r>
          </w:p>
        </w:tc>
        <w:tc>
          <w:tcPr>
            <w:tcW w:w="677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7C4896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ASCR-09 exercise results using the exhaustive Annex E-1 criteria. Where no exercise occurs in the quarter but SLO-H3 remains current, carry forward the latest in-window exercise result and identify it as carried forward. Any required/in-window exercise failure or SLO-H3 breach is scored per Annex E-1; Component 3 = 1 triggers CISO escalation.</w:t>
            </w:r>
          </w:p>
        </w:tc>
      </w:tr>
      <w:tr w:rsidR="00EA4835" w:rsidRPr="00AD5F49" w14:paraId="482FBF85" w14:textId="77777777">
        <w:trPr>
          <w:cantSplit/>
        </w:trPr>
        <w:tc>
          <w:tcPr>
            <w:tcW w:w="331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90358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Open gaps (E.2)</w:t>
            </w:r>
          </w:p>
        </w:tc>
        <w:tc>
          <w:tcPr>
            <w:tcW w:w="677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240E0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 xml:space="preserve">ASCR-09 findings </w:t>
            </w:r>
            <w:proofErr w:type="gramStart"/>
            <w:r w:rsidRPr="00AD5F49">
              <w:rPr>
                <w:rFonts w:eastAsia="Calibri"/>
              </w:rPr>
              <w:t>not</w:t>
            </w:r>
            <w:proofErr w:type="gramEnd"/>
            <w:r w:rsidRPr="00AD5F49">
              <w:rPr>
                <w:rFonts w:eastAsia="Calibri"/>
              </w:rPr>
              <w:t xml:space="preserve"> yet closed; ASCR-11 SLO breach remediation items; any control gap requiring Blueprint artifact update.</w:t>
            </w:r>
          </w:p>
        </w:tc>
      </w:tr>
      <w:tr w:rsidR="00EA4835" w:rsidRPr="00AD5F49" w14:paraId="2CFC72A0" w14:textId="77777777">
        <w:trPr>
          <w:cantSplit/>
        </w:trPr>
        <w:tc>
          <w:tcPr>
            <w:tcW w:w="3310" w:type="dxa"/>
            <w:shd w:val="clear" w:color="auto" w:fill="FFFFFF"/>
          </w:tcPr>
          <w:p w14:paraId="6AD32B9A" w14:textId="77777777" w:rsidR="00EA4835" w:rsidRPr="00AD5F49" w:rsidRDefault="00000000" w:rsidP="00AD5F49">
            <w:pPr>
              <w:pStyle w:val="T0-Table"/>
            </w:pPr>
            <w:r w:rsidRPr="00AD5F49">
              <w:t>E.4 ASCR-13 role competency / staffing status</w:t>
            </w:r>
          </w:p>
        </w:tc>
        <w:tc>
          <w:tcPr>
            <w:tcW w:w="6770" w:type="dxa"/>
            <w:shd w:val="clear" w:color="auto" w:fill="FFFFFF"/>
          </w:tcPr>
          <w:p w14:paraId="423CAE6D" w14:textId="77777777" w:rsidR="00EA4835" w:rsidRPr="00AD5F49" w:rsidRDefault="00000000" w:rsidP="00AD5F49">
            <w:pPr>
              <w:pStyle w:val="T0-Table"/>
            </w:pPr>
            <w:r w:rsidRPr="00AD5F49">
              <w:t xml:space="preserve">ASCR-13 current capability-gap assessment. Record counts and </w:t>
            </w:r>
            <w:proofErr w:type="gramStart"/>
            <w:r w:rsidRPr="00AD5F49">
              <w:t>affected-role</w:t>
            </w:r>
            <w:proofErr w:type="gramEnd"/>
            <w:r w:rsidRPr="00AD5F49">
              <w:t xml:space="preserve"> identities for Staffed with Gap, Partially Staffed, Unstaffed, and overdue competency-development plans across all current ASCR-13 assessed roles. Carry forward Affected Artifacts and Blocked Artifacts for each reported role, together with assessment date and ASCR-13 assessment reference. This is a governance indicator only and does not alter the Annex E-1 score unless a future controlled ASCR-12 revision explicitly establishes a scoring consequence.</w:t>
            </w:r>
          </w:p>
        </w:tc>
      </w:tr>
      <w:tr w:rsidR="00EA4835" w:rsidRPr="00AD5F49" w14:paraId="0621DA8E" w14:textId="77777777">
        <w:trPr>
          <w:cantSplit/>
        </w:trPr>
        <w:tc>
          <w:tcPr>
            <w:tcW w:w="3310" w:type="dxa"/>
            <w:shd w:val="clear" w:color="auto" w:fill="D9E2F3"/>
          </w:tcPr>
          <w:p w14:paraId="6BC63498" w14:textId="77777777" w:rsidR="00EA4835" w:rsidRPr="00AD5F49" w:rsidRDefault="00000000" w:rsidP="00AD5F49">
            <w:pPr>
              <w:pStyle w:val="T0-Table"/>
            </w:pPr>
            <w:r w:rsidRPr="00AD5F49">
              <w:rPr>
                <w:szCs w:val="20"/>
              </w:rPr>
              <w:t>E.5 Architecture accuracy status</w:t>
            </w:r>
          </w:p>
        </w:tc>
        <w:tc>
          <w:tcPr>
            <w:tcW w:w="6770" w:type="dxa"/>
            <w:shd w:val="clear" w:color="auto" w:fill="D9E2F3"/>
          </w:tcPr>
          <w:p w14:paraId="2DDCAE92" w14:textId="77777777" w:rsidR="00EA4835" w:rsidRPr="00AD5F49" w:rsidRDefault="00000000" w:rsidP="00AD5F49">
            <w:pPr>
              <w:pStyle w:val="T0-Table"/>
            </w:pPr>
            <w:r w:rsidRPr="00AD5F49">
              <w:rPr>
                <w:szCs w:val="20"/>
              </w:rPr>
              <w:t xml:space="preserve">ASCR-05 Section 6.2 quarterly accuracy check; ASCR-05-OE01 </w:t>
            </w:r>
            <w:proofErr w:type="gramStart"/>
            <w:r w:rsidRPr="00AD5F49">
              <w:rPr>
                <w:szCs w:val="20"/>
              </w:rPr>
              <w:t>conduit</w:t>
            </w:r>
            <w:proofErr w:type="gramEnd"/>
            <w:r w:rsidRPr="00AD5F49">
              <w:rPr>
                <w:szCs w:val="20"/>
              </w:rPr>
              <w:t xml:space="preserve"> topology and system inventory; OT Engineering Lead verification; Security/IR Lead review.</w:t>
            </w:r>
          </w:p>
        </w:tc>
      </w:tr>
      <w:tr w:rsidR="00EA4835" w:rsidRPr="00AD5F49" w14:paraId="37A45B92" w14:textId="77777777">
        <w:trPr>
          <w:cantSplit/>
        </w:trPr>
        <w:tc>
          <w:tcPr>
            <w:tcW w:w="3310" w:type="dxa"/>
            <w:shd w:val="clear" w:color="auto" w:fill="FFFFFF"/>
          </w:tcPr>
          <w:p w14:paraId="5BCA1FF3" w14:textId="77777777" w:rsidR="00EA4835" w:rsidRPr="00AD5F49" w:rsidRDefault="00000000" w:rsidP="00AD5F49">
            <w:pPr>
              <w:pStyle w:val="T0-Table"/>
            </w:pPr>
            <w:r w:rsidRPr="00AD5F49">
              <w:rPr>
                <w:szCs w:val="20"/>
              </w:rPr>
              <w:t>E.6 Gateway configuration review status</w:t>
            </w:r>
          </w:p>
        </w:tc>
        <w:tc>
          <w:tcPr>
            <w:tcW w:w="6770" w:type="dxa"/>
            <w:shd w:val="clear" w:color="auto" w:fill="FFFFFF"/>
          </w:tcPr>
          <w:p w14:paraId="7438871D" w14:textId="77777777" w:rsidR="00EA4835" w:rsidRPr="00AD5F49" w:rsidRDefault="00000000" w:rsidP="00AD5F49">
            <w:pPr>
              <w:pStyle w:val="T0-Table"/>
            </w:pPr>
            <w:r w:rsidRPr="00AD5F49">
              <w:rPr>
                <w:szCs w:val="20"/>
              </w:rPr>
              <w:t>ASCR-04 quarterly gateway-configuration review; ASCR-03 scope; ASCR-10-approved gateway manifest/tool inventory; AI-BOM Dimension 4 reconciliation; approved attestation measurement/reference-profile evidence; ASCR-04 performance requirements; current ASCR-04 REQUEST-INTEGRITY-PROFILE; latest required TVA-MCP-01 request-integrity validation evidence.</w:t>
            </w:r>
          </w:p>
        </w:tc>
      </w:tr>
      <w:tr w:rsidR="00EA4835" w:rsidRPr="00AD5F49" w14:paraId="602483F8" w14:textId="77777777">
        <w:tc>
          <w:tcPr>
            <w:tcW w:w="331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59C994" w14:textId="77777777" w:rsidR="00EA4835" w:rsidRPr="00AD5F49" w:rsidRDefault="00000000" w:rsidP="00AD5F49">
            <w:pPr>
              <w:pStyle w:val="T0-Table"/>
            </w:pPr>
            <w:r w:rsidRPr="00AD5F49">
              <w:t>E.7 Lessons-learned integration status</w:t>
            </w:r>
          </w:p>
        </w:tc>
        <w:tc>
          <w:tcPr>
            <w:tcW w:w="677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70EEE" w14:textId="77777777" w:rsidR="00EA4835" w:rsidRPr="00AD5F49" w:rsidRDefault="00000000" w:rsidP="00AD5F49">
            <w:pPr>
              <w:pStyle w:val="T0-Table"/>
            </w:pPr>
            <w:r w:rsidRPr="00AD5F49">
              <w:t>ASCR-01 Q25 governance metric. Report required integration actions due, actions completed within the governed improvement window, integration rate, overdue actions, and evidence references. No Annex E-1 score effect in Version 1.0.</w:t>
            </w:r>
          </w:p>
        </w:tc>
      </w:tr>
      <w:tr w:rsidR="00EA4835" w:rsidRPr="00AD5F49" w14:paraId="42120AC1" w14:textId="77777777">
        <w:tc>
          <w:tcPr>
            <w:tcW w:w="331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7B42E" w14:textId="77777777" w:rsidR="00EA4835" w:rsidRPr="00AD5F49" w:rsidRDefault="00000000" w:rsidP="00AD5F49">
            <w:pPr>
              <w:pStyle w:val="T0-Table"/>
            </w:pPr>
            <w:r w:rsidRPr="00AD5F49">
              <w:t>E.8 ASCR-10 change control health</w:t>
            </w:r>
          </w:p>
        </w:tc>
        <w:tc>
          <w:tcPr>
            <w:tcW w:w="677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848EA" w14:textId="77777777" w:rsidR="00EA4835" w:rsidRPr="00AD5F49" w:rsidRDefault="00000000" w:rsidP="00AD5F49">
            <w:pPr>
              <w:pStyle w:val="T0-Table"/>
            </w:pPr>
            <w:r w:rsidRPr="00AD5F49">
              <w:t xml:space="preserve">ASCR-10 Section 7 metrics: AI-BOM currency rate; Tier 1 and Tier 2 authorization-cycle medians; routine Tier 3 authorization-cycle median; emergency Tier 3 authorization-cycle median and maximum; shadow-mode stability rate. Report current/prior values and evidence references. Emergency </w:t>
            </w:r>
            <w:r w:rsidRPr="00AD5F49">
              <w:lastRenderedPageBreak/>
              <w:t>Tier 3 timing is evaluated against the approved ASCR-10 EMERG-T3-TARGET; routine and emergency Tier 3 populations must not be combined.</w:t>
            </w:r>
          </w:p>
        </w:tc>
      </w:tr>
      <w:tr w:rsidR="00EA4835" w:rsidRPr="00AD5F49" w14:paraId="0FEA4BF1" w14:textId="77777777">
        <w:tc>
          <w:tcPr>
            <w:tcW w:w="331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36E79" w14:textId="77777777" w:rsidR="00EA4835" w:rsidRPr="00AD5F49" w:rsidRDefault="00000000" w:rsidP="00AD5F49">
            <w:pPr>
              <w:pStyle w:val="T0-Table"/>
            </w:pPr>
            <w:r w:rsidRPr="00AD5F49">
              <w:lastRenderedPageBreak/>
              <w:t>E.9 ASCR-06 verification health</w:t>
            </w:r>
          </w:p>
        </w:tc>
        <w:tc>
          <w:tcPr>
            <w:tcW w:w="677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21E20F" w14:textId="77777777" w:rsidR="00EA4835" w:rsidRPr="00AD5F49" w:rsidRDefault="00000000" w:rsidP="00AD5F49">
            <w:pPr>
              <w:pStyle w:val="T0-Table"/>
            </w:pPr>
            <w:r w:rsidRPr="00AD5F49">
              <w:t xml:space="preserve">ASCR-06 OE03 Section 6.1 required metrics: verdict totals, </w:t>
            </w:r>
            <w:proofErr w:type="spellStart"/>
            <w:r w:rsidRPr="00AD5F49">
              <w:t>VerifyCommand</w:t>
            </w:r>
            <w:proofErr w:type="spellEnd"/>
            <w:r w:rsidRPr="00AD5F49">
              <w:t xml:space="preserve"> P95/P99 latency, drift-near-threshold count, queue depth, simulation-fidelity modes, Safe-State activations, integrity events, and bootstrap-state exceptions.</w:t>
            </w:r>
          </w:p>
        </w:tc>
      </w:tr>
    </w:tbl>
    <w:p w14:paraId="2A702502" w14:textId="77777777" w:rsidR="00EA4835" w:rsidRPr="00AD5F49" w:rsidRDefault="00EA4835" w:rsidP="00216A62">
      <w:pPr>
        <w:pStyle w:val="P0-Paragraph"/>
      </w:pPr>
    </w:p>
    <w:p w14:paraId="2B488A01" w14:textId="77777777" w:rsidR="00EA4835" w:rsidRPr="00AD5F49" w:rsidRDefault="00000000" w:rsidP="00AD5F49">
      <w:pPr>
        <w:pStyle w:val="HS-Heading3"/>
      </w:pPr>
      <w:proofErr w:type="gramStart"/>
      <w:r w:rsidRPr="00AD5F49">
        <w:t>3.4  Section</w:t>
      </w:r>
      <w:proofErr w:type="gramEnd"/>
      <w:r w:rsidRPr="00AD5F49">
        <w:t xml:space="preserve"> G — ASCR-01 assessment score trend</w:t>
      </w:r>
    </w:p>
    <w:p w14:paraId="18E31EC2" w14:textId="77777777" w:rsidR="00EA4835" w:rsidRPr="00AD5F49" w:rsidRDefault="00000000" w:rsidP="00216A62">
      <w:pPr>
        <w:pStyle w:val="P0-Paragraph"/>
      </w:pPr>
      <w:r w:rsidRPr="00AD5F49">
        <w:t xml:space="preserve">Primary source: the latest approved ASCR-01 six-cluster assessment, Total ASCR-01 </w:t>
      </w:r>
      <w:proofErr w:type="gramStart"/>
      <w:r w:rsidRPr="00AD5F49">
        <w:t>Score</w:t>
      </w:r>
      <w:proofErr w:type="gramEnd"/>
      <w:r w:rsidRPr="00AD5F49">
        <w:t>, and ASCR Prioritization Tier in force at quarter close.</w:t>
      </w:r>
    </w:p>
    <w:tbl>
      <w:tblPr>
        <w:tblStyle w:val="af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1"/>
        <w:gridCol w:w="7009"/>
      </w:tblGrid>
      <w:tr w:rsidR="00EA4835" w:rsidRPr="00AD5F49" w14:paraId="4E7B1D4A" w14:textId="77777777">
        <w:trPr>
          <w:cantSplit/>
          <w:tblHeader/>
        </w:trPr>
        <w:tc>
          <w:tcPr>
            <w:tcW w:w="30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FBC83" w14:textId="77777777" w:rsidR="00EA4835" w:rsidRPr="00AD5F49" w:rsidRDefault="00000000" w:rsidP="00AD5F49">
            <w:pPr>
              <w:pStyle w:val="T0-Table"/>
            </w:pPr>
            <w:r w:rsidRPr="00AD5F49">
              <w:t>Field</w:t>
            </w:r>
          </w:p>
        </w:tc>
        <w:tc>
          <w:tcPr>
            <w:tcW w:w="700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FC4BB" w14:textId="77777777" w:rsidR="00EA4835" w:rsidRPr="00AD5F49" w:rsidRDefault="00000000" w:rsidP="00AD5F49">
            <w:pPr>
              <w:pStyle w:val="T0-Table"/>
            </w:pPr>
            <w:r w:rsidRPr="00AD5F49">
              <w:t>Source and Notes</w:t>
            </w:r>
          </w:p>
        </w:tc>
      </w:tr>
      <w:tr w:rsidR="00EA4835" w:rsidRPr="00AD5F49" w14:paraId="3D151838" w14:textId="77777777">
        <w:trPr>
          <w:cantSplit/>
        </w:trPr>
        <w:tc>
          <w:tcPr>
            <w:tcW w:w="30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F742D" w14:textId="77777777" w:rsidR="00EA4835" w:rsidRPr="00AD5F49" w:rsidRDefault="00000000" w:rsidP="00AD5F49">
            <w:pPr>
              <w:pStyle w:val="T0-Table"/>
            </w:pPr>
            <w:r w:rsidRPr="00AD5F49">
              <w:t>Current Cluster Scores</w:t>
            </w:r>
          </w:p>
        </w:tc>
        <w:tc>
          <w:tcPr>
            <w:tcW w:w="700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8C973" w14:textId="77777777" w:rsidR="00EA4835" w:rsidRPr="00AD5F49" w:rsidRDefault="00000000" w:rsidP="00AD5F49">
            <w:pPr>
              <w:pStyle w:val="T0-Table"/>
            </w:pPr>
            <w:r w:rsidRPr="00AD5F49">
              <w:t>Latest approved ASCR-</w:t>
            </w:r>
            <w:proofErr w:type="gramStart"/>
            <w:r w:rsidRPr="00AD5F49">
              <w:t>01:OE</w:t>
            </w:r>
            <w:proofErr w:type="gramEnd"/>
            <w:r w:rsidRPr="00AD5F49">
              <w:t>01 Cluster Roll-up. Use the six normalized Cluster Scores in force at quarter close.</w:t>
            </w:r>
          </w:p>
        </w:tc>
      </w:tr>
      <w:tr w:rsidR="00EA4835" w:rsidRPr="00AD5F49" w14:paraId="73122A45" w14:textId="77777777">
        <w:trPr>
          <w:cantSplit/>
        </w:trPr>
        <w:tc>
          <w:tcPr>
            <w:tcW w:w="30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EF535" w14:textId="77777777" w:rsidR="00EA4835" w:rsidRPr="00AD5F49" w:rsidRDefault="00000000" w:rsidP="00AD5F49">
            <w:pPr>
              <w:pStyle w:val="T0-Table"/>
            </w:pPr>
            <w:r w:rsidRPr="00AD5F49">
              <w:t xml:space="preserve">Current Total ASCR-01 </w:t>
            </w:r>
            <w:proofErr w:type="gramStart"/>
            <w:r w:rsidRPr="00AD5F49">
              <w:t>Score</w:t>
            </w:r>
            <w:proofErr w:type="gramEnd"/>
          </w:p>
        </w:tc>
        <w:tc>
          <w:tcPr>
            <w:tcW w:w="700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1DC6E" w14:textId="77777777" w:rsidR="00EA4835" w:rsidRPr="00AD5F49" w:rsidRDefault="00000000" w:rsidP="00AD5F49">
            <w:pPr>
              <w:pStyle w:val="T0-Table"/>
            </w:pPr>
            <w:r w:rsidRPr="00AD5F49">
              <w:t xml:space="preserve">Latest approved Total ASCR-01 </w:t>
            </w:r>
            <w:proofErr w:type="gramStart"/>
            <w:r w:rsidRPr="00AD5F49">
              <w:t>Score</w:t>
            </w:r>
            <w:proofErr w:type="gramEnd"/>
            <w:r w:rsidRPr="00AD5F49">
              <w:t xml:space="preserve">. The Total is the arithmetic </w:t>
            </w:r>
            <w:proofErr w:type="gramStart"/>
            <w:r w:rsidRPr="00AD5F49">
              <w:t>mean</w:t>
            </w:r>
            <w:proofErr w:type="gramEnd"/>
            <w:r w:rsidRPr="00AD5F49">
              <w:t xml:space="preserve"> of applicable complete Cluster Scores.</w:t>
            </w:r>
          </w:p>
        </w:tc>
      </w:tr>
      <w:tr w:rsidR="00EA4835" w:rsidRPr="00AD5F49" w14:paraId="254D4CF0" w14:textId="77777777">
        <w:trPr>
          <w:cantSplit/>
        </w:trPr>
        <w:tc>
          <w:tcPr>
            <w:tcW w:w="30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C8FC1" w14:textId="77777777" w:rsidR="00EA4835" w:rsidRPr="00AD5F49" w:rsidRDefault="00000000" w:rsidP="00AD5F49">
            <w:pPr>
              <w:pStyle w:val="T0-Table"/>
            </w:pPr>
            <w:r w:rsidRPr="00AD5F49">
              <w:t>ASCR Prioritization Tier</w:t>
            </w:r>
          </w:p>
        </w:tc>
        <w:tc>
          <w:tcPr>
            <w:tcW w:w="700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3AE2B" w14:textId="77777777" w:rsidR="00EA4835" w:rsidRPr="00AD5F49" w:rsidRDefault="00000000" w:rsidP="00AD5F49">
            <w:pPr>
              <w:pStyle w:val="T0-Table"/>
            </w:pPr>
            <w:r w:rsidRPr="00AD5F49">
              <w:t>Copy the Total Score tier from ASCR-01. Do not assign prioritization tiers to individual Cluster Scores.</w:t>
            </w:r>
          </w:p>
        </w:tc>
      </w:tr>
      <w:tr w:rsidR="00EA4835" w:rsidRPr="00AD5F49" w14:paraId="54473BEF" w14:textId="77777777">
        <w:trPr>
          <w:cantSplit/>
        </w:trPr>
        <w:tc>
          <w:tcPr>
            <w:tcW w:w="30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8D5833" w14:textId="77777777" w:rsidR="00EA4835" w:rsidRPr="00AD5F49" w:rsidRDefault="00000000" w:rsidP="00AD5F49">
            <w:pPr>
              <w:pStyle w:val="T0-Table"/>
            </w:pPr>
            <w:r w:rsidRPr="00AD5F49">
              <w:t>Prior approved assessment</w:t>
            </w:r>
          </w:p>
        </w:tc>
        <w:tc>
          <w:tcPr>
            <w:tcW w:w="700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D698E" w14:textId="77777777" w:rsidR="00EA4835" w:rsidRPr="00AD5F49" w:rsidRDefault="00000000" w:rsidP="00AD5F49">
            <w:pPr>
              <w:pStyle w:val="T0-Table"/>
            </w:pPr>
            <w:proofErr w:type="gramStart"/>
            <w:r w:rsidRPr="00AD5F49">
              <w:t>Previous</w:t>
            </w:r>
            <w:proofErr w:type="gramEnd"/>
            <w:r w:rsidRPr="00AD5F49">
              <w:t xml:space="preserve"> approved ASCR-01 assessment for the same deployment scope and comparable methodology profile; this is not necessarily the prior quarter.</w:t>
            </w:r>
          </w:p>
        </w:tc>
      </w:tr>
      <w:tr w:rsidR="00EA4835" w:rsidRPr="00AD5F49" w14:paraId="04B1E758" w14:textId="77777777">
        <w:trPr>
          <w:cantSplit/>
        </w:trPr>
        <w:tc>
          <w:tcPr>
            <w:tcW w:w="3071" w:type="dxa"/>
            <w:shd w:val="clear" w:color="auto" w:fill="FFFFFF"/>
          </w:tcPr>
          <w:p w14:paraId="4BD32760" w14:textId="77777777" w:rsidR="00EA4835" w:rsidRPr="00AD5F49" w:rsidRDefault="00000000" w:rsidP="00AD5F49">
            <w:pPr>
              <w:pStyle w:val="T0-Table"/>
            </w:pPr>
            <w:r w:rsidRPr="00AD5F49">
              <w:t>Initial baseline</w:t>
            </w:r>
          </w:p>
        </w:tc>
        <w:tc>
          <w:tcPr>
            <w:tcW w:w="7009" w:type="dxa"/>
            <w:shd w:val="clear" w:color="auto" w:fill="FFFFFF"/>
          </w:tcPr>
          <w:p w14:paraId="7E9A68C2" w14:textId="77777777" w:rsidR="00EA4835" w:rsidRPr="00AD5F49" w:rsidRDefault="00000000" w:rsidP="00AD5F49">
            <w:pPr>
              <w:pStyle w:val="T0-Table"/>
            </w:pPr>
            <w:r w:rsidRPr="00AD5F49">
              <w:t>First approved ASCR-01 assessment for the same deployment scope and comparable methodology profile.</w:t>
            </w:r>
          </w:p>
        </w:tc>
      </w:tr>
      <w:tr w:rsidR="00EA4835" w:rsidRPr="00AD5F49" w14:paraId="73496343" w14:textId="77777777">
        <w:trPr>
          <w:cantSplit/>
        </w:trPr>
        <w:tc>
          <w:tcPr>
            <w:tcW w:w="3071" w:type="dxa"/>
            <w:shd w:val="clear" w:color="auto" w:fill="D9E2F3"/>
          </w:tcPr>
          <w:p w14:paraId="3804E107" w14:textId="77777777" w:rsidR="00EA4835" w:rsidRPr="00AD5F49" w:rsidRDefault="00000000" w:rsidP="00AD5F49">
            <w:pPr>
              <w:pStyle w:val="T0-Table"/>
            </w:pPr>
            <w:r w:rsidRPr="00AD5F49">
              <w:t>Applicable clusters</w:t>
            </w:r>
          </w:p>
        </w:tc>
        <w:tc>
          <w:tcPr>
            <w:tcW w:w="7009" w:type="dxa"/>
            <w:shd w:val="clear" w:color="auto" w:fill="D9E2F3"/>
          </w:tcPr>
          <w:p w14:paraId="2E399D04" w14:textId="77777777" w:rsidR="00EA4835" w:rsidRPr="00AD5F49" w:rsidRDefault="00000000" w:rsidP="00AD5F49">
            <w:pPr>
              <w:pStyle w:val="T0-Table"/>
            </w:pPr>
            <w:r w:rsidRPr="00AD5F49">
              <w:t>Record which of the six clusters are applicable. A cluster for which every question is N/A is excluded from the Total.</w:t>
            </w:r>
          </w:p>
        </w:tc>
      </w:tr>
      <w:tr w:rsidR="00EA4835" w:rsidRPr="00AD5F49" w14:paraId="27F79D58" w14:textId="77777777">
        <w:trPr>
          <w:cantSplit/>
        </w:trPr>
        <w:tc>
          <w:tcPr>
            <w:tcW w:w="3071" w:type="dxa"/>
            <w:shd w:val="clear" w:color="auto" w:fill="FFFFFF"/>
          </w:tcPr>
          <w:p w14:paraId="6172061C" w14:textId="77777777" w:rsidR="00EA4835" w:rsidRPr="00AD5F49" w:rsidRDefault="00000000" w:rsidP="00AD5F49">
            <w:pPr>
              <w:pStyle w:val="T0-Table"/>
            </w:pPr>
            <w:r w:rsidRPr="00AD5F49">
              <w:t>Four-quarter reporting trend (G.1a)</w:t>
            </w:r>
          </w:p>
        </w:tc>
        <w:tc>
          <w:tcPr>
            <w:tcW w:w="7009" w:type="dxa"/>
            <w:shd w:val="clear" w:color="auto" w:fill="FFFFFF"/>
          </w:tcPr>
          <w:p w14:paraId="6E615B47" w14:textId="77777777" w:rsidR="00EA4835" w:rsidRPr="00AD5F49" w:rsidRDefault="00000000" w:rsidP="00AD5F49">
            <w:pPr>
              <w:pStyle w:val="T0-Table"/>
            </w:pPr>
            <w:r w:rsidRPr="00AD5F49">
              <w:t>For each scorecard quarter, use the latest approved ASCR-01 assessment in force at quarter close. Mark quarters in which the score was carried forward without a new assessment.</w:t>
            </w:r>
          </w:p>
        </w:tc>
      </w:tr>
      <w:tr w:rsidR="00EA4835" w:rsidRPr="00AD5F49" w14:paraId="416E3BC3" w14:textId="77777777">
        <w:trPr>
          <w:cantSplit/>
        </w:trPr>
        <w:tc>
          <w:tcPr>
            <w:tcW w:w="3071" w:type="dxa"/>
            <w:shd w:val="clear" w:color="auto" w:fill="D9E2F3"/>
          </w:tcPr>
          <w:p w14:paraId="615BF7D5" w14:textId="77777777" w:rsidR="00EA4835" w:rsidRPr="00AD5F49" w:rsidRDefault="00000000" w:rsidP="00AD5F49">
            <w:pPr>
              <w:pStyle w:val="T0-Table"/>
            </w:pPr>
            <w:r w:rsidRPr="00AD5F49">
              <w:t>Reassessment triggers (G.3)</w:t>
            </w:r>
          </w:p>
        </w:tc>
        <w:tc>
          <w:tcPr>
            <w:tcW w:w="7009" w:type="dxa"/>
            <w:shd w:val="clear" w:color="auto" w:fill="D9E2F3"/>
          </w:tcPr>
          <w:p w14:paraId="203F8F6E" w14:textId="77777777" w:rsidR="00EA4835" w:rsidRPr="00AD5F49" w:rsidRDefault="00000000" w:rsidP="00AD5F49">
            <w:pPr>
              <w:pStyle w:val="T0-Table"/>
            </w:pPr>
            <w:r w:rsidRPr="00AD5F49">
              <w:t>Apply the current ASCR-01 maintenance schedule. Do not use legacy 0-100 point-change triggers. For incident-driven review, reassess when a confirmed Physical AI incident reveals a gap between the assessed baseline and the observed failure mode.</w:t>
            </w:r>
          </w:p>
        </w:tc>
      </w:tr>
    </w:tbl>
    <w:p w14:paraId="7F4215DA" w14:textId="77777777" w:rsidR="00EA4835" w:rsidRPr="00AD5F49" w:rsidRDefault="00000000" w:rsidP="00AD5F49">
      <w:pPr>
        <w:pStyle w:val="HS-Heading3"/>
      </w:pPr>
      <w:proofErr w:type="gramStart"/>
      <w:r w:rsidRPr="00AD5F49">
        <w:t>3.5  Section</w:t>
      </w:r>
      <w:proofErr w:type="gramEnd"/>
      <w:r w:rsidRPr="00AD5F49">
        <w:t xml:space="preserve"> H — regulatory compliance</w:t>
      </w:r>
    </w:p>
    <w:p w14:paraId="254D4C53" w14:textId="77777777" w:rsidR="00EA4835" w:rsidRPr="00AD5F49" w:rsidRDefault="00000000" w:rsidP="00216A62">
      <w:pPr>
        <w:pStyle w:val="P0-Paragraph"/>
      </w:pPr>
      <w:r w:rsidRPr="00AD5F49">
        <w:t>Primary source: Legal / Compliance team direct assessment. ASOC Lead provides supporting evidence references; Legal / Compliance sets status.</w:t>
      </w:r>
    </w:p>
    <w:tbl>
      <w:tblPr>
        <w:tblStyle w:val="aff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2"/>
        <w:gridCol w:w="6978"/>
      </w:tblGrid>
      <w:tr w:rsidR="00EA4835" w:rsidRPr="00AD5F49" w14:paraId="0DB1ED2D" w14:textId="77777777">
        <w:trPr>
          <w:cantSplit/>
          <w:tblHeader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5D702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lastRenderedPageBreak/>
              <w:t>Regulation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62CD0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Evidence Reference Chain</w:t>
            </w:r>
          </w:p>
        </w:tc>
      </w:tr>
      <w:tr w:rsidR="00EA4835" w:rsidRPr="00AD5F49" w14:paraId="2D2823F1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E48101" w14:textId="77777777" w:rsidR="00EA4835" w:rsidRPr="00AD5F49" w:rsidRDefault="00000000" w:rsidP="00AD5F49">
            <w:pPr>
              <w:pStyle w:val="T0-Table"/>
            </w:pPr>
            <w:r w:rsidRPr="00AD5F49">
              <w:t>EU AI Act Art. 9 (risk management)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60344" w14:textId="77777777" w:rsidR="00EA4835" w:rsidRPr="00AD5F49" w:rsidRDefault="00000000" w:rsidP="00AD5F49">
            <w:pPr>
              <w:pStyle w:val="T0-Table"/>
            </w:pPr>
            <w:r w:rsidRPr="00AD5F49">
              <w:t>ASCR-01 completed + ASCR-12 provides recurring evidence that the organization's ASCR risk-management and assurance process is being executed. This evidence can support the applicable risk-management obligation but does not itself establish legal conformity; use the applicable-from fields in H.1 where the requirement is not yet applicable.</w:t>
            </w:r>
          </w:p>
        </w:tc>
      </w:tr>
      <w:tr w:rsidR="00EA4835" w:rsidRPr="00AD5F49" w14:paraId="254581E1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79F07" w14:textId="77777777" w:rsidR="00EA4835" w:rsidRPr="00AD5F49" w:rsidRDefault="00000000" w:rsidP="00AD5F49">
            <w:pPr>
              <w:pStyle w:val="T0-Table"/>
            </w:pPr>
            <w:r w:rsidRPr="00AD5F49">
              <w:t>EU AI Act Art. 12 (logging)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CBE82" w14:textId="77777777" w:rsidR="00EA4835" w:rsidRPr="00AD5F49" w:rsidRDefault="00000000" w:rsidP="00AD5F49">
            <w:pPr>
              <w:pStyle w:val="T0-Table"/>
            </w:pPr>
            <w:r w:rsidRPr="00AD5F49">
              <w:t>ASCR-07 planning-cycle records + ASCR-08 incident records constitute the logging evidence.</w:t>
            </w:r>
          </w:p>
        </w:tc>
      </w:tr>
      <w:tr w:rsidR="00EA4835" w:rsidRPr="00AD5F49" w14:paraId="3560FDDB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469EE" w14:textId="77777777" w:rsidR="00EA4835" w:rsidRPr="00AD5F49" w:rsidRDefault="00000000" w:rsidP="00AD5F49">
            <w:pPr>
              <w:pStyle w:val="T0-Table"/>
            </w:pPr>
            <w:r w:rsidRPr="00AD5F49">
              <w:t>EU AI Act Art. 73 (serious-incident reporting)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0BD75" w14:textId="77777777" w:rsidR="00EA4835" w:rsidRPr="00AD5F49" w:rsidRDefault="00000000" w:rsidP="00AD5F49">
            <w:pPr>
              <w:pStyle w:val="T0-Table"/>
            </w:pPr>
            <w:r w:rsidRPr="00AD5F49">
              <w:t>Use the AI Act serious-incident population and the applicable reporting category/deadline recorded in H.1. NIS2 SLO-R4 is not the operative AI Act reporting threshold.</w:t>
            </w:r>
          </w:p>
        </w:tc>
      </w:tr>
      <w:tr w:rsidR="00EA4835" w:rsidRPr="00AD5F49" w14:paraId="59CECFD2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797EB" w14:textId="77777777" w:rsidR="00EA4835" w:rsidRPr="00AD5F49" w:rsidRDefault="00000000" w:rsidP="00AD5F49">
            <w:pPr>
              <w:pStyle w:val="T0-Table"/>
            </w:pPr>
            <w:r w:rsidRPr="00AD5F49">
              <w:t>NIS2 Art. 23(4) notification sequence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BF8A7" w14:textId="77777777" w:rsidR="00EA4835" w:rsidRPr="00AD5F49" w:rsidRDefault="00000000" w:rsidP="00AD5F49">
            <w:pPr>
              <w:pStyle w:val="T0-Table"/>
            </w:pPr>
            <w:r w:rsidRPr="00AD5F49">
              <w:t>ASCR-08 significant-incident determination + H.2 24-hour early warning, 72-hour incident notification, and one-month final-report evidence. D.1 count reconciles to the 24-hour early-warning submission count.</w:t>
            </w:r>
          </w:p>
        </w:tc>
      </w:tr>
      <w:tr w:rsidR="00EA4835" w:rsidRPr="00AD5F49" w14:paraId="35A58830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78B1F" w14:textId="77777777" w:rsidR="00EA4835" w:rsidRPr="00AD5F49" w:rsidRDefault="00000000" w:rsidP="00AD5F49">
            <w:pPr>
              <w:pStyle w:val="T0-Table"/>
            </w:pPr>
            <w:r w:rsidRPr="00AD5F49">
              <w:t>DORA Arts. 6, 19, 24–26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10A51" w14:textId="77777777" w:rsidR="00EA4835" w:rsidRPr="00AD5F49" w:rsidRDefault="00000000" w:rsidP="00AD5F49">
            <w:pPr>
              <w:pStyle w:val="T0-Table"/>
            </w:pPr>
            <w:r w:rsidRPr="00AD5F49">
              <w:t xml:space="preserve">Financial-sector operators only. ICT risk framework evidence from ASCR-01; incident evidence from ASCR-08; general resilience-testing </w:t>
            </w:r>
            <w:proofErr w:type="spellStart"/>
            <w:r w:rsidRPr="00AD5F49">
              <w:t>programme</w:t>
            </w:r>
            <w:proofErr w:type="spellEnd"/>
            <w:r w:rsidRPr="00AD5F49">
              <w:t xml:space="preserve"> and ICT testing from Arts. 24–25; TLPT under Art. 26 where in scope.</w:t>
            </w:r>
          </w:p>
        </w:tc>
      </w:tr>
      <w:tr w:rsidR="00EA4835" w:rsidRPr="00AD5F49" w14:paraId="4411F97A" w14:textId="77777777">
        <w:trPr>
          <w:cantSplit/>
        </w:trPr>
        <w:tc>
          <w:tcPr>
            <w:tcW w:w="3102" w:type="dxa"/>
            <w:shd w:val="clear" w:color="auto" w:fill="D9E2F3"/>
          </w:tcPr>
          <w:p w14:paraId="2A666D35" w14:textId="77777777" w:rsidR="00EA4835" w:rsidRPr="00AD5F49" w:rsidRDefault="00000000" w:rsidP="00AD5F49">
            <w:pPr>
              <w:pStyle w:val="T0-Table"/>
            </w:pPr>
            <w:r w:rsidRPr="00AD5F49">
              <w:t>RPLD Arts. 9(1), 10(2)(a), 16–17</w:t>
            </w:r>
          </w:p>
        </w:tc>
        <w:tc>
          <w:tcPr>
            <w:tcW w:w="6978" w:type="dxa"/>
            <w:shd w:val="clear" w:color="auto" w:fill="D9E2F3"/>
          </w:tcPr>
          <w:p w14:paraId="367866F1" w14:textId="77777777" w:rsidR="00EA4835" w:rsidRPr="00AD5F49" w:rsidRDefault="00000000" w:rsidP="00AD5F49">
            <w:pPr>
              <w:pStyle w:val="T0-Table"/>
            </w:pPr>
            <w:r w:rsidRPr="00AD5F49">
              <w:t>H.3 maps evidence-disclosure readiness under Art. 9(1) and the non-disclosure presumption under Art. 10(2)(a); retention decisions are deployment-specific and must consider the applicable Art. 16 limitation and Art. 17 expiry periods.</w:t>
            </w:r>
          </w:p>
        </w:tc>
      </w:tr>
    </w:tbl>
    <w:p w14:paraId="11D5D7C7" w14:textId="77777777" w:rsidR="00EA4835" w:rsidRPr="00AD5F49" w:rsidRDefault="00000000" w:rsidP="00AD5F49">
      <w:pPr>
        <w:pStyle w:val="HS-Heading3"/>
      </w:pPr>
      <w:proofErr w:type="gramStart"/>
      <w:r w:rsidRPr="00AD5F49">
        <w:t>3.6  Section</w:t>
      </w:r>
      <w:proofErr w:type="gramEnd"/>
      <w:r w:rsidRPr="00AD5F49">
        <w:t xml:space="preserve"> I — supply chain and identity</w:t>
      </w:r>
    </w:p>
    <w:p w14:paraId="53C3A650" w14:textId="77777777" w:rsidR="00EA4835" w:rsidRPr="00AD5F49" w:rsidRDefault="00000000" w:rsidP="00216A62">
      <w:pPr>
        <w:pStyle w:val="P0-Paragraph"/>
      </w:pPr>
      <w:r w:rsidRPr="00AD5F49">
        <w:t>Sources: ASCR-11 (identity-SLO performance), ASCR-16 (supply-chain integrity alerts), and ASCR-17 (vendor qualification records). Section E also receives ASCR-10 change-control health and ASCR-06 verification-health evidence as defined in Sections E.8 and E.9 of the main scorecard.</w:t>
      </w:r>
    </w:p>
    <w:tbl>
      <w:tblPr>
        <w:tblStyle w:val="af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56"/>
        <w:gridCol w:w="7624"/>
      </w:tblGrid>
      <w:tr w:rsidR="00EA4835" w:rsidRPr="00AD5F49" w14:paraId="203E84BC" w14:textId="77777777">
        <w:trPr>
          <w:cantSplit/>
          <w:tblHeader/>
        </w:trPr>
        <w:tc>
          <w:tcPr>
            <w:tcW w:w="2456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0392C" w14:textId="77777777" w:rsidR="00EA4835" w:rsidRPr="00AD5F49" w:rsidRDefault="00000000" w:rsidP="00AD5F49">
            <w:pPr>
              <w:pStyle w:val="T0-Table"/>
            </w:pPr>
            <w:r w:rsidRPr="00AD5F49">
              <w:t>Field</w:t>
            </w:r>
          </w:p>
        </w:tc>
        <w:tc>
          <w:tcPr>
            <w:tcW w:w="76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E1092" w14:textId="77777777" w:rsidR="00EA4835" w:rsidRPr="00AD5F49" w:rsidRDefault="00000000" w:rsidP="00AD5F49">
            <w:pPr>
              <w:pStyle w:val="T0-Table"/>
            </w:pPr>
            <w:r w:rsidRPr="00AD5F49">
              <w:t>Source</w:t>
            </w:r>
          </w:p>
        </w:tc>
      </w:tr>
      <w:tr w:rsidR="00EA4835" w:rsidRPr="00AD5F49" w14:paraId="48E7095E" w14:textId="77777777">
        <w:trPr>
          <w:cantSplit/>
        </w:trPr>
        <w:tc>
          <w:tcPr>
            <w:tcW w:w="2456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76F604" w14:textId="77777777" w:rsidR="00EA4835" w:rsidRPr="00AD5F49" w:rsidRDefault="00000000" w:rsidP="00AD5F49">
            <w:pPr>
              <w:pStyle w:val="T0-Table"/>
            </w:pPr>
            <w:r w:rsidRPr="00AD5F49">
              <w:t>I.1 Vendor qualification</w:t>
            </w:r>
          </w:p>
        </w:tc>
        <w:tc>
          <w:tcPr>
            <w:tcW w:w="76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8C981" w14:textId="77777777" w:rsidR="00EA4835" w:rsidRPr="00AD5F49" w:rsidRDefault="00000000" w:rsidP="00AD5F49">
            <w:pPr>
              <w:pStyle w:val="T0-Table"/>
            </w:pPr>
            <w:r w:rsidRPr="00AD5F49">
              <w:t>ASCR-17 signed vendor qualification record and qualification-evidence reference. Where applicable ASCR-11 contractual vendor-governance obligations require linkage to that evidence, record the applicable executed ASCR-11 contractual reference. If the required contractual linkage is missing, stale, or not yet synchronized, retain the current ASCR-17 evidence reference and record the synchronization gap in Section E.2.</w:t>
            </w:r>
          </w:p>
        </w:tc>
      </w:tr>
      <w:tr w:rsidR="00EA4835" w:rsidRPr="00AD5F49" w14:paraId="2904DB8E" w14:textId="77777777">
        <w:trPr>
          <w:cantSplit/>
        </w:trPr>
        <w:tc>
          <w:tcPr>
            <w:tcW w:w="2456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5F3B21" w14:textId="77777777" w:rsidR="00EA4835" w:rsidRPr="00AD5F49" w:rsidRDefault="00000000" w:rsidP="00AD5F49">
            <w:pPr>
              <w:pStyle w:val="T0-Table"/>
            </w:pPr>
            <w:r w:rsidRPr="00AD5F49">
              <w:t>I.2 ASCR-16 alerts</w:t>
            </w:r>
          </w:p>
        </w:tc>
        <w:tc>
          <w:tcPr>
            <w:tcW w:w="76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C54F9" w14:textId="77777777" w:rsidR="00EA4835" w:rsidRPr="00AD5F49" w:rsidRDefault="00000000" w:rsidP="00AD5F49">
            <w:pPr>
              <w:pStyle w:val="T0-Table"/>
            </w:pPr>
            <w:r w:rsidRPr="00AD5F49">
              <w:t>ASCR-16 alert log: ARTIFACT_MODIFIED_IN_TRANSIT, PROVENANCE_MISSING, EDGE_ATTESTATION_REFERENCE_MISMATCH.</w:t>
            </w:r>
          </w:p>
        </w:tc>
      </w:tr>
      <w:tr w:rsidR="00EA4835" w:rsidRPr="00AD5F49" w14:paraId="3A67A772" w14:textId="77777777">
        <w:trPr>
          <w:cantSplit/>
        </w:trPr>
        <w:tc>
          <w:tcPr>
            <w:tcW w:w="2456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79D3E" w14:textId="77777777" w:rsidR="00EA4835" w:rsidRPr="00AD5F49" w:rsidRDefault="00000000" w:rsidP="00AD5F49">
            <w:pPr>
              <w:pStyle w:val="T0-Table"/>
            </w:pPr>
            <w:r w:rsidRPr="00AD5F49">
              <w:lastRenderedPageBreak/>
              <w:t>I.3 SLO-I1 through SLO-I6</w:t>
            </w:r>
          </w:p>
        </w:tc>
        <w:tc>
          <w:tcPr>
            <w:tcW w:w="7624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083861" w14:textId="77777777" w:rsidR="00EA4835" w:rsidRPr="00AD5F49" w:rsidRDefault="00000000" w:rsidP="00AD5F49">
            <w:pPr>
              <w:pStyle w:val="T0-Table"/>
            </w:pPr>
            <w:r w:rsidRPr="00AD5F49">
              <w:t xml:space="preserve">ASCR-11 governed identity-SLO performance records. Supporting telemetry is metric-specific: SPIRE issuance/rotation telemetry for SLO-I1; cross-domain gateway authentication telemetry for SLO-I2; authority-graph and decision-lineage evidence for SLO-I3; Steel Handshake verification telemetry for SLO-I4; ASCR-07 </w:t>
            </w:r>
            <w:proofErr w:type="spellStart"/>
            <w:r w:rsidRPr="00AD5F49">
              <w:t>auth_chain</w:t>
            </w:r>
            <w:proofErr w:type="spellEnd"/>
            <w:r w:rsidRPr="00AD5F49">
              <w:t xml:space="preserve"> completeness evidence for SLO-I5; and federation trust-material currency records for SLO-I6.</w:t>
            </w:r>
          </w:p>
        </w:tc>
      </w:tr>
    </w:tbl>
    <w:p w14:paraId="623FD439" w14:textId="77777777" w:rsidR="00EA4835" w:rsidRPr="00AD5F49" w:rsidRDefault="00000000" w:rsidP="00AD5F49">
      <w:pPr>
        <w:pStyle w:val="HS-Heading2"/>
      </w:pPr>
      <w:r w:rsidRPr="00AD5F49">
        <w:t>4. GRC platform and telemetry substitution</w:t>
      </w:r>
    </w:p>
    <w:p w14:paraId="45BD6DDE" w14:textId="77777777" w:rsidR="00EA4835" w:rsidRPr="00AD5F49" w:rsidRDefault="00000000" w:rsidP="00216A62">
      <w:pPr>
        <w:pStyle w:val="P0-Paragraph"/>
      </w:pPr>
      <w:r w:rsidRPr="00AD5F49">
        <w:t>Organizations may substitute internal GRC platforms or telemetry systems for upstream ASCR artifacts, subject to the following rules. A substitution that cannot reproduce required fields is a data gap, not a valid replacement.</w:t>
      </w:r>
    </w:p>
    <w:tbl>
      <w:tblPr>
        <w:tblStyle w:val="aff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A4835" w:rsidRPr="00AD5F49" w14:paraId="521BE4BB" w14:textId="77777777">
        <w:tc>
          <w:tcPr>
            <w:tcW w:w="100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2CAB5A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Substitution Rule</w:t>
            </w:r>
          </w:p>
          <w:p w14:paraId="3FB65D08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 xml:space="preserve">A GRC or telemetry substitute is valid if and only if it preserves ALL </w:t>
            </w:r>
            <w:proofErr w:type="gramStart"/>
            <w:r w:rsidRPr="00AD5F49">
              <w:rPr>
                <w:rFonts w:eastAsia="Calibri"/>
              </w:rPr>
              <w:t>of:</w:t>
            </w:r>
            <w:proofErr w:type="gramEnd"/>
            <w:r w:rsidRPr="00AD5F49">
              <w:rPr>
                <w:rFonts w:eastAsia="Calibri"/>
              </w:rPr>
              <w:t xml:space="preserve"> required field names, timestamps, event lineage, and evidentiary integrity. Partial preservation is a data gap — record it in Section E as a tooling deficiency and provide a remediation timeline.</w:t>
            </w:r>
          </w:p>
        </w:tc>
      </w:tr>
    </w:tbl>
    <w:p w14:paraId="36011CF9" w14:textId="77777777" w:rsidR="00EA4835" w:rsidRPr="00AD5F49" w:rsidRDefault="00000000" w:rsidP="00AD5F49">
      <w:pPr>
        <w:pStyle w:val="HS-Heading3"/>
      </w:pPr>
      <w:proofErr w:type="gramStart"/>
      <w:r w:rsidRPr="00AD5F49">
        <w:t>4.1  Substitution</w:t>
      </w:r>
      <w:proofErr w:type="gramEnd"/>
      <w:r w:rsidRPr="00AD5F49">
        <w:t xml:space="preserve"> by section</w:t>
      </w:r>
    </w:p>
    <w:tbl>
      <w:tblPr>
        <w:tblStyle w:val="aff3"/>
        <w:tblW w:w="100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4560"/>
        <w:gridCol w:w="4200"/>
      </w:tblGrid>
      <w:tr w:rsidR="00EA4835" w:rsidRPr="00AD5F49" w14:paraId="36A736CA" w14:textId="77777777" w:rsidTr="00AD5F49">
        <w:trPr>
          <w:cantSplit/>
          <w:tblHeader/>
        </w:trPr>
        <w:tc>
          <w:tcPr>
            <w:tcW w:w="132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148E2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Section</w:t>
            </w:r>
          </w:p>
        </w:tc>
        <w:tc>
          <w:tcPr>
            <w:tcW w:w="45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5EA6F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Minimum Fields Required for Valid Substitution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F601E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Common Platforms</w:t>
            </w:r>
          </w:p>
        </w:tc>
      </w:tr>
      <w:tr w:rsidR="00EA4835" w:rsidRPr="00AD5F49" w14:paraId="0877CC69" w14:textId="77777777" w:rsidTr="00AD5F49">
        <w:trPr>
          <w:cantSplit/>
        </w:trPr>
        <w:tc>
          <w:tcPr>
            <w:tcW w:w="13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DBFB2" w14:textId="77777777" w:rsidR="00EA4835" w:rsidRPr="00AD5F49" w:rsidRDefault="00000000" w:rsidP="00AD5F49">
            <w:pPr>
              <w:pStyle w:val="T0-Table"/>
            </w:pPr>
            <w:r w:rsidRPr="00AD5F49">
              <w:t>C.1 / C.3 (Behavioral)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FE11D" w14:textId="77777777" w:rsidR="00EA4835" w:rsidRPr="00AD5F49" w:rsidRDefault="00000000" w:rsidP="00AD5F49">
            <w:pPr>
              <w:pStyle w:val="T0-Table"/>
            </w:pPr>
            <w:r w:rsidRPr="00AD5F49">
              <w:t>Per-cycle behavioral deviation score; agent ID; timestamp; HARD_BLOCK flag; enforcement latency; safe-state confirmation timestamp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BDA05" w14:textId="77777777" w:rsidR="00EA4835" w:rsidRPr="00AD5F49" w:rsidRDefault="00000000" w:rsidP="00AD5F49">
            <w:pPr>
              <w:pStyle w:val="T0-Table"/>
            </w:pPr>
            <w:r w:rsidRPr="00AD5F49">
              <w:t>Splunk (SIEM), Datadog, Azure Sentinel, custom ASOC telemetry pipeline</w:t>
            </w:r>
          </w:p>
        </w:tc>
      </w:tr>
      <w:tr w:rsidR="00EA4835" w:rsidRPr="00AD5F49" w14:paraId="085D747E" w14:textId="77777777" w:rsidTr="00AD5F49">
        <w:trPr>
          <w:cantSplit/>
        </w:trPr>
        <w:tc>
          <w:tcPr>
            <w:tcW w:w="132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E97C68" w14:textId="77777777" w:rsidR="00EA4835" w:rsidRPr="00AD5F49" w:rsidRDefault="00000000" w:rsidP="00AD5F49">
            <w:pPr>
              <w:pStyle w:val="T0-Table"/>
            </w:pPr>
            <w:r w:rsidRPr="00AD5F49">
              <w:t>C.2 (Goal Integrity)</w:t>
            </w:r>
          </w:p>
        </w:tc>
        <w:tc>
          <w:tcPr>
            <w:tcW w:w="4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569EAF" w14:textId="77777777" w:rsidR="00EA4835" w:rsidRPr="00AD5F49" w:rsidRDefault="00000000" w:rsidP="00AD5F49">
            <w:pPr>
              <w:pStyle w:val="T0-Table"/>
            </w:pPr>
            <w:proofErr w:type="spellStart"/>
            <w:r w:rsidRPr="00AD5F49">
              <w:t>goal_hash</w:t>
            </w:r>
            <w:proofErr w:type="spellEnd"/>
            <w:r w:rsidRPr="00AD5F49">
              <w:t xml:space="preserve"> per cycle; Merkle chain integrity verification result; chain failure cause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1297FB" w14:textId="77777777" w:rsidR="00EA4835" w:rsidRPr="00AD5F49" w:rsidRDefault="00000000" w:rsidP="00AD5F49">
            <w:pPr>
              <w:pStyle w:val="T0-Table"/>
            </w:pPr>
            <w:r w:rsidRPr="00AD5F49">
              <w:t>Any cryptographic audit trail with per-record hash verification</w:t>
            </w:r>
          </w:p>
        </w:tc>
      </w:tr>
      <w:tr w:rsidR="00EA4835" w:rsidRPr="00AD5F49" w14:paraId="4093FD8A" w14:textId="77777777" w:rsidTr="00AD5F49">
        <w:trPr>
          <w:cantSplit/>
        </w:trPr>
        <w:tc>
          <w:tcPr>
            <w:tcW w:w="13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AC671" w14:textId="77777777" w:rsidR="00EA4835" w:rsidRPr="00AD5F49" w:rsidRDefault="00000000" w:rsidP="00AD5F49">
            <w:pPr>
              <w:pStyle w:val="T0-Table"/>
            </w:pPr>
            <w:r w:rsidRPr="00AD5F49">
              <w:t>D.1 (Incidents)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B8729" w14:textId="77777777" w:rsidR="00EA4835" w:rsidRPr="00AD5F49" w:rsidRDefault="00000000" w:rsidP="00AD5F49">
            <w:pPr>
              <w:pStyle w:val="T0-Table"/>
            </w:pPr>
            <w:r w:rsidRPr="00AD5F49">
              <w:t xml:space="preserve">Incident ID; intent classification (adversarial/stochastic/systemic); locus; authority level; </w:t>
            </w:r>
            <w:proofErr w:type="spellStart"/>
            <w:r w:rsidRPr="00AD5F49">
              <w:t>physical_impact</w:t>
            </w:r>
            <w:proofErr w:type="spellEnd"/>
            <w:r w:rsidRPr="00AD5F49">
              <w:t xml:space="preserve"> flag; nis2_notifiable flag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D0CE2" w14:textId="77777777" w:rsidR="00EA4835" w:rsidRPr="00AD5F49" w:rsidRDefault="00000000" w:rsidP="00AD5F49">
            <w:pPr>
              <w:pStyle w:val="T0-Table"/>
            </w:pPr>
            <w:r w:rsidRPr="00AD5F49">
              <w:t>ServiceNow SecOps, Jira Service Management, Archer GRC</w:t>
            </w:r>
          </w:p>
        </w:tc>
      </w:tr>
      <w:tr w:rsidR="00EA4835" w:rsidRPr="00AD5F49" w14:paraId="3E03021F" w14:textId="77777777" w:rsidTr="00AD5F49">
        <w:trPr>
          <w:cantSplit/>
        </w:trPr>
        <w:tc>
          <w:tcPr>
            <w:tcW w:w="132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25CE5" w14:textId="77777777" w:rsidR="00EA4835" w:rsidRPr="00AD5F49" w:rsidRDefault="00000000" w:rsidP="00AD5F49">
            <w:pPr>
              <w:pStyle w:val="T0-Table"/>
            </w:pPr>
            <w:r w:rsidRPr="00AD5F49">
              <w:t>D.2 (SLO Performance)</w:t>
            </w:r>
          </w:p>
        </w:tc>
        <w:tc>
          <w:tcPr>
            <w:tcW w:w="4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274CA" w14:textId="77777777" w:rsidR="00EA4835" w:rsidRPr="00AD5F49" w:rsidRDefault="00000000" w:rsidP="00AD5F49">
            <w:pPr>
              <w:pStyle w:val="T0-Table"/>
            </w:pPr>
            <w:r w:rsidRPr="00AD5F49">
              <w:t>Per-SLO PASS / BREACH / N/A status; measured value; threshold/basis; reporting period. Preserve numerator/denominator for rate SLOs and link H1/H2/H3 to their authoritative scorecard values rather than duplicating manual entries. Record the deployment-approved threshold reference used for each D/R/F/H SLO when the current executed ASCR-11 instrument does not yet carry a dedicated operational-SLO schedule/profile.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73AAF" w14:textId="77777777" w:rsidR="00EA4835" w:rsidRPr="00AD5F49" w:rsidRDefault="00000000" w:rsidP="00AD5F49">
            <w:pPr>
              <w:pStyle w:val="T0-Table"/>
            </w:pPr>
            <w:r w:rsidRPr="00AD5F49">
              <w:t>ASCR-11-governed deployment record, or SLO monitoring platform with these fields and an approved threshold reference</w:t>
            </w:r>
          </w:p>
        </w:tc>
      </w:tr>
      <w:tr w:rsidR="00EA4835" w:rsidRPr="00AD5F49" w14:paraId="25474184" w14:textId="77777777" w:rsidTr="00AD5F49">
        <w:trPr>
          <w:cantSplit/>
        </w:trPr>
        <w:tc>
          <w:tcPr>
            <w:tcW w:w="13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54218" w14:textId="77777777" w:rsidR="00EA4835" w:rsidRPr="00AD5F49" w:rsidRDefault="00000000" w:rsidP="00AD5F49">
            <w:pPr>
              <w:pStyle w:val="T0-Table"/>
            </w:pPr>
            <w:r w:rsidRPr="00AD5F49">
              <w:t>E.2 (Gap Tracking)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55C98" w14:textId="77777777" w:rsidR="00EA4835" w:rsidRPr="00AD5F49" w:rsidRDefault="00000000" w:rsidP="00AD5F49">
            <w:pPr>
              <w:pStyle w:val="T0-Table"/>
            </w:pPr>
            <w:r w:rsidRPr="00AD5F49">
              <w:t>Gap ID; priority (P1/P2/P3); open date; owner; target close date; status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E372B" w14:textId="77777777" w:rsidR="00EA4835" w:rsidRPr="00AD5F49" w:rsidRDefault="00000000" w:rsidP="00AD5F49">
            <w:pPr>
              <w:pStyle w:val="T0-Table"/>
            </w:pPr>
            <w:r w:rsidRPr="00AD5F49">
              <w:t>Archer, ServiceNow, Jira — any gap tracking system with aging fields</w:t>
            </w:r>
          </w:p>
        </w:tc>
      </w:tr>
      <w:tr w:rsidR="00EA4835" w:rsidRPr="00AD5F49" w14:paraId="2126C8AF" w14:textId="77777777" w:rsidTr="00AD5F49">
        <w:trPr>
          <w:cantSplit/>
        </w:trPr>
        <w:tc>
          <w:tcPr>
            <w:tcW w:w="132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93713" w14:textId="77777777" w:rsidR="00EA4835" w:rsidRPr="00AD5F49" w:rsidRDefault="00000000" w:rsidP="00AD5F49">
            <w:pPr>
              <w:pStyle w:val="T0-Table"/>
            </w:pPr>
            <w:r w:rsidRPr="00AD5F49">
              <w:lastRenderedPageBreak/>
              <w:t>G.1 (Assessment Scores)</w:t>
            </w:r>
          </w:p>
        </w:tc>
        <w:tc>
          <w:tcPr>
            <w:tcW w:w="4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2B0BD" w14:textId="77777777" w:rsidR="00EA4835" w:rsidRPr="00AD5F49" w:rsidRDefault="00000000" w:rsidP="00AD5F49">
            <w:pPr>
              <w:pStyle w:val="T0-Table"/>
            </w:pPr>
            <w:r w:rsidRPr="00AD5F49">
              <w:t>Cluster name; score (0-5); assessment date; assessment version; cluster applicability; prior approved score; change-from-baseline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31E87" w14:textId="77777777" w:rsidR="00EA4835" w:rsidRPr="00AD5F49" w:rsidRDefault="00000000" w:rsidP="00AD5F49">
            <w:pPr>
              <w:pStyle w:val="T0-Table"/>
            </w:pPr>
            <w:r w:rsidRPr="00AD5F49">
              <w:t xml:space="preserve">ASCR-01 directly; governed assessment registry preserving the six-cluster model, Total ASCR-01 </w:t>
            </w:r>
            <w:proofErr w:type="gramStart"/>
            <w:r w:rsidRPr="00AD5F49">
              <w:t>Score</w:t>
            </w:r>
            <w:proofErr w:type="gramEnd"/>
            <w:r w:rsidRPr="00AD5F49">
              <w:t>, and Prioritization Tier semantics</w:t>
            </w:r>
          </w:p>
        </w:tc>
      </w:tr>
      <w:tr w:rsidR="00EA4835" w:rsidRPr="00AD5F49" w14:paraId="239E5422" w14:textId="77777777" w:rsidTr="00AD5F49">
        <w:trPr>
          <w:cantSplit/>
        </w:trPr>
        <w:tc>
          <w:tcPr>
            <w:tcW w:w="13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D986C" w14:textId="77777777" w:rsidR="00EA4835" w:rsidRPr="00AD5F49" w:rsidRDefault="00000000" w:rsidP="00AD5F49">
            <w:pPr>
              <w:pStyle w:val="T0-Table"/>
            </w:pPr>
            <w:r w:rsidRPr="00AD5F49">
              <w:t>I.2 (Supply Chain)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D4B14" w14:textId="77777777" w:rsidR="00EA4835" w:rsidRPr="00AD5F49" w:rsidRDefault="00000000" w:rsidP="00AD5F49">
            <w:pPr>
              <w:pStyle w:val="T0-Table"/>
            </w:pPr>
            <w:r w:rsidRPr="00AD5F49">
              <w:t>Alert type (ARTIFACT_MODIFIED_IN_TRANSIT, PROVENANCE_MISSING, EDGE_ATTESTATION_REFERENCE_MISMATCH); timestamp; vendor/component ID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60659" w14:textId="77777777" w:rsidR="00EA4835" w:rsidRPr="00AD5F49" w:rsidRDefault="00000000" w:rsidP="00AD5F49">
            <w:pPr>
              <w:pStyle w:val="T0-Table"/>
            </w:pPr>
            <w:r w:rsidRPr="00AD5F49">
              <w:t>ASCR-16 directly; software supply chain monitoring (e.g., in-toto, SLSA tooling)</w:t>
            </w:r>
          </w:p>
        </w:tc>
      </w:tr>
      <w:tr w:rsidR="00EA4835" w:rsidRPr="00AD5F49" w14:paraId="6FD2292C" w14:textId="77777777" w:rsidTr="00AD5F49">
        <w:trPr>
          <w:cantSplit/>
        </w:trPr>
        <w:tc>
          <w:tcPr>
            <w:tcW w:w="132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E60FD" w14:textId="77777777" w:rsidR="00EA4835" w:rsidRPr="00AD5F49" w:rsidRDefault="00000000" w:rsidP="00AD5F49">
            <w:pPr>
              <w:pStyle w:val="T0-Table"/>
            </w:pPr>
            <w:r w:rsidRPr="00AD5F49">
              <w:t>I.3 (Identity SLOs)</w:t>
            </w:r>
          </w:p>
        </w:tc>
        <w:tc>
          <w:tcPr>
            <w:tcW w:w="4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B8C13" w14:textId="77777777" w:rsidR="00EA4835" w:rsidRPr="00AD5F49" w:rsidRDefault="00000000" w:rsidP="00AD5F49">
            <w:pPr>
              <w:pStyle w:val="T0-Table"/>
            </w:pPr>
            <w:r w:rsidRPr="00AD5F49">
              <w:t xml:space="preserve">SLO-I1 issuance/rotation latency; SLO-I2 cross-domain authentication reliability; SLO-I3 authority accumulation detection effectiveness; SLO-I4 Steel Handshake verification latency; SLO-I5 </w:t>
            </w:r>
            <w:proofErr w:type="spellStart"/>
            <w:r w:rsidRPr="00AD5F49">
              <w:t>auth_chain</w:t>
            </w:r>
            <w:proofErr w:type="spellEnd"/>
            <w:r w:rsidRPr="00AD5F49">
              <w:t xml:space="preserve"> completeness; SLO-I6 federation trust-material currency. Preserve the effective ASCR-11-governed threshold used for each metric.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9774A" w14:textId="77777777" w:rsidR="00EA4835" w:rsidRPr="00AD5F49" w:rsidRDefault="00000000" w:rsidP="00AD5F49">
            <w:pPr>
              <w:pStyle w:val="T0-Table"/>
            </w:pPr>
            <w:r w:rsidRPr="00AD5F49">
              <w:t>SPIRE, gateway authentication, ASCR-07 decision-lineage, Steel Handshake, and federation trust-material telemetry as applicable</w:t>
            </w:r>
          </w:p>
        </w:tc>
      </w:tr>
      <w:tr w:rsidR="00EA4835" w:rsidRPr="00AD5F49" w14:paraId="44C7B50F" w14:textId="77777777" w:rsidTr="00AD5F49">
        <w:trPr>
          <w:cantSplit/>
        </w:trPr>
        <w:tc>
          <w:tcPr>
            <w:tcW w:w="1320" w:type="dxa"/>
            <w:shd w:val="clear" w:color="auto" w:fill="FFFFFF"/>
          </w:tcPr>
          <w:p w14:paraId="6C826E46" w14:textId="77777777" w:rsidR="00EA4835" w:rsidRPr="00AD5F49" w:rsidRDefault="00000000" w:rsidP="00AD5F49">
            <w:pPr>
              <w:pStyle w:val="T0-Table"/>
            </w:pPr>
            <w:r w:rsidRPr="00AD5F49">
              <w:t>E.4 (ASCR-13 role competency / staffing)</w:t>
            </w:r>
          </w:p>
        </w:tc>
        <w:tc>
          <w:tcPr>
            <w:tcW w:w="4560" w:type="dxa"/>
            <w:shd w:val="clear" w:color="auto" w:fill="FFFFFF"/>
          </w:tcPr>
          <w:p w14:paraId="62CD65D8" w14:textId="77777777" w:rsidR="00EA4835" w:rsidRPr="00AD5F49" w:rsidRDefault="00000000" w:rsidP="00AD5F49">
            <w:pPr>
              <w:pStyle w:val="T0-Table"/>
            </w:pPr>
            <w:r w:rsidRPr="00AD5F49">
              <w:t>ASCR-13 assessment date/reference; count and role identity for Staffed with Gap, Partially Staffed, and Unstaffed; overdue competency-development-plan count and affected roles; Affected Artifacts and Blocked Artifacts for each reported role</w:t>
            </w:r>
          </w:p>
        </w:tc>
        <w:tc>
          <w:tcPr>
            <w:tcW w:w="4200" w:type="dxa"/>
            <w:shd w:val="clear" w:color="auto" w:fill="FFFFFF"/>
          </w:tcPr>
          <w:p w14:paraId="7CC8F764" w14:textId="77777777" w:rsidR="00EA4835" w:rsidRPr="00AD5F49" w:rsidRDefault="00000000" w:rsidP="00AD5F49">
            <w:pPr>
              <w:pStyle w:val="T0-Table"/>
            </w:pPr>
            <w:r w:rsidRPr="00AD5F49">
              <w:t>ASCR-13 directly or an organizational workforce/skills system that preserves the ASCR-13 status vocabulary, role identity, Affected Artifacts, and Blocked Artifacts.</w:t>
            </w:r>
          </w:p>
        </w:tc>
      </w:tr>
      <w:tr w:rsidR="00EA4835" w:rsidRPr="00AD5F49" w14:paraId="4315B9F5" w14:textId="77777777" w:rsidTr="00AD5F49">
        <w:trPr>
          <w:cantSplit/>
        </w:trPr>
        <w:tc>
          <w:tcPr>
            <w:tcW w:w="1320" w:type="dxa"/>
            <w:shd w:val="clear" w:color="auto" w:fill="D9E2F3"/>
          </w:tcPr>
          <w:p w14:paraId="3C79D27F" w14:textId="77777777" w:rsidR="00EA4835" w:rsidRPr="00AD5F49" w:rsidRDefault="00000000" w:rsidP="00AD5F49">
            <w:pPr>
              <w:pStyle w:val="T0-Table"/>
            </w:pPr>
            <w:r w:rsidRPr="00AD5F49">
              <w:t>D.2a (Cascade latency)</w:t>
            </w:r>
          </w:p>
        </w:tc>
        <w:tc>
          <w:tcPr>
            <w:tcW w:w="4560" w:type="dxa"/>
            <w:shd w:val="clear" w:color="auto" w:fill="D9E2F3"/>
          </w:tcPr>
          <w:p w14:paraId="288D2802" w14:textId="77777777" w:rsidR="00EA4835" w:rsidRPr="00AD5F49" w:rsidRDefault="00000000" w:rsidP="00AD5F49">
            <w:pPr>
              <w:pStyle w:val="T0-Table"/>
            </w:pPr>
            <w:r w:rsidRPr="00AD5F49">
              <w:t>Propagation class; event count; maximum observed latency; breach count; effective timing profile; evidence reference</w:t>
            </w:r>
          </w:p>
        </w:tc>
        <w:tc>
          <w:tcPr>
            <w:tcW w:w="4200" w:type="dxa"/>
            <w:shd w:val="clear" w:color="auto" w:fill="D9E2F3"/>
          </w:tcPr>
          <w:p w14:paraId="4A448E59" w14:textId="77777777" w:rsidR="00EA4835" w:rsidRPr="00AD5F49" w:rsidRDefault="00000000" w:rsidP="00AD5F49">
            <w:pPr>
              <w:pStyle w:val="T0-Table"/>
            </w:pPr>
            <w:r w:rsidRPr="00AD5F49">
              <w:t>ASCR-06 / ASCR-07 timing evidence</w:t>
            </w:r>
          </w:p>
        </w:tc>
      </w:tr>
      <w:tr w:rsidR="00EA4835" w:rsidRPr="00AD5F49" w14:paraId="6AEDAB79" w14:textId="77777777" w:rsidTr="00AD5F49">
        <w:trPr>
          <w:cantSplit/>
        </w:trPr>
        <w:tc>
          <w:tcPr>
            <w:tcW w:w="1320" w:type="dxa"/>
            <w:shd w:val="clear" w:color="auto" w:fill="FFFFFF"/>
          </w:tcPr>
          <w:p w14:paraId="338BCCBD" w14:textId="77777777" w:rsidR="00EA4835" w:rsidRPr="00AD5F49" w:rsidRDefault="00000000" w:rsidP="00AD5F49">
            <w:pPr>
              <w:pStyle w:val="T0-Table"/>
            </w:pPr>
            <w:r w:rsidRPr="00AD5F49">
              <w:t>D.5 (CISO indicators)</w:t>
            </w:r>
          </w:p>
        </w:tc>
        <w:tc>
          <w:tcPr>
            <w:tcW w:w="4560" w:type="dxa"/>
            <w:shd w:val="clear" w:color="auto" w:fill="FFFFFF"/>
          </w:tcPr>
          <w:p w14:paraId="153A353F" w14:textId="77777777" w:rsidR="00EA4835" w:rsidRPr="00AD5F49" w:rsidRDefault="00000000" w:rsidP="00AD5F49">
            <w:pPr>
              <w:pStyle w:val="T0-Table"/>
            </w:pPr>
            <w:r w:rsidRPr="00AD5F49">
              <w:t>Type-A/Type-S/Type-X counts; planning-cycle count; autonomous operating hours; separate mean and P95 hold-enforcement latency values</w:t>
            </w:r>
          </w:p>
        </w:tc>
        <w:tc>
          <w:tcPr>
            <w:tcW w:w="4200" w:type="dxa"/>
            <w:shd w:val="clear" w:color="auto" w:fill="FFFFFF"/>
          </w:tcPr>
          <w:p w14:paraId="75196968" w14:textId="77777777" w:rsidR="00EA4835" w:rsidRPr="00AD5F49" w:rsidRDefault="00000000" w:rsidP="00AD5F49">
            <w:pPr>
              <w:pStyle w:val="T0-Table"/>
            </w:pPr>
            <w:r w:rsidRPr="00AD5F49">
              <w:t>ASCR-08 + ASCR-07 + ASCR-04 + operations telemetry</w:t>
            </w:r>
          </w:p>
        </w:tc>
      </w:tr>
      <w:tr w:rsidR="00EA4835" w:rsidRPr="00AD5F49" w14:paraId="225D9EF1" w14:textId="77777777" w:rsidTr="00AD5F49">
        <w:trPr>
          <w:cantSplit/>
        </w:trPr>
        <w:tc>
          <w:tcPr>
            <w:tcW w:w="1320" w:type="dxa"/>
            <w:shd w:val="clear" w:color="auto" w:fill="D9E2F3"/>
          </w:tcPr>
          <w:p w14:paraId="3AD821FD" w14:textId="77777777" w:rsidR="00EA4835" w:rsidRPr="00AD5F49" w:rsidRDefault="00000000" w:rsidP="00AD5F49">
            <w:pPr>
              <w:pStyle w:val="T0-Table"/>
            </w:pPr>
            <w:r w:rsidRPr="00AD5F49">
              <w:t>E.5 (Architecture accuracy)</w:t>
            </w:r>
          </w:p>
        </w:tc>
        <w:tc>
          <w:tcPr>
            <w:tcW w:w="4560" w:type="dxa"/>
            <w:shd w:val="clear" w:color="auto" w:fill="D9E2F3"/>
          </w:tcPr>
          <w:p w14:paraId="109CC972" w14:textId="77777777" w:rsidR="00EA4835" w:rsidRPr="00AD5F49" w:rsidRDefault="00000000" w:rsidP="00AD5F49">
            <w:pPr>
              <w:pStyle w:val="T0-Table"/>
            </w:pPr>
            <w:r w:rsidRPr="00AD5F49">
              <w:t>ASCR-05 accuracy-check status; topology reconciliation; inventory reconciliation; open discrepancy count; assess/review dates and references</w:t>
            </w:r>
          </w:p>
        </w:tc>
        <w:tc>
          <w:tcPr>
            <w:tcW w:w="4200" w:type="dxa"/>
            <w:shd w:val="clear" w:color="auto" w:fill="D9E2F3"/>
          </w:tcPr>
          <w:p w14:paraId="69E8C86B" w14:textId="77777777" w:rsidR="00EA4835" w:rsidRPr="00AD5F49" w:rsidRDefault="00000000" w:rsidP="00AD5F49">
            <w:pPr>
              <w:pStyle w:val="T0-Table"/>
            </w:pPr>
            <w:r w:rsidRPr="00AD5F49">
              <w:t>ASCR-05 + OT engineering / Security-IR review</w:t>
            </w:r>
          </w:p>
        </w:tc>
      </w:tr>
      <w:tr w:rsidR="00EA4835" w:rsidRPr="00AD5F49" w14:paraId="10E7CCC9" w14:textId="77777777" w:rsidTr="00AD5F49">
        <w:trPr>
          <w:cantSplit/>
        </w:trPr>
        <w:tc>
          <w:tcPr>
            <w:tcW w:w="1320" w:type="dxa"/>
            <w:shd w:val="clear" w:color="auto" w:fill="FFFFFF"/>
          </w:tcPr>
          <w:p w14:paraId="7CA756DE" w14:textId="77777777" w:rsidR="00EA4835" w:rsidRPr="00AD5F49" w:rsidRDefault="00000000" w:rsidP="00AD5F49">
            <w:pPr>
              <w:pStyle w:val="T0-Table"/>
            </w:pPr>
            <w:r w:rsidRPr="00AD5F49">
              <w:t>E.6 (Gateway review)</w:t>
            </w:r>
          </w:p>
        </w:tc>
        <w:tc>
          <w:tcPr>
            <w:tcW w:w="4560" w:type="dxa"/>
            <w:shd w:val="clear" w:color="auto" w:fill="FFFFFF"/>
          </w:tcPr>
          <w:p w14:paraId="3ABC8241" w14:textId="77777777" w:rsidR="00EA4835" w:rsidRPr="00AD5F49" w:rsidRDefault="00000000" w:rsidP="00AD5F49">
            <w:pPr>
              <w:pStyle w:val="T0-Table"/>
            </w:pPr>
            <w:r w:rsidRPr="00AD5F49">
              <w:t>Quarterly review completion; trust-domain scope; manifest reconciliation; AI-BOM Dimension 4 reconciliation; approved attestation measurement/reference-profile currency; REQUEST-INTEGRITY-PROFILE status; latest required TVA-MCP-01 request-integrity validation evidence; performance-requirement status; discrepancy count</w:t>
            </w:r>
          </w:p>
        </w:tc>
        <w:tc>
          <w:tcPr>
            <w:tcW w:w="4200" w:type="dxa"/>
            <w:shd w:val="clear" w:color="auto" w:fill="FFFFFF"/>
          </w:tcPr>
          <w:p w14:paraId="6CDDB7F9" w14:textId="77777777" w:rsidR="00EA4835" w:rsidRPr="00AD5F49" w:rsidRDefault="00000000" w:rsidP="00AD5F49">
            <w:pPr>
              <w:pStyle w:val="T0-Table"/>
            </w:pPr>
            <w:r w:rsidRPr="00AD5F49">
              <w:t>ASCR-04 / ASCR-03 / ASCR-10 / AI-BOM evidence</w:t>
            </w:r>
          </w:p>
        </w:tc>
      </w:tr>
      <w:tr w:rsidR="00EA4835" w:rsidRPr="00AD5F49" w14:paraId="3C27D1B0" w14:textId="77777777" w:rsidTr="00AD5F49">
        <w:tc>
          <w:tcPr>
            <w:tcW w:w="132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80247" w14:textId="77777777" w:rsidR="00EA4835" w:rsidRPr="00AD5F49" w:rsidRDefault="00000000" w:rsidP="00AD5F49">
            <w:pPr>
              <w:pStyle w:val="T0-Table"/>
            </w:pPr>
            <w:r w:rsidRPr="00AD5F49">
              <w:lastRenderedPageBreak/>
              <w:t>E.7 (Lessons-learned integration)</w:t>
            </w:r>
          </w:p>
        </w:tc>
        <w:tc>
          <w:tcPr>
            <w:tcW w:w="4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C2DAA" w14:textId="77777777" w:rsidR="00EA4835" w:rsidRPr="00AD5F49" w:rsidRDefault="00000000" w:rsidP="00AD5F49">
            <w:pPr>
              <w:pStyle w:val="T0-Table"/>
            </w:pPr>
            <w:r w:rsidRPr="00AD5F49">
              <w:t>Required integration actions due; completed within governed window; overdue count; affected artifact references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0C4BA" w14:textId="77777777" w:rsidR="00EA4835" w:rsidRPr="00AD5F49" w:rsidRDefault="00000000" w:rsidP="00AD5F49">
            <w:pPr>
              <w:pStyle w:val="T0-Table"/>
            </w:pPr>
            <w:r w:rsidRPr="00AD5F49">
              <w:t>ASCR-08 post-incident/near-miss records, ASCR-09 scenario updates, ASCR-15 profile updates, and affected-artifact change records</w:t>
            </w:r>
          </w:p>
        </w:tc>
      </w:tr>
      <w:tr w:rsidR="00EA4835" w:rsidRPr="00AD5F49" w14:paraId="729B19E4" w14:textId="77777777" w:rsidTr="00AD5F49">
        <w:tc>
          <w:tcPr>
            <w:tcW w:w="132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A416AA" w14:textId="77777777" w:rsidR="00EA4835" w:rsidRPr="00AD5F49" w:rsidRDefault="00000000" w:rsidP="00AD5F49">
            <w:pPr>
              <w:pStyle w:val="T0-Table"/>
            </w:pPr>
            <w:r w:rsidRPr="00AD5F49">
              <w:t>E.8 (ASCR-10 change control health)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66DC5" w14:textId="77777777" w:rsidR="00EA4835" w:rsidRPr="00AD5F49" w:rsidRDefault="00000000" w:rsidP="00AD5F49">
            <w:pPr>
              <w:pStyle w:val="T0-Table"/>
            </w:pPr>
            <w:r w:rsidRPr="00AD5F49">
              <w:t>AI-BOM currency rate; Tier 1 and Tier 2 authorization-cycle medians; routine Tier 3 authorization-cycle median; emergency Tier 3 authorization-cycle median and maximum; shadow-mode stability rate; evidence references; emergency Tier 3 timing is evaluated against the approved ASCR-10 EMERG-T3-TARGET; routine and emergency Tier 3 populations must not be combined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ADFBA2" w14:textId="77777777" w:rsidR="00EA4835" w:rsidRPr="00AD5F49" w:rsidRDefault="00000000" w:rsidP="00AD5F49">
            <w:pPr>
              <w:pStyle w:val="T0-Table"/>
            </w:pPr>
            <w:r w:rsidRPr="00AD5F49">
              <w:t>ASCR-10 authorization records and deployment/change-control telemetry</w:t>
            </w:r>
          </w:p>
        </w:tc>
      </w:tr>
      <w:tr w:rsidR="00EA4835" w:rsidRPr="00AD5F49" w14:paraId="7DB48A42" w14:textId="77777777" w:rsidTr="00AD5F49">
        <w:tc>
          <w:tcPr>
            <w:tcW w:w="132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D27D4" w14:textId="77777777" w:rsidR="00EA4835" w:rsidRPr="00AD5F49" w:rsidRDefault="00000000" w:rsidP="00AD5F49">
            <w:pPr>
              <w:pStyle w:val="T0-Table"/>
            </w:pPr>
            <w:r w:rsidRPr="00AD5F49">
              <w:t>E.9 (ASCR-06 verification health)</w:t>
            </w:r>
          </w:p>
        </w:tc>
        <w:tc>
          <w:tcPr>
            <w:tcW w:w="4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DCE5A" w14:textId="77777777" w:rsidR="00EA4835" w:rsidRPr="00AD5F49" w:rsidRDefault="00000000" w:rsidP="00AD5F49">
            <w:pPr>
              <w:pStyle w:val="T0-Table"/>
            </w:pPr>
            <w:r w:rsidRPr="00AD5F49">
              <w:t>Verdict totals; verification latency P95/P99; systems above 80% drift threshold; queue depth; fidelity-mode counts; Safe-State activations; integrity events; bootstrap-state exceptions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22079" w14:textId="77777777" w:rsidR="00EA4835" w:rsidRPr="00AD5F49" w:rsidRDefault="00000000" w:rsidP="00AD5F49">
            <w:pPr>
              <w:pStyle w:val="T0-Table"/>
            </w:pPr>
            <w:r w:rsidRPr="00AD5F49">
              <w:t>ASCR-06 monitoring stack / Prometheus metrics with ASCR-07 reconciliation evidence where applicable</w:t>
            </w:r>
          </w:p>
        </w:tc>
      </w:tr>
    </w:tbl>
    <w:p w14:paraId="1229110C" w14:textId="77777777" w:rsidR="00EA4835" w:rsidRPr="00AD5F49" w:rsidRDefault="00EA4835" w:rsidP="00216A62">
      <w:pPr>
        <w:pStyle w:val="P0-Paragraph"/>
      </w:pPr>
    </w:p>
    <w:p w14:paraId="4C7FB1A1" w14:textId="77777777" w:rsidR="00EA4835" w:rsidRPr="00AD5F49" w:rsidRDefault="00000000" w:rsidP="00AD5F49">
      <w:pPr>
        <w:pStyle w:val="HS-Heading3"/>
      </w:pPr>
      <w:proofErr w:type="gramStart"/>
      <w:r w:rsidRPr="00AD5F49">
        <w:t>4.2  What</w:t>
      </w:r>
      <w:proofErr w:type="gramEnd"/>
      <w:r w:rsidRPr="00AD5F49">
        <w:t xml:space="preserve"> constitutes a data gap</w:t>
      </w:r>
    </w:p>
    <w:p w14:paraId="59CE5723" w14:textId="77777777" w:rsidR="00EA4835" w:rsidRPr="00AD5F49" w:rsidRDefault="00000000" w:rsidP="00216A62">
      <w:pPr>
        <w:pStyle w:val="P0-Paragraph"/>
      </w:pPr>
      <w:r w:rsidRPr="00AD5F49">
        <w:t>An ASCR-12 that cannot be completed due to missing upstream data is a governance finding. Record the following in Section E:</w:t>
      </w:r>
    </w:p>
    <w:p w14:paraId="5BF1B7E6" w14:textId="77777777" w:rsidR="00EA4835" w:rsidRPr="00AD5F49" w:rsidRDefault="00000000" w:rsidP="00AD5F49">
      <w:pPr>
        <w:pStyle w:val="L1-Numbered"/>
      </w:pPr>
      <w:r w:rsidRPr="00AD5F49">
        <w:rPr>
          <w:rFonts w:eastAsia="Calibri"/>
        </w:rPr>
        <w:t>The section that cannot be completed.</w:t>
      </w:r>
    </w:p>
    <w:p w14:paraId="6328D8C1" w14:textId="77777777" w:rsidR="00EA4835" w:rsidRPr="00AD5F49" w:rsidRDefault="00000000" w:rsidP="00AD5F49">
      <w:pPr>
        <w:pStyle w:val="L1-Numbered"/>
      </w:pPr>
      <w:r w:rsidRPr="00AD5F49">
        <w:rPr>
          <w:rFonts w:eastAsia="Calibri"/>
        </w:rPr>
        <w:t>The missing upstream artifact or field.</w:t>
      </w:r>
    </w:p>
    <w:p w14:paraId="31105B07" w14:textId="77777777" w:rsidR="00EA4835" w:rsidRPr="00AD5F49" w:rsidRDefault="00000000" w:rsidP="00AD5F49">
      <w:pPr>
        <w:pStyle w:val="L1-Numbered"/>
      </w:pPr>
      <w:r w:rsidRPr="00AD5F49">
        <w:rPr>
          <w:rFonts w:eastAsia="Calibri"/>
        </w:rPr>
        <w:t>The cause (artifact not deployed, telemetry gap, GRC system field not available).</w:t>
      </w:r>
    </w:p>
    <w:p w14:paraId="5B80D922" w14:textId="77777777" w:rsidR="00EA4835" w:rsidRPr="00AD5F49" w:rsidRDefault="00000000" w:rsidP="00AD5F49">
      <w:pPr>
        <w:pStyle w:val="L1-Numbered"/>
      </w:pPr>
      <w:r w:rsidRPr="00AD5F49">
        <w:rPr>
          <w:rFonts w:eastAsia="Calibri"/>
        </w:rPr>
        <w:t>A remediation timeline with a target date.</w:t>
      </w:r>
    </w:p>
    <w:p w14:paraId="7916D307" w14:textId="77777777" w:rsidR="00EA4835" w:rsidRPr="00AD5F49" w:rsidRDefault="00000000" w:rsidP="00AD5F49">
      <w:pPr>
        <w:pStyle w:val="L1-Numbered"/>
      </w:pPr>
      <w:r w:rsidRPr="00AD5F49">
        <w:rPr>
          <w:rFonts w:eastAsia="Calibri"/>
        </w:rPr>
        <w:t>Whether a GRC substitute exists and what field it cannot reproduce.</w:t>
      </w:r>
    </w:p>
    <w:tbl>
      <w:tblPr>
        <w:tblStyle w:val="aff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A4835" w:rsidRPr="00AD5F49" w14:paraId="01B9E7AC" w14:textId="77777777">
        <w:tc>
          <w:tcPr>
            <w:tcW w:w="100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AA009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Escalation Rule</w:t>
            </w:r>
          </w:p>
          <w:p w14:paraId="5BCA7A12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A data gap in Section C, D, or G that persists more than two consecutive quarters without a remediation action in Section E requires CISO written escalation to the Executive Sponsor. The board cannot assess program effectiveness without these sections.</w:t>
            </w:r>
          </w:p>
        </w:tc>
      </w:tr>
    </w:tbl>
    <w:p w14:paraId="236C0E7B" w14:textId="77777777" w:rsidR="00EA4835" w:rsidRPr="00AD5F49" w:rsidRDefault="00000000" w:rsidP="00AD5F49">
      <w:pPr>
        <w:pStyle w:val="HS-Heading2"/>
      </w:pPr>
      <w:r w:rsidRPr="00AD5F49">
        <w:t>5. Using the companion workbook</w:t>
      </w:r>
    </w:p>
    <w:p w14:paraId="03744BA5" w14:textId="77777777" w:rsidR="00EA4835" w:rsidRPr="00AD5F49" w:rsidRDefault="00000000" w:rsidP="00216A62">
      <w:pPr>
        <w:pStyle w:val="P0-Paragraph"/>
      </w:pPr>
      <w:r w:rsidRPr="00AD5F49">
        <w:t>The companion workbook (ASCR-12-OE01 Companion Workbook) is structured to match each section of the main scorecard. It supports controlled status entry, automates the Annex E-1 pillar-score calculations and related formula checks, maintains the Metric Dictionary, and provides source-field references for the five required board pack visualizations.</w:t>
      </w:r>
    </w:p>
    <w:p w14:paraId="1F86ACF2" w14:textId="77777777" w:rsidR="00EA4835" w:rsidRPr="00AD5F49" w:rsidRDefault="00000000" w:rsidP="00AD5F49">
      <w:pPr>
        <w:pStyle w:val="HS-Heading3"/>
      </w:pPr>
      <w:proofErr w:type="gramStart"/>
      <w:r w:rsidRPr="00AD5F49">
        <w:lastRenderedPageBreak/>
        <w:t>5.1  Sheet</w:t>
      </w:r>
      <w:proofErr w:type="gramEnd"/>
      <w:r w:rsidRPr="00AD5F49">
        <w:t xml:space="preserve"> structure</w:t>
      </w:r>
    </w:p>
    <w:tbl>
      <w:tblPr>
        <w:tblStyle w:val="aff5"/>
        <w:tblW w:w="100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56"/>
        <w:gridCol w:w="7624"/>
      </w:tblGrid>
      <w:tr w:rsidR="00EA4835" w:rsidRPr="00AD5F49" w14:paraId="61C9631C" w14:textId="77777777" w:rsidTr="00AD5F49">
        <w:trPr>
          <w:cantSplit/>
          <w:tblHeader/>
        </w:trPr>
        <w:tc>
          <w:tcPr>
            <w:tcW w:w="245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575A4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Sheet</w:t>
            </w:r>
          </w:p>
        </w:tc>
        <w:tc>
          <w:tcPr>
            <w:tcW w:w="7624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ED11F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Content and Use</w:t>
            </w:r>
          </w:p>
        </w:tc>
      </w:tr>
      <w:tr w:rsidR="00EA4835" w:rsidRPr="00AD5F49" w14:paraId="61390FC6" w14:textId="77777777" w:rsidTr="00AD5F49"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C02A4" w14:textId="77777777" w:rsidR="00EA4835" w:rsidRPr="00AD5F49" w:rsidRDefault="00000000" w:rsidP="00AD5F49">
            <w:pPr>
              <w:pStyle w:val="T0-Table"/>
            </w:pPr>
            <w:r w:rsidRPr="00AD5F49">
              <w:t>Read Me</w:t>
            </w:r>
          </w:p>
        </w:tc>
        <w:tc>
          <w:tcPr>
            <w:tcW w:w="762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DFC68" w14:textId="77777777" w:rsidR="00EA4835" w:rsidRPr="00AD5F49" w:rsidRDefault="00000000" w:rsidP="00AD5F49">
            <w:pPr>
              <w:pStyle w:val="T0-Table"/>
            </w:pPr>
            <w:r w:rsidRPr="00AD5F49">
              <w:t>Document identity, metadata, complete workbook index, precedence, change control, scope limitations, and operationalization notes.</w:t>
            </w:r>
          </w:p>
        </w:tc>
      </w:tr>
      <w:tr w:rsidR="00EA4835" w:rsidRPr="00AD5F49" w14:paraId="101BA441" w14:textId="77777777" w:rsidTr="00AD5F49">
        <w:trPr>
          <w:cantSplit/>
        </w:trPr>
        <w:tc>
          <w:tcPr>
            <w:tcW w:w="245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F11A5" w14:textId="77777777" w:rsidR="00EA4835" w:rsidRPr="00AD5F49" w:rsidRDefault="00000000" w:rsidP="00AD5F49">
            <w:pPr>
              <w:pStyle w:val="T0-Table"/>
            </w:pPr>
            <w:r w:rsidRPr="00AD5F49">
              <w:t>ASCR-12 Definition</w:t>
            </w:r>
          </w:p>
        </w:tc>
        <w:tc>
          <w:tcPr>
            <w:tcW w:w="7624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4C44D" w14:textId="77777777" w:rsidR="00EA4835" w:rsidRPr="00AD5F49" w:rsidRDefault="00000000" w:rsidP="00AD5F49">
            <w:pPr>
              <w:pStyle w:val="T0-Table"/>
            </w:pPr>
            <w:r w:rsidRPr="00AD5F49">
              <w:t>Artifact definition, upstream dependencies, regulatory anchors, retention, version, and classification.</w:t>
            </w:r>
          </w:p>
        </w:tc>
      </w:tr>
      <w:tr w:rsidR="00EA4835" w:rsidRPr="00AD5F49" w14:paraId="27841E37" w14:textId="77777777" w:rsidTr="00AD5F49"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902D8" w14:textId="77777777" w:rsidR="00EA4835" w:rsidRPr="00AD5F49" w:rsidRDefault="00000000" w:rsidP="00AD5F49">
            <w:pPr>
              <w:pStyle w:val="T0-Table"/>
            </w:pPr>
            <w:r w:rsidRPr="00AD5F49">
              <w:t>Ownership &amp; Timeline</w:t>
            </w:r>
          </w:p>
        </w:tc>
        <w:tc>
          <w:tcPr>
            <w:tcW w:w="762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ED8E9" w14:textId="77777777" w:rsidR="00EA4835" w:rsidRPr="00AD5F49" w:rsidRDefault="00000000" w:rsidP="00AD5F49">
            <w:pPr>
              <w:pStyle w:val="T0-Table"/>
            </w:pPr>
            <w:r w:rsidRPr="00AD5F49">
              <w:t>Section ownership and preparation milestones.</w:t>
            </w:r>
          </w:p>
        </w:tc>
      </w:tr>
      <w:tr w:rsidR="00EA4835" w:rsidRPr="00AD5F49" w14:paraId="60C8B81A" w14:textId="77777777" w:rsidTr="00AD5F49">
        <w:trPr>
          <w:cantSplit/>
        </w:trPr>
        <w:tc>
          <w:tcPr>
            <w:tcW w:w="245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7E6F8" w14:textId="77777777" w:rsidR="00EA4835" w:rsidRPr="00AD5F49" w:rsidRDefault="00000000" w:rsidP="00AD5F49">
            <w:pPr>
              <w:pStyle w:val="T0-Table"/>
            </w:pPr>
            <w:r w:rsidRPr="00AD5F49">
              <w:t>A — Scorecard Identity</w:t>
            </w:r>
          </w:p>
        </w:tc>
        <w:tc>
          <w:tcPr>
            <w:tcW w:w="7624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47A69" w14:textId="77777777" w:rsidR="00EA4835" w:rsidRPr="00AD5F49" w:rsidRDefault="00000000" w:rsidP="00AD5F49">
            <w:pPr>
              <w:pStyle w:val="T0-Table"/>
            </w:pPr>
            <w:r w:rsidRPr="00AD5F49">
              <w:t>Reporting organization, period, deployment scope, and exposure denominators used to normalize count metrics.</w:t>
            </w:r>
          </w:p>
        </w:tc>
      </w:tr>
      <w:tr w:rsidR="00EA4835" w:rsidRPr="00AD5F49" w14:paraId="7C00EA3F" w14:textId="77777777" w:rsidTr="00AD5F49"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BB2DD" w14:textId="77777777" w:rsidR="00EA4835" w:rsidRPr="00AD5F49" w:rsidRDefault="00000000" w:rsidP="00AD5F49">
            <w:pPr>
              <w:pStyle w:val="T0-Table"/>
            </w:pPr>
            <w:r w:rsidRPr="00AD5F49">
              <w:t>B — Executive Summary</w:t>
            </w:r>
          </w:p>
        </w:tc>
        <w:tc>
          <w:tcPr>
            <w:tcW w:w="762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9849A" w14:textId="77777777" w:rsidR="00EA4835" w:rsidRPr="00AD5F49" w:rsidRDefault="00000000" w:rsidP="00AD5F49">
            <w:pPr>
              <w:pStyle w:val="T0-Table"/>
            </w:pPr>
            <w:r w:rsidRPr="00AD5F49">
              <w:t>ASCR-01 assessment/current risk signals, five-sentence CISO narrative topics, and board-action fields.</w:t>
            </w:r>
          </w:p>
        </w:tc>
      </w:tr>
      <w:tr w:rsidR="00EA4835" w:rsidRPr="00AD5F49" w14:paraId="6BF3F34F" w14:textId="77777777" w:rsidTr="00AD5F49">
        <w:trPr>
          <w:cantSplit/>
        </w:trPr>
        <w:tc>
          <w:tcPr>
            <w:tcW w:w="245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77F14" w14:textId="77777777" w:rsidR="00EA4835" w:rsidRPr="00AD5F49" w:rsidRDefault="00000000" w:rsidP="00AD5F49">
            <w:pPr>
              <w:pStyle w:val="T0-Table"/>
            </w:pPr>
            <w:r w:rsidRPr="00AD5F49">
              <w:t>C — Behavioral Risk</w:t>
            </w:r>
          </w:p>
        </w:tc>
        <w:tc>
          <w:tcPr>
            <w:tcW w:w="7624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2F668" w14:textId="77777777" w:rsidR="00EA4835" w:rsidRPr="00AD5F49" w:rsidRDefault="00000000" w:rsidP="00AD5F49">
            <w:pPr>
              <w:pStyle w:val="T0-Table"/>
            </w:pPr>
            <w:r w:rsidRPr="00AD5F49">
              <w:t>C.1 behavioral telemetry and protective-action rates; C.2 goal integrity; C.3 control-plane, physical-actuation, and cross-zone derived indicators.</w:t>
            </w:r>
          </w:p>
        </w:tc>
      </w:tr>
      <w:tr w:rsidR="00EA4835" w:rsidRPr="00AD5F49" w14:paraId="5395ED91" w14:textId="77777777" w:rsidTr="00AD5F49"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C9FD63" w14:textId="77777777" w:rsidR="00EA4835" w:rsidRPr="00AD5F49" w:rsidRDefault="00000000" w:rsidP="00AD5F49">
            <w:pPr>
              <w:pStyle w:val="T0-Table"/>
            </w:pPr>
            <w:r w:rsidRPr="00AD5F49">
              <w:t>D — Incidents &amp; SLOs</w:t>
            </w:r>
          </w:p>
        </w:tc>
        <w:tc>
          <w:tcPr>
            <w:tcW w:w="762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A70CB" w14:textId="77777777" w:rsidR="00EA4835" w:rsidRPr="00AD5F49" w:rsidRDefault="00000000" w:rsidP="00AD5F49">
            <w:pPr>
              <w:pStyle w:val="T0-Table"/>
            </w:pPr>
            <w:r w:rsidRPr="00AD5F49">
              <w:t>D.1 incident counts/rates and reconciliation fields; D.2 consolidated four-domain ASOC SLO performance; D.2a cascade-propagation latency; D.5 CISO agentic risk indicators.</w:t>
            </w:r>
          </w:p>
        </w:tc>
      </w:tr>
      <w:tr w:rsidR="00EA4835" w:rsidRPr="00AD5F49" w14:paraId="31B4B1D6" w14:textId="77777777" w:rsidTr="00AD5F49">
        <w:trPr>
          <w:cantSplit/>
        </w:trPr>
        <w:tc>
          <w:tcPr>
            <w:tcW w:w="245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7BB01" w14:textId="77777777" w:rsidR="00EA4835" w:rsidRPr="00AD5F49" w:rsidRDefault="00000000" w:rsidP="00AD5F49">
            <w:pPr>
              <w:pStyle w:val="T0-Table"/>
            </w:pPr>
            <w:r w:rsidRPr="00AD5F49">
              <w:t>E — Control Effectiveness</w:t>
            </w:r>
          </w:p>
        </w:tc>
        <w:tc>
          <w:tcPr>
            <w:tcW w:w="7624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DDB59" w14:textId="77777777" w:rsidR="00EA4835" w:rsidRPr="00AD5F49" w:rsidRDefault="00000000" w:rsidP="00AD5F49">
            <w:pPr>
              <w:pStyle w:val="T0-Table"/>
            </w:pPr>
            <w:r w:rsidRPr="00AD5F49">
              <w:t>E.1 calculated pillar scores; E.2 open gaps; E.3 aging/risk acceptance; E.4 ASCR-13 assessed-role staffing/competency status; E.5 ASCR-05 architecture accuracy; E.6 ASCR-04 quarterly gateway review; E.7 lessons-learned integration status; E.8 ASCR-10 change-control health; E.9 ASCR-06 verification health.</w:t>
            </w:r>
          </w:p>
        </w:tc>
      </w:tr>
      <w:tr w:rsidR="00EA4835" w:rsidRPr="00AD5F49" w14:paraId="5A439371" w14:textId="77777777" w:rsidTr="00AD5F49"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723AC" w14:textId="77777777" w:rsidR="00EA4835" w:rsidRPr="00AD5F49" w:rsidRDefault="00000000" w:rsidP="00AD5F49">
            <w:pPr>
              <w:pStyle w:val="T0-Table"/>
            </w:pPr>
            <w:r w:rsidRPr="00AD5F49">
              <w:t>Annex E-1 Scoring Calc</w:t>
            </w:r>
          </w:p>
        </w:tc>
        <w:tc>
          <w:tcPr>
            <w:tcW w:w="762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081E3" w14:textId="77777777" w:rsidR="00EA4835" w:rsidRPr="00AD5F49" w:rsidRDefault="00000000" w:rsidP="00AD5F49">
            <w:pPr>
              <w:pStyle w:val="T0-Table"/>
            </w:pPr>
            <w:r w:rsidRPr="00AD5F49">
              <w:t>Normative-method calculator replica: Pillar 1 ASCR-01 rule; Pillars 2–4 applicable/met SLO formula; gap and exercise criteria; minimum-component override.</w:t>
            </w:r>
          </w:p>
        </w:tc>
      </w:tr>
      <w:tr w:rsidR="00EA4835" w:rsidRPr="00AD5F49" w14:paraId="32882854" w14:textId="77777777" w:rsidTr="00AD5F49">
        <w:trPr>
          <w:cantSplit/>
        </w:trPr>
        <w:tc>
          <w:tcPr>
            <w:tcW w:w="2456" w:type="dxa"/>
            <w:shd w:val="clear" w:color="auto" w:fill="D9E2F3"/>
          </w:tcPr>
          <w:p w14:paraId="6D7C35CF" w14:textId="77777777" w:rsidR="00EA4835" w:rsidRPr="00AD5F49" w:rsidRDefault="00000000" w:rsidP="00AD5F49">
            <w:pPr>
              <w:pStyle w:val="T0-Table"/>
            </w:pPr>
            <w:r w:rsidRPr="00AD5F49">
              <w:t>F — Exercise Results</w:t>
            </w:r>
          </w:p>
        </w:tc>
        <w:tc>
          <w:tcPr>
            <w:tcW w:w="7624" w:type="dxa"/>
            <w:shd w:val="clear" w:color="auto" w:fill="D9E2F3"/>
          </w:tcPr>
          <w:p w14:paraId="51292548" w14:textId="77777777" w:rsidR="00EA4835" w:rsidRPr="00AD5F49" w:rsidRDefault="00000000" w:rsidP="00AD5F49">
            <w:pPr>
              <w:pStyle w:val="T0-Table"/>
            </w:pPr>
            <w:r w:rsidRPr="00AD5F49">
              <w:t>Quarterly exercise activity, findings, and SLO-H3 currency.</w:t>
            </w:r>
          </w:p>
        </w:tc>
      </w:tr>
      <w:tr w:rsidR="00EA4835" w:rsidRPr="00AD5F49" w14:paraId="3852B0E5" w14:textId="77777777" w:rsidTr="00AD5F49">
        <w:trPr>
          <w:cantSplit/>
        </w:trPr>
        <w:tc>
          <w:tcPr>
            <w:tcW w:w="2456" w:type="dxa"/>
            <w:shd w:val="clear" w:color="auto" w:fill="FFFFFF"/>
          </w:tcPr>
          <w:p w14:paraId="2C7FEAF2" w14:textId="77777777" w:rsidR="00EA4835" w:rsidRPr="00AD5F49" w:rsidRDefault="00000000" w:rsidP="00AD5F49">
            <w:pPr>
              <w:pStyle w:val="T0-Table"/>
            </w:pPr>
            <w:r w:rsidRPr="00AD5F49">
              <w:t>G — Risk Score Trend</w:t>
            </w:r>
          </w:p>
        </w:tc>
        <w:tc>
          <w:tcPr>
            <w:tcW w:w="7624" w:type="dxa"/>
            <w:shd w:val="clear" w:color="auto" w:fill="FFFFFF"/>
          </w:tcPr>
          <w:p w14:paraId="426503E1" w14:textId="77777777" w:rsidR="00EA4835" w:rsidRPr="00AD5F49" w:rsidRDefault="00000000" w:rsidP="00AD5F49">
            <w:pPr>
              <w:pStyle w:val="T0-Table"/>
            </w:pPr>
            <w:r w:rsidRPr="00AD5F49">
              <w:t>Six ASCR-01 Cluster Scores and Total Score, assessment metadata, carry-forward trend, and reassessment triggers.</w:t>
            </w:r>
          </w:p>
        </w:tc>
      </w:tr>
      <w:tr w:rsidR="00EA4835" w:rsidRPr="00AD5F49" w14:paraId="5390ECFF" w14:textId="77777777" w:rsidTr="00AD5F49">
        <w:trPr>
          <w:cantSplit/>
        </w:trPr>
        <w:tc>
          <w:tcPr>
            <w:tcW w:w="2456" w:type="dxa"/>
            <w:shd w:val="clear" w:color="auto" w:fill="D9E2F3"/>
          </w:tcPr>
          <w:p w14:paraId="57591915" w14:textId="77777777" w:rsidR="00EA4835" w:rsidRPr="00AD5F49" w:rsidRDefault="00000000" w:rsidP="00AD5F49">
            <w:pPr>
              <w:pStyle w:val="T0-Table"/>
            </w:pPr>
            <w:r w:rsidRPr="00AD5F49">
              <w:t>H — Regulatory Status</w:t>
            </w:r>
          </w:p>
        </w:tc>
        <w:tc>
          <w:tcPr>
            <w:tcW w:w="7624" w:type="dxa"/>
            <w:shd w:val="clear" w:color="auto" w:fill="D9E2F3"/>
          </w:tcPr>
          <w:p w14:paraId="102416F2" w14:textId="77777777" w:rsidR="00EA4835" w:rsidRPr="00AD5F49" w:rsidRDefault="00000000" w:rsidP="00AD5F49">
            <w:pPr>
              <w:pStyle w:val="T0-Table"/>
            </w:pPr>
            <w:r w:rsidRPr="00AD5F49">
              <w:t>EU AI Act applicability/status, NIS2 notification sequence/reconciliation, DORA, RPLD, and regulatory-change horizon.</w:t>
            </w:r>
          </w:p>
        </w:tc>
      </w:tr>
      <w:tr w:rsidR="00EA4835" w:rsidRPr="00AD5F49" w14:paraId="37C10FEB" w14:textId="77777777" w:rsidTr="00AD5F49">
        <w:trPr>
          <w:cantSplit/>
        </w:trPr>
        <w:tc>
          <w:tcPr>
            <w:tcW w:w="2456" w:type="dxa"/>
            <w:shd w:val="clear" w:color="auto" w:fill="FFFFFF"/>
          </w:tcPr>
          <w:p w14:paraId="79E0DD7B" w14:textId="77777777" w:rsidR="00EA4835" w:rsidRPr="00AD5F49" w:rsidRDefault="00000000" w:rsidP="00AD5F49">
            <w:pPr>
              <w:pStyle w:val="T0-Table"/>
            </w:pPr>
            <w:r w:rsidRPr="00AD5F49">
              <w:t>I — Supply Chain</w:t>
            </w:r>
          </w:p>
        </w:tc>
        <w:tc>
          <w:tcPr>
            <w:tcW w:w="7624" w:type="dxa"/>
            <w:shd w:val="clear" w:color="auto" w:fill="FFFFFF"/>
          </w:tcPr>
          <w:p w14:paraId="429DB8A3" w14:textId="77777777" w:rsidR="00EA4835" w:rsidRPr="00AD5F49" w:rsidRDefault="00000000" w:rsidP="00AD5F49">
            <w:pPr>
              <w:pStyle w:val="T0-Table"/>
            </w:pPr>
            <w:r w:rsidRPr="00AD5F49">
              <w:t>Vendor qualification, supply-chain integrity indicators, six canonical identity-continuity SLOs (SLO-I1 through SLO-I6), and supporting non-SLO identity/platform telemetry.</w:t>
            </w:r>
          </w:p>
        </w:tc>
      </w:tr>
      <w:tr w:rsidR="00EA4835" w:rsidRPr="00AD5F49" w14:paraId="73887DE9" w14:textId="77777777" w:rsidTr="00AD5F49">
        <w:trPr>
          <w:cantSplit/>
        </w:trPr>
        <w:tc>
          <w:tcPr>
            <w:tcW w:w="2456" w:type="dxa"/>
            <w:shd w:val="clear" w:color="auto" w:fill="D9E2F3"/>
          </w:tcPr>
          <w:p w14:paraId="048C87E3" w14:textId="77777777" w:rsidR="00EA4835" w:rsidRPr="00AD5F49" w:rsidRDefault="00000000" w:rsidP="00AD5F49">
            <w:pPr>
              <w:pStyle w:val="T0-Table"/>
            </w:pPr>
            <w:r w:rsidRPr="00AD5F49">
              <w:t>Metric Dictionary</w:t>
            </w:r>
          </w:p>
        </w:tc>
        <w:tc>
          <w:tcPr>
            <w:tcW w:w="7624" w:type="dxa"/>
            <w:shd w:val="clear" w:color="auto" w:fill="D9E2F3"/>
          </w:tcPr>
          <w:p w14:paraId="1E45B6F4" w14:textId="77777777" w:rsidR="00EA4835" w:rsidRPr="00AD5F49" w:rsidRDefault="00000000" w:rsidP="00AD5F49">
            <w:pPr>
              <w:pStyle w:val="T0-Table"/>
            </w:pPr>
            <w:r w:rsidRPr="00AD5F49">
              <w:t>Metric/SLO source, owner, window/percentile, numerator/denominator, threshold basis, and status rule.</w:t>
            </w:r>
          </w:p>
        </w:tc>
      </w:tr>
      <w:tr w:rsidR="00EA4835" w:rsidRPr="00AD5F49" w14:paraId="32D3B149" w14:textId="77777777" w:rsidTr="00AD5F49">
        <w:trPr>
          <w:cantSplit/>
        </w:trPr>
        <w:tc>
          <w:tcPr>
            <w:tcW w:w="2456" w:type="dxa"/>
            <w:shd w:val="clear" w:color="auto" w:fill="FFFFFF"/>
          </w:tcPr>
          <w:p w14:paraId="56535A97" w14:textId="77777777" w:rsidR="00EA4835" w:rsidRPr="00AD5F49" w:rsidRDefault="00000000" w:rsidP="00AD5F49">
            <w:pPr>
              <w:pStyle w:val="T0-Table"/>
            </w:pPr>
            <w:r w:rsidRPr="00AD5F49">
              <w:t>J — Authorization</w:t>
            </w:r>
          </w:p>
        </w:tc>
        <w:tc>
          <w:tcPr>
            <w:tcW w:w="7624" w:type="dxa"/>
            <w:shd w:val="clear" w:color="auto" w:fill="FFFFFF"/>
          </w:tcPr>
          <w:p w14:paraId="56C731F0" w14:textId="77777777" w:rsidR="00EA4835" w:rsidRPr="00AD5F49" w:rsidRDefault="00000000" w:rsidP="00AD5F49">
            <w:pPr>
              <w:pStyle w:val="T0-Table"/>
            </w:pPr>
            <w:r w:rsidRPr="00AD5F49">
              <w:t>Preparation/review signatures, distribution record, and retention reference.</w:t>
            </w:r>
          </w:p>
        </w:tc>
      </w:tr>
      <w:tr w:rsidR="00EA4835" w:rsidRPr="00AD5F49" w14:paraId="0B264E00" w14:textId="77777777" w:rsidTr="00AD5F49">
        <w:trPr>
          <w:cantSplit/>
        </w:trPr>
        <w:tc>
          <w:tcPr>
            <w:tcW w:w="2456" w:type="dxa"/>
            <w:shd w:val="clear" w:color="auto" w:fill="D9E2F3"/>
          </w:tcPr>
          <w:p w14:paraId="7E4502F9" w14:textId="77777777" w:rsidR="00EA4835" w:rsidRPr="00AD5F49" w:rsidRDefault="00000000" w:rsidP="00AD5F49">
            <w:pPr>
              <w:pStyle w:val="T0-Table"/>
            </w:pPr>
            <w:r w:rsidRPr="00AD5F49">
              <w:lastRenderedPageBreak/>
              <w:t>V1 — Board Pack Charts</w:t>
            </w:r>
          </w:p>
        </w:tc>
        <w:tc>
          <w:tcPr>
            <w:tcW w:w="7624" w:type="dxa"/>
            <w:shd w:val="clear" w:color="auto" w:fill="D9E2F3"/>
          </w:tcPr>
          <w:p w14:paraId="38901945" w14:textId="77777777" w:rsidR="00EA4835" w:rsidRPr="00AD5F49" w:rsidRDefault="00000000" w:rsidP="00AD5F49">
            <w:pPr>
              <w:pStyle w:val="T0-Table"/>
            </w:pPr>
            <w:r w:rsidRPr="00AD5F49">
              <w:t>Production brief and interpretation rules for the five required board visualizations plus the required CISO agentic-risk indicator table.</w:t>
            </w:r>
          </w:p>
        </w:tc>
      </w:tr>
    </w:tbl>
    <w:p w14:paraId="578B18FC" w14:textId="77777777" w:rsidR="00EA4835" w:rsidRPr="00AD5F49" w:rsidRDefault="00EA4835" w:rsidP="00216A62">
      <w:pPr>
        <w:pStyle w:val="P0-Paragraph"/>
      </w:pPr>
    </w:p>
    <w:p w14:paraId="0E4A643A" w14:textId="77777777" w:rsidR="00EA4835" w:rsidRPr="00AD5F49" w:rsidRDefault="00000000" w:rsidP="00AD5F49">
      <w:pPr>
        <w:pStyle w:val="HS-Heading3"/>
      </w:pPr>
      <w:proofErr w:type="gramStart"/>
      <w:r w:rsidRPr="00AD5F49">
        <w:t>5.2  Data</w:t>
      </w:r>
      <w:proofErr w:type="gramEnd"/>
      <w:r w:rsidRPr="00AD5F49">
        <w:t xml:space="preserve"> entry rules</w:t>
      </w:r>
    </w:p>
    <w:p w14:paraId="56F3AF07" w14:textId="77777777" w:rsidR="00EA4835" w:rsidRPr="00AD5F49" w:rsidRDefault="00000000" w:rsidP="00AD5F49">
      <w:pPr>
        <w:pStyle w:val="L1-Bullet"/>
      </w:pPr>
      <w:r w:rsidRPr="00AD5F49">
        <w:rPr>
          <w:rFonts w:eastAsia="Calibri"/>
        </w:rPr>
        <w:t>Blue cells are manual inputs. Black calculated cells are formula-derived — do not overwrite.</w:t>
      </w:r>
    </w:p>
    <w:p w14:paraId="5D8E94F4" w14:textId="77777777" w:rsidR="00EA4835" w:rsidRPr="00AD5F49" w:rsidRDefault="00000000" w:rsidP="00AD5F49">
      <w:pPr>
        <w:pStyle w:val="L1-Bullet"/>
      </w:pPr>
      <w:r w:rsidRPr="00AD5F49">
        <w:t xml:space="preserve">Operational SLO status cells use PASS / BREACH / N/A and are controlled manual inputs unless a row is explicitly </w:t>
      </w:r>
      <w:proofErr w:type="gramStart"/>
      <w:r w:rsidRPr="00AD5F49">
        <w:t>formula-derived</w:t>
      </w:r>
      <w:proofErr w:type="gramEnd"/>
      <w:r w:rsidRPr="00AD5F49">
        <w:t>. Exercise outcomes use PASS / FAIL / N/A, and regulatory sections use their separately defined compliance/applicability vocabularies. The workbook does not infer legal or operational status from external telemetry unless a formula is explicitly provided.</w:t>
      </w:r>
    </w:p>
    <w:p w14:paraId="41F546AF" w14:textId="77777777" w:rsidR="00EA4835" w:rsidRPr="00AD5F49" w:rsidRDefault="00000000" w:rsidP="00AD5F49">
      <w:pPr>
        <w:pStyle w:val="L1-Bullet"/>
      </w:pPr>
      <w:r w:rsidRPr="00AD5F49">
        <w:rPr>
          <w:rFonts w:eastAsia="Calibri"/>
        </w:rPr>
        <w:t>Populate the workbook first. Transfer verified values to the main scorecard for CISO review and signature.</w:t>
      </w:r>
    </w:p>
    <w:p w14:paraId="79A56C94" w14:textId="77777777" w:rsidR="00EA4835" w:rsidRPr="00AD5F49" w:rsidRDefault="00000000" w:rsidP="00AD5F49">
      <w:pPr>
        <w:pStyle w:val="L1-Bullet"/>
      </w:pPr>
      <w:r w:rsidRPr="00AD5F49">
        <w:t>The workbook does not replace the narrative fields in Sections B.2, D.3, D.4, and G.2. These remain in the main scorecard. Section H.4 now uses the structured regulatory-change-horizon table in both the workbook and main scorecard.</w:t>
      </w:r>
    </w:p>
    <w:p w14:paraId="5A437522" w14:textId="77777777" w:rsidR="00EA4835" w:rsidRPr="00AD5F49" w:rsidRDefault="00000000" w:rsidP="00AD5F49">
      <w:pPr>
        <w:pStyle w:val="HS-Heading3"/>
      </w:pPr>
      <w:proofErr w:type="gramStart"/>
      <w:r w:rsidRPr="00AD5F49">
        <w:t>5.3  Annex</w:t>
      </w:r>
      <w:proofErr w:type="gramEnd"/>
      <w:r w:rsidRPr="00AD5F49">
        <w:t xml:space="preserve"> e-1 calculator</w:t>
      </w:r>
    </w:p>
    <w:p w14:paraId="68F16D7E" w14:textId="77777777" w:rsidR="00EA4835" w:rsidRPr="00AD5F49" w:rsidRDefault="00000000" w:rsidP="00216A62">
      <w:pPr>
        <w:pStyle w:val="P0-Paragraph"/>
      </w:pPr>
      <w:r w:rsidRPr="00AD5F49">
        <w:t xml:space="preserve">The Annex E-1 Scoring Calc sheet reproduces the normative scoring method in the main scorecard. Pillar 1 Component 1 derives from the current approved Total ASCR-01 </w:t>
      </w:r>
      <w:proofErr w:type="gramStart"/>
      <w:r w:rsidRPr="00AD5F49">
        <w:t>Score</w:t>
      </w:r>
      <w:proofErr w:type="gramEnd"/>
      <w:r w:rsidRPr="00AD5F49">
        <w:t xml:space="preserve"> / Prioritization Tier. Pillars 2–4 Component 1 use the applicable/met SLO formula with PASS / BREACH / N/A handling. Component 2 uses the lowest applicable open-gap condition, and Component 3 uses the exercise-performance criteria in the main Annex E-1. If Component 1, 2, or 3 equals 1, the reported Pillar Score is forced to 1. A Component 3 score of 1 also requires CISO escalation to the Executive Sponsor within 5 business days.</w:t>
      </w:r>
    </w:p>
    <w:tbl>
      <w:tblPr>
        <w:tblStyle w:val="af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A4835" w:rsidRPr="00AD5F49" w14:paraId="271ABBA8" w14:textId="77777777">
        <w:tc>
          <w:tcPr>
            <w:tcW w:w="100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27A4E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 xml:space="preserve">Scoring </w:t>
            </w:r>
            <w:proofErr w:type="gramStart"/>
            <w:r w:rsidRPr="00AD5F49">
              <w:rPr>
                <w:rFonts w:eastAsia="Calibri"/>
              </w:rPr>
              <w:t>note  Component</w:t>
            </w:r>
            <w:proofErr w:type="gramEnd"/>
            <w:r w:rsidRPr="00AD5F49">
              <w:rPr>
                <w:rFonts w:eastAsia="Calibri"/>
              </w:rPr>
              <w:t xml:space="preserve"> 2 uses mutually exclusive severity/aging logic with the lowest applicable score governing: 5 = no gaps; 4 = P3 only; 3 = P2 present; 2 = any P1 open ≤30 days; 1 = any P1 open &gt;30 days. A P1 gap open more than 90 days additionally triggers the separate ASCR-03 Section 4 written risk-acceptance requirement. Populate the E.3 Risk Acceptance Reference field for every applicable case; a non-zero &gt;90-day count without a valid reference is a compliance failure.</w:t>
            </w:r>
          </w:p>
        </w:tc>
      </w:tr>
    </w:tbl>
    <w:p w14:paraId="479DF426" w14:textId="77777777" w:rsidR="00EA4835" w:rsidRPr="00AD5F49" w:rsidRDefault="00EA4835" w:rsidP="00216A62">
      <w:pPr>
        <w:pStyle w:val="P0-Paragraph"/>
      </w:pPr>
    </w:p>
    <w:p w14:paraId="11AC20A9" w14:textId="77777777" w:rsidR="00EA4835" w:rsidRPr="00AD5F49" w:rsidRDefault="00000000" w:rsidP="00AD5F49">
      <w:pPr>
        <w:pStyle w:val="HS-Heading3"/>
      </w:pPr>
      <w:proofErr w:type="gramStart"/>
      <w:r w:rsidRPr="00AD5F49">
        <w:t>5.4  Board</w:t>
      </w:r>
      <w:proofErr w:type="gramEnd"/>
      <w:r w:rsidRPr="00AD5F49">
        <w:t xml:space="preserve"> pack visualizations (annex v-1)</w:t>
      </w:r>
    </w:p>
    <w:p w14:paraId="136DB87B" w14:textId="77777777" w:rsidR="00EA4835" w:rsidRPr="00AD5F49" w:rsidRDefault="00000000" w:rsidP="00216A62">
      <w:pPr>
        <w:pStyle w:val="P0-Paragraph"/>
      </w:pPr>
      <w:r w:rsidRPr="00AD5F49">
        <w:t xml:space="preserve">The V1 — Board Pack Charts sheet maps each of the five required visualizations to the source workbook cells </w:t>
      </w:r>
      <w:proofErr w:type="gramStart"/>
      <w:r w:rsidRPr="00AD5F49">
        <w:t>and also</w:t>
      </w:r>
      <w:proofErr w:type="gramEnd"/>
      <w:r w:rsidRPr="00AD5F49">
        <w:t xml:space="preserve"> carries the required V-6 CISO Agentic Risk Indicators table. Use this sheet as the production brief for your charting/reporting tool.</w:t>
      </w:r>
    </w:p>
    <w:tbl>
      <w:tblPr>
        <w:tblStyle w:val="af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2671"/>
        <w:gridCol w:w="5169"/>
      </w:tblGrid>
      <w:tr w:rsidR="00EA4835" w:rsidRPr="00AD5F49" w14:paraId="6402F778" w14:textId="77777777">
        <w:trPr>
          <w:cantSplit/>
          <w:tblHeader/>
        </w:trPr>
        <w:tc>
          <w:tcPr>
            <w:tcW w:w="224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B0C4A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Visualization</w:t>
            </w:r>
          </w:p>
        </w:tc>
        <w:tc>
          <w:tcPr>
            <w:tcW w:w="26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36946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Source Sheet</w:t>
            </w:r>
          </w:p>
        </w:tc>
        <w:tc>
          <w:tcPr>
            <w:tcW w:w="516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8A559B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Key Signal</w:t>
            </w:r>
          </w:p>
        </w:tc>
      </w:tr>
      <w:tr w:rsidR="00EA4835" w:rsidRPr="00AD5F49" w14:paraId="0C9AD12A" w14:textId="77777777">
        <w:trPr>
          <w:cantSplit/>
        </w:trPr>
        <w:tc>
          <w:tcPr>
            <w:tcW w:w="224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CA077" w14:textId="77777777" w:rsidR="00EA4835" w:rsidRPr="00AD5F49" w:rsidRDefault="00000000" w:rsidP="00AD5F49">
            <w:pPr>
              <w:pStyle w:val="T0-Table"/>
            </w:pPr>
            <w:r w:rsidRPr="00AD5F49">
              <w:t>V-1: ASCR-01 Assessment Score Trend</w:t>
            </w:r>
          </w:p>
        </w:tc>
        <w:tc>
          <w:tcPr>
            <w:tcW w:w="26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4E853" w14:textId="77777777" w:rsidR="00EA4835" w:rsidRPr="00AD5F49" w:rsidRDefault="00000000" w:rsidP="00AD5F49">
            <w:pPr>
              <w:pStyle w:val="T0-Table"/>
            </w:pPr>
            <w:r w:rsidRPr="00AD5F49">
              <w:t>G — Risk Score Trend (G.1a)</w:t>
            </w:r>
          </w:p>
        </w:tc>
        <w:tc>
          <w:tcPr>
            <w:tcW w:w="516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16BA1" w14:textId="77777777" w:rsidR="00EA4835" w:rsidRPr="00AD5F49" w:rsidRDefault="00000000" w:rsidP="00AD5F49">
            <w:pPr>
              <w:pStyle w:val="T0-Table"/>
            </w:pPr>
            <w:r w:rsidRPr="00AD5F49">
              <w:t xml:space="preserve">Direction of six Cluster Scores and Total ASCR-01 </w:t>
            </w:r>
            <w:proofErr w:type="gramStart"/>
            <w:r w:rsidRPr="00AD5F49">
              <w:t>Score</w:t>
            </w:r>
            <w:proofErr w:type="gramEnd"/>
            <w:r w:rsidRPr="00AD5F49">
              <w:t>; flag any degradation, applicable-cluster-set change, or Total Score Prioritization Tier change</w:t>
            </w:r>
          </w:p>
        </w:tc>
      </w:tr>
      <w:tr w:rsidR="00EA4835" w:rsidRPr="00AD5F49" w14:paraId="1A34D50F" w14:textId="77777777">
        <w:trPr>
          <w:cantSplit/>
        </w:trPr>
        <w:tc>
          <w:tcPr>
            <w:tcW w:w="224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6EB49" w14:textId="77777777" w:rsidR="00EA4835" w:rsidRPr="00AD5F49" w:rsidRDefault="00000000" w:rsidP="00AD5F49">
            <w:pPr>
              <w:pStyle w:val="T0-Table"/>
            </w:pPr>
            <w:r w:rsidRPr="00AD5F49">
              <w:t>V-2: Incident Heat Map</w:t>
            </w:r>
          </w:p>
        </w:tc>
        <w:tc>
          <w:tcPr>
            <w:tcW w:w="26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D1DBE" w14:textId="77777777" w:rsidR="00EA4835" w:rsidRPr="00AD5F49" w:rsidRDefault="00000000" w:rsidP="00AD5F49">
            <w:pPr>
              <w:pStyle w:val="T0-Table"/>
            </w:pPr>
            <w:r w:rsidRPr="00AD5F49">
              <w:t>D — Incidents &amp; SLOs (D.1)</w:t>
            </w:r>
          </w:p>
        </w:tc>
        <w:tc>
          <w:tcPr>
            <w:tcW w:w="516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AF424" w14:textId="77777777" w:rsidR="00EA4835" w:rsidRPr="00AD5F49" w:rsidRDefault="00000000" w:rsidP="00AD5F49">
            <w:pPr>
              <w:pStyle w:val="T0-Table"/>
            </w:pPr>
            <w:r w:rsidRPr="00AD5F49">
              <w:t>Type-A growth while Type-S stable = adversarial escalation</w:t>
            </w:r>
          </w:p>
        </w:tc>
      </w:tr>
      <w:tr w:rsidR="00EA4835" w:rsidRPr="00AD5F49" w14:paraId="5D727A4A" w14:textId="77777777">
        <w:trPr>
          <w:cantSplit/>
        </w:trPr>
        <w:tc>
          <w:tcPr>
            <w:tcW w:w="224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E5AF7" w14:textId="77777777" w:rsidR="00EA4835" w:rsidRPr="00AD5F49" w:rsidRDefault="00000000" w:rsidP="00AD5F49">
            <w:pPr>
              <w:pStyle w:val="T0-Table"/>
            </w:pPr>
            <w:r w:rsidRPr="00AD5F49">
              <w:lastRenderedPageBreak/>
              <w:t>V-3: SLO Traffic Light</w:t>
            </w:r>
          </w:p>
        </w:tc>
        <w:tc>
          <w:tcPr>
            <w:tcW w:w="26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4B09D" w14:textId="77777777" w:rsidR="00EA4835" w:rsidRPr="00AD5F49" w:rsidRDefault="00000000" w:rsidP="00AD5F49">
            <w:pPr>
              <w:pStyle w:val="T0-Table"/>
            </w:pPr>
            <w:r w:rsidRPr="00AD5F49">
              <w:t>C, D, I — all applicable SLO status cells: SLO-D1 through SLO-D4; SLO-R1 through SLO-R4; SLO-F1 through SLO-F2; SLO-H1 through SLO-H4; and SLO-I1 through SLO-I6.</w:t>
            </w:r>
          </w:p>
        </w:tc>
        <w:tc>
          <w:tcPr>
            <w:tcW w:w="516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84CAD" w14:textId="77777777" w:rsidR="00EA4835" w:rsidRPr="00AD5F49" w:rsidRDefault="00000000" w:rsidP="00AD5F49">
            <w:pPr>
              <w:pStyle w:val="T0-Table"/>
            </w:pPr>
            <w:r w:rsidRPr="00AD5F49">
              <w:t xml:space="preserve">Green = PASS; Red = BREACH. Amber is a proximity/warning state only where a governed metric-specific rule </w:t>
            </w:r>
            <w:proofErr w:type="gramStart"/>
            <w:r w:rsidRPr="00AD5F49">
              <w:t>exists:</w:t>
            </w:r>
            <w:proofErr w:type="gramEnd"/>
            <w:r w:rsidRPr="00AD5F49">
              <w:t xml:space="preserve"> for ≤T metrics, 0.9T to T; for ≥X reliability metrics, use consumed error budget rather than 10% of X; binary/currency metrics use no generic Amber band.</w:t>
            </w:r>
          </w:p>
        </w:tc>
      </w:tr>
      <w:tr w:rsidR="00EA4835" w:rsidRPr="00AD5F49" w14:paraId="4654B19E" w14:textId="77777777">
        <w:trPr>
          <w:cantSplit/>
        </w:trPr>
        <w:tc>
          <w:tcPr>
            <w:tcW w:w="224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A42E0" w14:textId="77777777" w:rsidR="00EA4835" w:rsidRPr="00AD5F49" w:rsidRDefault="00000000" w:rsidP="00AD5F49">
            <w:pPr>
              <w:pStyle w:val="T0-Table"/>
            </w:pPr>
            <w:r w:rsidRPr="00AD5F49">
              <w:t>V-4: Pillar Radar Chart</w:t>
            </w:r>
          </w:p>
        </w:tc>
        <w:tc>
          <w:tcPr>
            <w:tcW w:w="26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4449E" w14:textId="77777777" w:rsidR="00EA4835" w:rsidRPr="00AD5F49" w:rsidRDefault="00000000" w:rsidP="00AD5F49">
            <w:pPr>
              <w:pStyle w:val="T0-Table"/>
            </w:pPr>
            <w:r w:rsidRPr="00AD5F49">
              <w:t>E — Control Effectiveness (E.1)</w:t>
            </w:r>
          </w:p>
        </w:tc>
        <w:tc>
          <w:tcPr>
            <w:tcW w:w="516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958E9" w14:textId="77777777" w:rsidR="00EA4835" w:rsidRPr="00AD5F49" w:rsidRDefault="00000000" w:rsidP="00AD5F49">
            <w:pPr>
              <w:pStyle w:val="T0-Table"/>
            </w:pPr>
            <w:r w:rsidRPr="00AD5F49">
              <w:t>Inter-pillar gap visibility; overlay prior quarter dashed</w:t>
            </w:r>
          </w:p>
        </w:tc>
      </w:tr>
      <w:tr w:rsidR="00EA4835" w:rsidRPr="00AD5F49" w14:paraId="4FBE176D" w14:textId="77777777">
        <w:trPr>
          <w:cantSplit/>
        </w:trPr>
        <w:tc>
          <w:tcPr>
            <w:tcW w:w="224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EE579" w14:textId="77777777" w:rsidR="00EA4835" w:rsidRPr="00AD5F49" w:rsidRDefault="00000000" w:rsidP="00AD5F49">
            <w:pPr>
              <w:pStyle w:val="T0-Table"/>
            </w:pPr>
            <w:r w:rsidRPr="00AD5F49">
              <w:t>V-5: Divergence Histogram</w:t>
            </w:r>
          </w:p>
        </w:tc>
        <w:tc>
          <w:tcPr>
            <w:tcW w:w="2671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61C17" w14:textId="77777777" w:rsidR="00EA4835" w:rsidRPr="00AD5F49" w:rsidRDefault="00000000" w:rsidP="00AD5F49">
            <w:pPr>
              <w:pStyle w:val="T0-Table"/>
            </w:pPr>
            <w:r w:rsidRPr="00AD5F49">
              <w:t>C — Behavioral Risk (C.1)</w:t>
            </w:r>
          </w:p>
        </w:tc>
        <w:tc>
          <w:tcPr>
            <w:tcW w:w="5169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05C9F" w14:textId="77777777" w:rsidR="00EA4835" w:rsidRPr="00AD5F49" w:rsidRDefault="00000000" w:rsidP="00AD5F49">
            <w:pPr>
              <w:pStyle w:val="T0-Table"/>
            </w:pPr>
            <w:r w:rsidRPr="00AD5F49">
              <w:t>Rightward shift toward SOFT_ALERT = earliest drift warning</w:t>
            </w:r>
          </w:p>
        </w:tc>
      </w:tr>
    </w:tbl>
    <w:p w14:paraId="68E959F5" w14:textId="77777777" w:rsidR="00EA4835" w:rsidRPr="00AD5F49" w:rsidRDefault="00000000" w:rsidP="00AD5F49">
      <w:pPr>
        <w:pStyle w:val="HS-Heading2"/>
      </w:pPr>
      <w:r w:rsidRPr="00AD5F49">
        <w:t>6. Regulatory integration</w:t>
      </w:r>
    </w:p>
    <w:p w14:paraId="5B2CF5BA" w14:textId="77777777" w:rsidR="00EA4835" w:rsidRPr="00AD5F49" w:rsidRDefault="00000000" w:rsidP="00216A62">
      <w:pPr>
        <w:pStyle w:val="P0-Paragraph"/>
      </w:pPr>
      <w:r w:rsidRPr="00AD5F49">
        <w:t>ASCR-12 is a multi-regulation compliance evidence artifact. It does not replace legal counsel review. This section maps the scorecard to specific article requirements to assist the Legal / Compliance team with H.1 through H.3.</w:t>
      </w:r>
    </w:p>
    <w:p w14:paraId="66DBC5B9" w14:textId="77777777" w:rsidR="00EA4835" w:rsidRPr="00AD5F49" w:rsidRDefault="00000000" w:rsidP="00AD5F49">
      <w:pPr>
        <w:pStyle w:val="HS-Heading3"/>
      </w:pPr>
      <w:proofErr w:type="gramStart"/>
      <w:r w:rsidRPr="00AD5F49">
        <w:t>6.1  EU</w:t>
      </w:r>
      <w:proofErr w:type="gramEnd"/>
      <w:r w:rsidRPr="00AD5F49">
        <w:t xml:space="preserve"> AI Act</w:t>
      </w:r>
    </w:p>
    <w:tbl>
      <w:tblPr>
        <w:tblStyle w:val="af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2"/>
        <w:gridCol w:w="6978"/>
      </w:tblGrid>
      <w:tr w:rsidR="00EA4835" w:rsidRPr="00AD5F49" w14:paraId="04A83646" w14:textId="77777777">
        <w:trPr>
          <w:cantSplit/>
          <w:tblHeader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D2C4A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Article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D8E3CD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How ASCR-12 Provides Evidence</w:t>
            </w:r>
          </w:p>
        </w:tc>
      </w:tr>
      <w:tr w:rsidR="00EA4835" w:rsidRPr="00AD5F49" w14:paraId="4ACE4DB6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6C637" w14:textId="77777777" w:rsidR="00EA4835" w:rsidRPr="00AD5F49" w:rsidRDefault="00000000" w:rsidP="00AD5F49">
            <w:pPr>
              <w:pStyle w:val="T0-Table"/>
            </w:pPr>
            <w:r w:rsidRPr="00AD5F49">
              <w:t>Art. 9 — Risk management system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EFAF5" w14:textId="77777777" w:rsidR="00EA4835" w:rsidRPr="00AD5F49" w:rsidRDefault="00000000" w:rsidP="00AD5F49">
            <w:pPr>
              <w:pStyle w:val="T0-Table"/>
            </w:pPr>
            <w:r w:rsidRPr="00AD5F49">
              <w:t>ASCR-12 provides recurring assurance evidence alongside ASCR-01. H.1 records applicability and status; Sections G and E provide assessment and control-effectiveness evidence.</w:t>
            </w:r>
          </w:p>
        </w:tc>
      </w:tr>
      <w:tr w:rsidR="00EA4835" w:rsidRPr="00AD5F49" w14:paraId="7F6590A3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82E9C" w14:textId="77777777" w:rsidR="00EA4835" w:rsidRPr="00AD5F49" w:rsidRDefault="00000000" w:rsidP="00AD5F49">
            <w:pPr>
              <w:pStyle w:val="T0-Table"/>
            </w:pPr>
            <w:r w:rsidRPr="00AD5F49">
              <w:t>Art. 12 — Logging and record-keeping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0FB4C" w14:textId="77777777" w:rsidR="00EA4835" w:rsidRPr="00AD5F49" w:rsidRDefault="00000000" w:rsidP="00AD5F49">
            <w:pPr>
              <w:pStyle w:val="T0-Table"/>
            </w:pPr>
            <w:r w:rsidRPr="00AD5F49">
              <w:t>ASCR-07 chain-verification availability (SLO-H1 in Section C.2) and ASCR-08 incident records provide supporting logging evidence.</w:t>
            </w:r>
          </w:p>
        </w:tc>
      </w:tr>
      <w:tr w:rsidR="00EA4835" w:rsidRPr="00AD5F49" w14:paraId="6C363782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AAB22" w14:textId="77777777" w:rsidR="00EA4835" w:rsidRPr="00AD5F49" w:rsidRDefault="00000000" w:rsidP="00AD5F49">
            <w:pPr>
              <w:pStyle w:val="T0-Table"/>
            </w:pPr>
            <w:r w:rsidRPr="00AD5F49">
              <w:t>Art. 13 — Transparency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4232C" w14:textId="77777777" w:rsidR="00EA4835" w:rsidRPr="00AD5F49" w:rsidRDefault="00000000" w:rsidP="00AD5F49">
            <w:pPr>
              <w:pStyle w:val="T0-Table"/>
            </w:pPr>
            <w:r w:rsidRPr="00AD5F49">
              <w:t>Legal / Compliance reviews applicable deployer information and records the evidence reference from current disclosure/contract documentation.</w:t>
            </w:r>
          </w:p>
        </w:tc>
      </w:tr>
      <w:tr w:rsidR="00EA4835" w:rsidRPr="00AD5F49" w14:paraId="41C0914D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C5F0C" w14:textId="77777777" w:rsidR="00EA4835" w:rsidRPr="00AD5F49" w:rsidRDefault="00000000" w:rsidP="00AD5F49">
            <w:pPr>
              <w:pStyle w:val="T0-Table"/>
            </w:pPr>
            <w:r w:rsidRPr="00AD5F49">
              <w:t>Art. 14 — Human oversight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D7540F" w14:textId="77777777" w:rsidR="00EA4835" w:rsidRPr="00AD5F49" w:rsidRDefault="00000000" w:rsidP="00AD5F49">
            <w:pPr>
              <w:pStyle w:val="T0-Table"/>
            </w:pPr>
            <w:r w:rsidRPr="00AD5F49">
              <w:t xml:space="preserve">HARD_BLOCK enforcement evidence, SLO-H2, and ASCR-09 exercise results support evidence of oversight and </w:t>
            </w:r>
            <w:proofErr w:type="spellStart"/>
            <w:r w:rsidRPr="00AD5F49">
              <w:t>interruptibility</w:t>
            </w:r>
            <w:proofErr w:type="spellEnd"/>
            <w:r w:rsidRPr="00AD5F49">
              <w:t xml:space="preserve"> mechanisms; ASCR-12 does not establish legal conformity by itself.</w:t>
            </w:r>
          </w:p>
        </w:tc>
      </w:tr>
      <w:tr w:rsidR="00EA4835" w:rsidRPr="00AD5F49" w14:paraId="261DFD9B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30640" w14:textId="77777777" w:rsidR="00EA4835" w:rsidRPr="00AD5F49" w:rsidRDefault="00000000" w:rsidP="00AD5F49">
            <w:pPr>
              <w:pStyle w:val="T0-Table"/>
            </w:pPr>
            <w:r w:rsidRPr="00AD5F49">
              <w:t>Art. 15 — Cybersecurity and robustness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37F79" w14:textId="77777777" w:rsidR="00EA4835" w:rsidRPr="00AD5F49" w:rsidRDefault="00000000" w:rsidP="00AD5F49">
            <w:pPr>
              <w:pStyle w:val="T0-Table"/>
            </w:pPr>
            <w:r w:rsidRPr="00AD5F49">
              <w:t>Section C behavioral/enforcement indicators, Section I supply-chain/identity evidence, and ASCR-09 adversarial exercise results provide supporting operational evidence.</w:t>
            </w:r>
          </w:p>
        </w:tc>
      </w:tr>
      <w:tr w:rsidR="00EA4835" w:rsidRPr="00AD5F49" w14:paraId="59E86BC2" w14:textId="77777777">
        <w:trPr>
          <w:cantSplit/>
        </w:trPr>
        <w:tc>
          <w:tcPr>
            <w:tcW w:w="310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6E312" w14:textId="77777777" w:rsidR="00EA4835" w:rsidRPr="00AD5F49" w:rsidRDefault="00000000" w:rsidP="00AD5F49">
            <w:pPr>
              <w:pStyle w:val="T0-Table"/>
            </w:pPr>
            <w:r w:rsidRPr="00AD5F49">
              <w:t>Art. 72 — Post-market monitoring</w:t>
            </w:r>
          </w:p>
        </w:tc>
        <w:tc>
          <w:tcPr>
            <w:tcW w:w="697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2197C" w14:textId="77777777" w:rsidR="00EA4835" w:rsidRPr="00AD5F49" w:rsidRDefault="00000000" w:rsidP="00AD5F49">
            <w:pPr>
              <w:pStyle w:val="T0-Table"/>
            </w:pPr>
            <w:r w:rsidRPr="00AD5F49">
              <w:t>H.1 records the applicable post-market monitoring status and evidence chain; use the deployment’s role and system classification to determine applicability.</w:t>
            </w:r>
          </w:p>
        </w:tc>
      </w:tr>
      <w:tr w:rsidR="00EA4835" w:rsidRPr="00AD5F49" w14:paraId="70DD45BE" w14:textId="77777777">
        <w:trPr>
          <w:cantSplit/>
        </w:trPr>
        <w:tc>
          <w:tcPr>
            <w:tcW w:w="3102" w:type="dxa"/>
            <w:shd w:val="clear" w:color="auto" w:fill="FFFFFF"/>
          </w:tcPr>
          <w:p w14:paraId="447AD6C8" w14:textId="77777777" w:rsidR="00EA4835" w:rsidRPr="00AD5F49" w:rsidRDefault="00000000" w:rsidP="00AD5F49">
            <w:pPr>
              <w:pStyle w:val="T0-Table"/>
            </w:pPr>
            <w:r w:rsidRPr="00AD5F49">
              <w:t>Art. 73 — Serious-incident reporting</w:t>
            </w:r>
          </w:p>
        </w:tc>
        <w:tc>
          <w:tcPr>
            <w:tcW w:w="6978" w:type="dxa"/>
            <w:shd w:val="clear" w:color="auto" w:fill="FFFFFF"/>
          </w:tcPr>
          <w:p w14:paraId="378E8050" w14:textId="77777777" w:rsidR="00EA4835" w:rsidRPr="00AD5F49" w:rsidRDefault="00000000" w:rsidP="00AD5F49">
            <w:pPr>
              <w:pStyle w:val="T0-Table"/>
            </w:pPr>
            <w:r w:rsidRPr="00AD5F49">
              <w:t>Use the AI Act serious-incident population and the applicable H.1 reporting category/deadline (15-day, 10-day death case, or 2-day widespread infringement / serious critical-infrastructure disruption category as applicable). NIS2 SLO-R4 is not the operative Art. 73 threshold.</w:t>
            </w:r>
          </w:p>
        </w:tc>
      </w:tr>
    </w:tbl>
    <w:p w14:paraId="11229A5C" w14:textId="77777777" w:rsidR="00EA4835" w:rsidRPr="00AD5F49" w:rsidRDefault="00000000" w:rsidP="00AD5F49">
      <w:pPr>
        <w:pStyle w:val="HS-Heading3"/>
      </w:pPr>
      <w:proofErr w:type="gramStart"/>
      <w:r w:rsidRPr="00AD5F49">
        <w:lastRenderedPageBreak/>
        <w:t>6.2  NIS</w:t>
      </w:r>
      <w:proofErr w:type="gramEnd"/>
      <w:r w:rsidRPr="00AD5F49">
        <w:t>2 article 21 / 23</w:t>
      </w:r>
    </w:p>
    <w:tbl>
      <w:tblPr>
        <w:tblStyle w:val="aff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8"/>
        <w:gridCol w:w="6622"/>
      </w:tblGrid>
      <w:tr w:rsidR="00EA4835" w:rsidRPr="00AD5F49" w14:paraId="4C31ED61" w14:textId="77777777">
        <w:trPr>
          <w:cantSplit/>
          <w:tblHeader/>
        </w:trPr>
        <w:tc>
          <w:tcPr>
            <w:tcW w:w="345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8879F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Obligation</w:t>
            </w:r>
          </w:p>
        </w:tc>
        <w:tc>
          <w:tcPr>
            <w:tcW w:w="662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7D48C" w14:textId="77777777" w:rsidR="00EA4835" w:rsidRPr="00AD5F49" w:rsidRDefault="00000000" w:rsidP="00AD5F49">
            <w:pPr>
              <w:pStyle w:val="T0-Table"/>
              <w:rPr>
                <w:rStyle w:val="CS-Keyword"/>
              </w:rPr>
            </w:pPr>
            <w:r w:rsidRPr="00AD5F49">
              <w:rPr>
                <w:rStyle w:val="CS-Keyword"/>
              </w:rPr>
              <w:t>ASCR-12 Evidence</w:t>
            </w:r>
          </w:p>
        </w:tc>
      </w:tr>
      <w:tr w:rsidR="00EA4835" w:rsidRPr="00AD5F49" w14:paraId="5241C70F" w14:textId="77777777">
        <w:trPr>
          <w:cantSplit/>
        </w:trPr>
        <w:tc>
          <w:tcPr>
            <w:tcW w:w="345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C7902" w14:textId="77777777" w:rsidR="00EA4835" w:rsidRPr="00AD5F49" w:rsidRDefault="00000000" w:rsidP="00AD5F49">
            <w:pPr>
              <w:pStyle w:val="T0-Table"/>
            </w:pPr>
            <w:r w:rsidRPr="00AD5F49">
              <w:t>Art. 21(2)(a)(</w:t>
            </w:r>
            <w:proofErr w:type="gramStart"/>
            <w:r w:rsidRPr="00AD5F49">
              <w:t>e) —</w:t>
            </w:r>
            <w:proofErr w:type="gramEnd"/>
            <w:r w:rsidRPr="00AD5F49">
              <w:t xml:space="preserve"> Security architecture / effectiveness</w:t>
            </w:r>
          </w:p>
        </w:tc>
        <w:tc>
          <w:tcPr>
            <w:tcW w:w="662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6B023E" w14:textId="77777777" w:rsidR="00EA4835" w:rsidRPr="00AD5F49" w:rsidRDefault="00000000" w:rsidP="00AD5F49">
            <w:pPr>
              <w:pStyle w:val="T0-Table"/>
            </w:pPr>
            <w:r w:rsidRPr="00AD5F49">
              <w:t>Section C behavioral and physical-boundary controls plus Section I.3 identity-chain integrity provide supporting security-control evidence.</w:t>
            </w:r>
          </w:p>
        </w:tc>
      </w:tr>
      <w:tr w:rsidR="00EA4835" w:rsidRPr="00AD5F49" w14:paraId="0820CC5C" w14:textId="77777777">
        <w:trPr>
          <w:cantSplit/>
        </w:trPr>
        <w:tc>
          <w:tcPr>
            <w:tcW w:w="345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7E6FAD" w14:textId="77777777" w:rsidR="00EA4835" w:rsidRPr="00AD5F49" w:rsidRDefault="00000000" w:rsidP="00AD5F49">
            <w:pPr>
              <w:pStyle w:val="T0-Table"/>
            </w:pPr>
            <w:r w:rsidRPr="00AD5F49">
              <w:t>Art. 21(2)(</w:t>
            </w:r>
            <w:proofErr w:type="gramStart"/>
            <w:r w:rsidRPr="00AD5F49">
              <w:t>d) —</w:t>
            </w:r>
            <w:proofErr w:type="gramEnd"/>
            <w:r w:rsidRPr="00AD5F49">
              <w:t xml:space="preserve"> Supply chain security</w:t>
            </w:r>
          </w:p>
        </w:tc>
        <w:tc>
          <w:tcPr>
            <w:tcW w:w="662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F28E6" w14:textId="77777777" w:rsidR="00EA4835" w:rsidRPr="00AD5F49" w:rsidRDefault="00000000" w:rsidP="00AD5F49">
            <w:pPr>
              <w:pStyle w:val="T0-Table"/>
            </w:pPr>
            <w:r w:rsidRPr="00AD5F49">
              <w:t>Section I: ASCR-16 alerts and ASCR-17 vendor qualification constitute the principal supply-chain security evidence.</w:t>
            </w:r>
          </w:p>
        </w:tc>
      </w:tr>
      <w:tr w:rsidR="00EA4835" w:rsidRPr="00AD5F49" w14:paraId="5508DF5E" w14:textId="77777777">
        <w:trPr>
          <w:cantSplit/>
        </w:trPr>
        <w:tc>
          <w:tcPr>
            <w:tcW w:w="3458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C9FDD" w14:textId="77777777" w:rsidR="00EA4835" w:rsidRPr="00AD5F49" w:rsidRDefault="00000000" w:rsidP="00AD5F49">
            <w:pPr>
              <w:pStyle w:val="T0-Table"/>
            </w:pPr>
            <w:r w:rsidRPr="00AD5F49">
              <w:t>Art. 23(4)(</w:t>
            </w:r>
            <w:proofErr w:type="gramStart"/>
            <w:r w:rsidRPr="00AD5F49">
              <w:t>a) —</w:t>
            </w:r>
            <w:proofErr w:type="gramEnd"/>
            <w:r w:rsidRPr="00AD5F49">
              <w:t xml:space="preserve"> 24-hour early warning</w:t>
            </w:r>
          </w:p>
        </w:tc>
        <w:tc>
          <w:tcPr>
            <w:tcW w:w="6622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DD533" w14:textId="77777777" w:rsidR="00EA4835" w:rsidRPr="00AD5F49" w:rsidRDefault="00000000" w:rsidP="00AD5F49">
            <w:pPr>
              <w:pStyle w:val="T0-Table"/>
            </w:pPr>
            <w:r w:rsidRPr="00AD5F49">
              <w:t>H.2 records submission status/count and evidence reference. D.1 NIS2-significant-incident count must reconcile to the 24-hour early-warning submission count for the same population.</w:t>
            </w:r>
          </w:p>
        </w:tc>
      </w:tr>
      <w:tr w:rsidR="00EA4835" w:rsidRPr="00AD5F49" w14:paraId="7055086F" w14:textId="77777777">
        <w:trPr>
          <w:cantSplit/>
        </w:trPr>
        <w:tc>
          <w:tcPr>
            <w:tcW w:w="3458" w:type="dxa"/>
            <w:shd w:val="clear" w:color="auto" w:fill="D9E2F3"/>
          </w:tcPr>
          <w:p w14:paraId="506DEAD2" w14:textId="77777777" w:rsidR="00EA4835" w:rsidRPr="00AD5F49" w:rsidRDefault="00000000" w:rsidP="00AD5F49">
            <w:pPr>
              <w:pStyle w:val="T0-Table"/>
            </w:pPr>
            <w:r w:rsidRPr="00AD5F49">
              <w:t>Art. 23(4)(</w:t>
            </w:r>
            <w:proofErr w:type="gramStart"/>
            <w:r w:rsidRPr="00AD5F49">
              <w:t>b) —</w:t>
            </w:r>
            <w:proofErr w:type="gramEnd"/>
            <w:r w:rsidRPr="00AD5F49">
              <w:t xml:space="preserve"> 72-hour incident notification</w:t>
            </w:r>
          </w:p>
        </w:tc>
        <w:tc>
          <w:tcPr>
            <w:tcW w:w="6622" w:type="dxa"/>
            <w:shd w:val="clear" w:color="auto" w:fill="D9E2F3"/>
          </w:tcPr>
          <w:p w14:paraId="23D653AE" w14:textId="77777777" w:rsidR="00EA4835" w:rsidRPr="00AD5F49" w:rsidRDefault="00000000" w:rsidP="00AD5F49">
            <w:pPr>
              <w:pStyle w:val="T0-Table"/>
            </w:pPr>
            <w:r w:rsidRPr="00AD5F49">
              <w:t>H.2 records status and evidence separately from the early warning.</w:t>
            </w:r>
          </w:p>
        </w:tc>
      </w:tr>
      <w:tr w:rsidR="00EA4835" w:rsidRPr="00AD5F49" w14:paraId="2306184C" w14:textId="77777777">
        <w:trPr>
          <w:cantSplit/>
        </w:trPr>
        <w:tc>
          <w:tcPr>
            <w:tcW w:w="3458" w:type="dxa"/>
            <w:shd w:val="clear" w:color="auto" w:fill="FFFFFF"/>
          </w:tcPr>
          <w:p w14:paraId="09317C72" w14:textId="77777777" w:rsidR="00EA4835" w:rsidRPr="00AD5F49" w:rsidRDefault="00000000" w:rsidP="00AD5F49">
            <w:pPr>
              <w:pStyle w:val="T0-Table"/>
            </w:pPr>
            <w:r w:rsidRPr="00AD5F49">
              <w:t>Art. 23(4)(</w:t>
            </w:r>
            <w:proofErr w:type="gramStart"/>
            <w:r w:rsidRPr="00AD5F49">
              <w:t>d) —</w:t>
            </w:r>
            <w:proofErr w:type="gramEnd"/>
            <w:r w:rsidRPr="00AD5F49">
              <w:t xml:space="preserve"> one-month final report</w:t>
            </w:r>
          </w:p>
        </w:tc>
        <w:tc>
          <w:tcPr>
            <w:tcW w:w="6622" w:type="dxa"/>
            <w:shd w:val="clear" w:color="auto" w:fill="FFFFFF"/>
          </w:tcPr>
          <w:p w14:paraId="4A7FC71A" w14:textId="77777777" w:rsidR="00EA4835" w:rsidRPr="00AD5F49" w:rsidRDefault="00000000" w:rsidP="00AD5F49">
            <w:pPr>
              <w:pStyle w:val="T0-Table"/>
            </w:pPr>
            <w:r w:rsidRPr="00AD5F49">
              <w:t>H.2 records final-report status and evidence separately.</w:t>
            </w:r>
          </w:p>
        </w:tc>
      </w:tr>
    </w:tbl>
    <w:p w14:paraId="3BDEEC02" w14:textId="77777777" w:rsidR="00EA4835" w:rsidRPr="00AD5F49" w:rsidRDefault="00EA4835" w:rsidP="00216A62">
      <w:pPr>
        <w:pStyle w:val="P0-Paragraph"/>
      </w:pPr>
    </w:p>
    <w:p w14:paraId="7210DEBE" w14:textId="77777777" w:rsidR="00EA4835" w:rsidRPr="00AD5F49" w:rsidRDefault="00000000" w:rsidP="00216A62">
      <w:pPr>
        <w:pStyle w:val="HS-Heading2"/>
      </w:pPr>
      <w:proofErr w:type="gramStart"/>
      <w:r w:rsidRPr="00AD5F49">
        <w:t>6.3  DORA</w:t>
      </w:r>
      <w:proofErr w:type="gramEnd"/>
      <w:r w:rsidRPr="00AD5F49">
        <w:t xml:space="preserve"> (financial sector)</w:t>
      </w:r>
    </w:p>
    <w:p w14:paraId="0C3E0CF2" w14:textId="77777777" w:rsidR="00EA4835" w:rsidRPr="00AD5F49" w:rsidRDefault="00000000" w:rsidP="00216A62">
      <w:pPr>
        <w:pStyle w:val="P0-Paragraph"/>
      </w:pPr>
      <w:r w:rsidRPr="00AD5F49">
        <w:t>Section H.2a applies to financial sector operators only. Mark N/A in all H.2a fields if not applicable. If applicable:</w:t>
      </w:r>
    </w:p>
    <w:p w14:paraId="4383655F" w14:textId="77777777" w:rsidR="00EA4835" w:rsidRPr="00AD5F49" w:rsidRDefault="00000000" w:rsidP="00216A62">
      <w:pPr>
        <w:pStyle w:val="L1-Bullet"/>
      </w:pPr>
      <w:r w:rsidRPr="00AD5F49">
        <w:rPr>
          <w:rFonts w:eastAsia="Calibri"/>
        </w:rPr>
        <w:t>Art. 6 (ICT risk framework): reference ASCR-01 risk management system as the ICT risk framework evidence.</w:t>
      </w:r>
    </w:p>
    <w:p w14:paraId="22D4D5F7" w14:textId="77777777" w:rsidR="00EA4835" w:rsidRPr="00AD5F49" w:rsidRDefault="00000000" w:rsidP="00216A62">
      <w:pPr>
        <w:pStyle w:val="L1-Bullet"/>
      </w:pPr>
      <w:r w:rsidRPr="00AD5F49">
        <w:t>Art. 19 (major ICT-related incident reporting): cross-reference the applicable ASCR-08 incident record and the DORA-specific reporting evidence. Record the initial-notification, intermediate-report, and final-report evidence and timeliness separately using the applicable DORA reporting rules. Do not use NIS2 SLO-R4 as the operative DORA Article 19 threshold; SLO-R4 may be cross-referenced only as supplemental evidence where the same incident is also within NIS2 scope.</w:t>
      </w:r>
    </w:p>
    <w:p w14:paraId="5A212026" w14:textId="77777777" w:rsidR="00EA4835" w:rsidRPr="00AD5F49" w:rsidRDefault="00000000" w:rsidP="00216A62">
      <w:pPr>
        <w:pStyle w:val="L1-Bullet"/>
      </w:pPr>
      <w:r w:rsidRPr="00AD5F49">
        <w:t xml:space="preserve">Arts. 24–25 (digital operational resilience testing </w:t>
      </w:r>
      <w:proofErr w:type="spellStart"/>
      <w:r w:rsidRPr="00AD5F49">
        <w:t>programme</w:t>
      </w:r>
      <w:proofErr w:type="spellEnd"/>
      <w:r w:rsidRPr="00AD5F49">
        <w:t xml:space="preserve"> and testing of ICT tools and systems): reference the applicable ASCR-09 exercise and test evidence from Section F.</w:t>
      </w:r>
    </w:p>
    <w:p w14:paraId="43DB2D38" w14:textId="77777777" w:rsidR="00EA4835" w:rsidRPr="00AD5F49" w:rsidRDefault="00000000" w:rsidP="00216A62">
      <w:pPr>
        <w:pStyle w:val="P0-Paragraph"/>
      </w:pPr>
      <w:r w:rsidRPr="00AD5F49">
        <w:t>Art. 26 (threat-led penetration testing): where the financial entity is identified as in scope, record the applicable TLPT evidence and status separately; do not treat ordinary Section F exercise completion as a substitute for the statutory TLPT requirement.</w:t>
      </w:r>
    </w:p>
    <w:p w14:paraId="4A6287E6" w14:textId="77777777" w:rsidR="00EA4835" w:rsidRPr="00AD5F49" w:rsidRDefault="00000000" w:rsidP="00216A62">
      <w:pPr>
        <w:pStyle w:val="HS-Heading3"/>
      </w:pPr>
      <w:proofErr w:type="gramStart"/>
      <w:r w:rsidRPr="00AD5F49">
        <w:t>6.4  RPLD</w:t>
      </w:r>
      <w:proofErr w:type="gramEnd"/>
      <w:r w:rsidRPr="00AD5F49">
        <w:t xml:space="preserve"> liability posture (H.3)</w:t>
      </w:r>
    </w:p>
    <w:p w14:paraId="41045221" w14:textId="77777777" w:rsidR="00EA4835" w:rsidRPr="00AD5F49" w:rsidRDefault="00000000" w:rsidP="00216A62">
      <w:pPr>
        <w:pStyle w:val="P0-Paragraph"/>
      </w:pPr>
      <w:r w:rsidRPr="00AD5F49">
        <w:t>H.3 contains three independent evidence-readiness and governance indicators; it does not produce a single RPLD compliance or liability score.</w:t>
      </w:r>
    </w:p>
    <w:p w14:paraId="5DCF9214" w14:textId="77777777" w:rsidR="00EA4835" w:rsidRPr="00AD5F49" w:rsidRDefault="00000000" w:rsidP="00216A62">
      <w:pPr>
        <w:pStyle w:val="L1-Numbered"/>
        <w:numPr>
          <w:ilvl w:val="0"/>
          <w:numId w:val="21"/>
        </w:numPr>
      </w:pPr>
      <w:r w:rsidRPr="00AD5F49">
        <w:t>Evidence-disclosure / non-disclosure-presumption readiness: Legal / Compliance determines the applicable scope and records the status from the relevant decision-lineage and supporting evidence.</w:t>
      </w:r>
    </w:p>
    <w:p w14:paraId="7F23FE26" w14:textId="77777777" w:rsidR="00EA4835" w:rsidRPr="00AD5F49" w:rsidRDefault="00000000" w:rsidP="00216A62">
      <w:pPr>
        <w:pStyle w:val="L1-Numbered"/>
        <w:numPr>
          <w:ilvl w:val="0"/>
          <w:numId w:val="21"/>
        </w:numPr>
      </w:pPr>
      <w:r w:rsidRPr="00AD5F49">
        <w:t xml:space="preserve">Physical Consequence Attribution capability: use the governed SLO-H1 result from Section C.2 together with the required in-window ASCR-09 forensic-reconstruction exercise evidence. Record Yes only when both are satisfied; Partial when SLO-H1 chain-verification availability meets its governed threshold but required exercise evidence is incomplete; and </w:t>
      </w:r>
      <w:proofErr w:type="gramStart"/>
      <w:r w:rsidRPr="00AD5F49">
        <w:t>No</w:t>
      </w:r>
      <w:proofErr w:type="gramEnd"/>
      <w:r w:rsidRPr="00AD5F49">
        <w:t xml:space="preserve"> when a material lineage or reconstruction gap exists.</w:t>
      </w:r>
    </w:p>
    <w:p w14:paraId="22DA05CC" w14:textId="77777777" w:rsidR="00EA4835" w:rsidRPr="00AD5F49" w:rsidRDefault="00000000" w:rsidP="00216A62">
      <w:pPr>
        <w:pStyle w:val="L1-Numbered"/>
        <w:numPr>
          <w:ilvl w:val="0"/>
          <w:numId w:val="21"/>
        </w:numPr>
      </w:pPr>
      <w:r w:rsidRPr="00AD5F49">
        <w:t>ASCR-11 Section 11.7 liability-allocation clauses: report whether the applicable clauses are current and executed for the relevant contractual relationship. Record any synchronization or execution gap explicitly.</w:t>
      </w:r>
    </w:p>
    <w:p w14:paraId="211D1EAE" w14:textId="77777777" w:rsidR="00EA4835" w:rsidRPr="00AD5F49" w:rsidRDefault="00000000" w:rsidP="00216A62">
      <w:pPr>
        <w:pStyle w:val="P0-Paragraph"/>
      </w:pPr>
      <w:r w:rsidRPr="00AD5F49">
        <w:lastRenderedPageBreak/>
        <w:t>Legal / Compliance determines applicability and legal effect. These indicators support governance and evidence-readiness review and do not independently determine RPLD compliance, liability, or contractual enforceability.</w:t>
      </w:r>
    </w:p>
    <w:p w14:paraId="752EBC32" w14:textId="77777777" w:rsidR="00EA4835" w:rsidRPr="00AD5F49" w:rsidRDefault="00000000" w:rsidP="00216A62">
      <w:pPr>
        <w:pStyle w:val="HS-Heading2"/>
      </w:pPr>
      <w:r w:rsidRPr="00AD5F49">
        <w:t xml:space="preserve">7. </w:t>
      </w:r>
      <w:proofErr w:type="gramStart"/>
      <w:r w:rsidRPr="00AD5F49">
        <w:t>First-use</w:t>
      </w:r>
      <w:proofErr w:type="gramEnd"/>
      <w:r w:rsidRPr="00AD5F49">
        <w:t xml:space="preserve"> and pre-submission checklists</w:t>
      </w:r>
    </w:p>
    <w:p w14:paraId="1CF6B2D7" w14:textId="77777777" w:rsidR="00EA4835" w:rsidRPr="00AD5F49" w:rsidRDefault="00000000" w:rsidP="00216A62">
      <w:pPr>
        <w:pStyle w:val="HS-Heading3"/>
      </w:pPr>
      <w:proofErr w:type="gramStart"/>
      <w:r w:rsidRPr="00AD5F49">
        <w:t>7.1  First</w:t>
      </w:r>
      <w:proofErr w:type="gramEnd"/>
      <w:r w:rsidRPr="00AD5F49">
        <w:t>-use setup (complete before q1 scorecard)</w:t>
      </w:r>
    </w:p>
    <w:p w14:paraId="3F37B281" w14:textId="77777777" w:rsidR="00EA4835" w:rsidRPr="00AD5F49" w:rsidRDefault="00000000" w:rsidP="00216A62">
      <w:pPr>
        <w:pStyle w:val="P0-Paragraph"/>
      </w:pPr>
      <w:r w:rsidRPr="00AD5F49">
        <w:t>Before completing the first ASCR-12 for your organization, establish the following:</w:t>
      </w:r>
    </w:p>
    <w:tbl>
      <w:tblPr>
        <w:tblStyle w:val="affa"/>
        <w:tblW w:w="100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6645"/>
        <w:gridCol w:w="1185"/>
      </w:tblGrid>
      <w:tr w:rsidR="00EA4835" w:rsidRPr="00AD5F49" w14:paraId="0D891CC7" w14:textId="77777777" w:rsidTr="00216A62">
        <w:trPr>
          <w:cantSplit/>
          <w:tblHeader/>
        </w:trPr>
        <w:tc>
          <w:tcPr>
            <w:tcW w:w="225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7D4E1" w14:textId="77777777" w:rsidR="00EA4835" w:rsidRPr="00AD5F49" w:rsidRDefault="00000000" w:rsidP="00216A62">
            <w:pPr>
              <w:pStyle w:val="T0-Table"/>
            </w:pPr>
            <w:r w:rsidRPr="00AD5F49">
              <w:t>Item</w:t>
            </w:r>
          </w:p>
        </w:tc>
        <w:tc>
          <w:tcPr>
            <w:tcW w:w="6645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3EA9A8" w14:textId="77777777" w:rsidR="00EA4835" w:rsidRPr="00AD5F49" w:rsidRDefault="00000000" w:rsidP="00216A62">
            <w:pPr>
              <w:pStyle w:val="T0-Table"/>
            </w:pPr>
            <w:r w:rsidRPr="00AD5F49">
              <w:t>Action Required</w:t>
            </w:r>
          </w:p>
        </w:tc>
        <w:tc>
          <w:tcPr>
            <w:tcW w:w="1185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FF7DC7" w14:textId="77777777" w:rsidR="00EA4835" w:rsidRPr="00AD5F49" w:rsidRDefault="00000000" w:rsidP="00216A62">
            <w:pPr>
              <w:pStyle w:val="T0-Table"/>
            </w:pPr>
            <w:r w:rsidRPr="00AD5F49">
              <w:t>Owner</w:t>
            </w:r>
          </w:p>
        </w:tc>
      </w:tr>
      <w:tr w:rsidR="00EA4835" w:rsidRPr="00AD5F49" w14:paraId="5E150D17" w14:textId="77777777" w:rsidTr="00216A62"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1BDD5" w14:textId="77777777" w:rsidR="00EA4835" w:rsidRPr="00AD5F49" w:rsidRDefault="00000000" w:rsidP="00216A62">
            <w:pPr>
              <w:pStyle w:val="T0-Table"/>
            </w:pPr>
            <w:r w:rsidRPr="00AD5F49">
              <w:t>ASCR-01 baseline</w:t>
            </w:r>
          </w:p>
        </w:tc>
        <w:tc>
          <w:tcPr>
            <w:tcW w:w="664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C6F6C" w14:textId="77777777" w:rsidR="00EA4835" w:rsidRPr="00AD5F49" w:rsidRDefault="00000000" w:rsidP="00216A62">
            <w:pPr>
              <w:pStyle w:val="T0-Table"/>
            </w:pPr>
            <w:r w:rsidRPr="00AD5F49">
              <w:t xml:space="preserve">Confirm the initial approved ASCR-01 assessment is recorded for all six cluster rows, with N/A preserved where an entire cluster is not applicable. Record the Total ASCR-01 </w:t>
            </w:r>
            <w:proofErr w:type="gramStart"/>
            <w:r w:rsidRPr="00AD5F49">
              <w:t>Score</w:t>
            </w:r>
            <w:proofErr w:type="gramEnd"/>
            <w:r w:rsidRPr="00AD5F49">
              <w:t>, ASCR Prioritization Tier, assessment date, ASCR-01 version, and number of applicable clusters. Required for Section G trend comparison.</w:t>
            </w:r>
          </w:p>
        </w:tc>
        <w:tc>
          <w:tcPr>
            <w:tcW w:w="118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B29F3" w14:textId="77777777" w:rsidR="00EA4835" w:rsidRPr="00AD5F49" w:rsidRDefault="00000000" w:rsidP="00216A62">
            <w:pPr>
              <w:pStyle w:val="T0-Table"/>
            </w:pPr>
            <w:r w:rsidRPr="00AD5F49">
              <w:t>ASOC Lead</w:t>
            </w:r>
          </w:p>
        </w:tc>
      </w:tr>
      <w:tr w:rsidR="00EA4835" w:rsidRPr="00AD5F49" w14:paraId="46EB4E56" w14:textId="77777777" w:rsidTr="00216A62">
        <w:trPr>
          <w:cantSplit/>
        </w:trPr>
        <w:tc>
          <w:tcPr>
            <w:tcW w:w="225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425F0" w14:textId="77777777" w:rsidR="00EA4835" w:rsidRPr="00AD5F49" w:rsidRDefault="00000000" w:rsidP="00216A62">
            <w:pPr>
              <w:pStyle w:val="T0-Table"/>
            </w:pPr>
            <w:r w:rsidRPr="00AD5F49">
              <w:t>Upstream artifact availability</w:t>
            </w:r>
          </w:p>
        </w:tc>
        <w:tc>
          <w:tcPr>
            <w:tcW w:w="664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504851" w14:textId="77777777" w:rsidR="00EA4835" w:rsidRPr="00AD5F49" w:rsidRDefault="00000000" w:rsidP="00216A62">
            <w:pPr>
              <w:pStyle w:val="T0-Table"/>
            </w:pPr>
            <w:r w:rsidRPr="00AD5F49">
              <w:t>Confirm ASCR-03, -04, -05, -06, -07, -08, -09, -10, -11, -13, -14, -15, -16, -17 are deployed, available as governed reference dependencies, or replaced by validated organizational equivalents as permitted by ASCR-12. Document any gaps in Section E.</w:t>
            </w:r>
          </w:p>
        </w:tc>
        <w:tc>
          <w:tcPr>
            <w:tcW w:w="118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34D5A" w14:textId="77777777" w:rsidR="00EA4835" w:rsidRPr="00AD5F49" w:rsidRDefault="00000000" w:rsidP="00216A62">
            <w:pPr>
              <w:pStyle w:val="T0-Table"/>
            </w:pPr>
            <w:r w:rsidRPr="00AD5F49">
              <w:t>ASOC Lead</w:t>
            </w:r>
          </w:p>
        </w:tc>
      </w:tr>
      <w:tr w:rsidR="00EA4835" w:rsidRPr="00AD5F49" w14:paraId="5702E6A4" w14:textId="77777777" w:rsidTr="00216A62"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90E83" w14:textId="77777777" w:rsidR="00EA4835" w:rsidRPr="00AD5F49" w:rsidRDefault="00000000" w:rsidP="00216A62">
            <w:pPr>
              <w:pStyle w:val="T0-Table"/>
            </w:pPr>
            <w:r w:rsidRPr="00AD5F49">
              <w:t>GRC substitute validation</w:t>
            </w:r>
          </w:p>
        </w:tc>
        <w:tc>
          <w:tcPr>
            <w:tcW w:w="664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E8630" w14:textId="77777777" w:rsidR="00EA4835" w:rsidRPr="00AD5F49" w:rsidRDefault="00000000" w:rsidP="00216A62">
            <w:pPr>
              <w:pStyle w:val="T0-Table"/>
            </w:pPr>
            <w:r w:rsidRPr="00AD5F49">
              <w:t>For each substituted system, confirm all required fields are present and preserved. Record substitutions in Section E.</w:t>
            </w:r>
          </w:p>
        </w:tc>
        <w:tc>
          <w:tcPr>
            <w:tcW w:w="118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ECE08" w14:textId="77777777" w:rsidR="00EA4835" w:rsidRPr="00AD5F49" w:rsidRDefault="00000000" w:rsidP="00216A62">
            <w:pPr>
              <w:pStyle w:val="T0-Table"/>
            </w:pPr>
            <w:r w:rsidRPr="00AD5F49">
              <w:t>ASOC Lead + CISO</w:t>
            </w:r>
          </w:p>
        </w:tc>
      </w:tr>
      <w:tr w:rsidR="00EA4835" w:rsidRPr="00AD5F49" w14:paraId="4AF604D2" w14:textId="77777777" w:rsidTr="00216A62">
        <w:trPr>
          <w:cantSplit/>
        </w:trPr>
        <w:tc>
          <w:tcPr>
            <w:tcW w:w="225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70456" w14:textId="77777777" w:rsidR="00EA4835" w:rsidRPr="00AD5F49" w:rsidRDefault="00000000" w:rsidP="00216A62">
            <w:pPr>
              <w:pStyle w:val="T0-Table"/>
            </w:pPr>
            <w:r w:rsidRPr="00AD5F49">
              <w:t>SLO thresholds in ASCR-11 Schedule A</w:t>
            </w:r>
          </w:p>
        </w:tc>
        <w:tc>
          <w:tcPr>
            <w:tcW w:w="664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4E1A28" w14:textId="77777777" w:rsidR="00EA4835" w:rsidRPr="00AD5F49" w:rsidRDefault="00000000" w:rsidP="00216A62">
            <w:pPr>
              <w:pStyle w:val="T0-Table"/>
            </w:pPr>
            <w:r w:rsidRPr="00AD5F49">
              <w:t>Confirm SOFT_ALERT and HARD_BLOCK thresholds are set in ASCR-11. Required for C.1 gradient elevation counts and Annex V-1 histogram reference lines.</w:t>
            </w:r>
          </w:p>
        </w:tc>
        <w:tc>
          <w:tcPr>
            <w:tcW w:w="118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E2BE0" w14:textId="77777777" w:rsidR="00EA4835" w:rsidRPr="00AD5F49" w:rsidRDefault="00000000" w:rsidP="00216A62">
            <w:pPr>
              <w:pStyle w:val="T0-Table"/>
            </w:pPr>
            <w:r w:rsidRPr="00AD5F49">
              <w:t>ASOC Lead</w:t>
            </w:r>
          </w:p>
        </w:tc>
      </w:tr>
      <w:tr w:rsidR="00EA4835" w:rsidRPr="00AD5F49" w14:paraId="7E723407" w14:textId="77777777" w:rsidTr="00216A62"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3BAF6" w14:textId="77777777" w:rsidR="00EA4835" w:rsidRPr="00AD5F49" w:rsidRDefault="00000000" w:rsidP="00216A62">
            <w:pPr>
              <w:pStyle w:val="T0-Table"/>
            </w:pPr>
            <w:r w:rsidRPr="00AD5F49">
              <w:t>Organization-defined OT safety class bounds (SLO-R1a)</w:t>
            </w:r>
          </w:p>
        </w:tc>
        <w:tc>
          <w:tcPr>
            <w:tcW w:w="664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864EF" w14:textId="77777777" w:rsidR="00EA4835" w:rsidRPr="00AD5F49" w:rsidRDefault="00000000" w:rsidP="00216A62">
            <w:pPr>
              <w:pStyle w:val="T0-Table"/>
            </w:pPr>
            <w:r w:rsidRPr="00AD5F49">
              <w:t>Document the deployment-specific actuator-layer and matched cross-zone latency bounds used by C.3, together with the source engineering/safety basis and the Metric Dictionary reference.</w:t>
            </w:r>
          </w:p>
        </w:tc>
        <w:tc>
          <w:tcPr>
            <w:tcW w:w="118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D4D814" w14:textId="77777777" w:rsidR="00EA4835" w:rsidRPr="00AD5F49" w:rsidRDefault="00000000" w:rsidP="00216A62">
            <w:pPr>
              <w:pStyle w:val="T0-Table"/>
            </w:pPr>
            <w:r w:rsidRPr="00AD5F49">
              <w:t>OT Engineering Lead</w:t>
            </w:r>
          </w:p>
        </w:tc>
      </w:tr>
      <w:tr w:rsidR="00EA4835" w:rsidRPr="00AD5F49" w14:paraId="63F3AB4C" w14:textId="77777777" w:rsidTr="00216A62">
        <w:trPr>
          <w:cantSplit/>
        </w:trPr>
        <w:tc>
          <w:tcPr>
            <w:tcW w:w="225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42FCA8" w14:textId="77777777" w:rsidR="00EA4835" w:rsidRPr="00AD5F49" w:rsidRDefault="00000000" w:rsidP="00216A62">
            <w:pPr>
              <w:pStyle w:val="T0-Table"/>
            </w:pPr>
            <w:r w:rsidRPr="00AD5F49">
              <w:t>Legal / Compliance ownership of Section H</w:t>
            </w:r>
          </w:p>
        </w:tc>
        <w:tc>
          <w:tcPr>
            <w:tcW w:w="664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3ACA5" w14:textId="77777777" w:rsidR="00EA4835" w:rsidRPr="00AD5F49" w:rsidRDefault="00000000" w:rsidP="00216A62">
            <w:pPr>
              <w:pStyle w:val="T0-Table"/>
            </w:pPr>
            <w:r w:rsidRPr="00AD5F49">
              <w:t>Assign and confirm Legal / Compliance team member responsible for H.1 through H.4 status fields.</w:t>
            </w:r>
          </w:p>
        </w:tc>
        <w:tc>
          <w:tcPr>
            <w:tcW w:w="118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31A45" w14:textId="77777777" w:rsidR="00EA4835" w:rsidRPr="00AD5F49" w:rsidRDefault="00000000" w:rsidP="00216A62">
            <w:pPr>
              <w:pStyle w:val="T0-Table"/>
            </w:pPr>
            <w:r w:rsidRPr="00AD5F49">
              <w:t>CISO</w:t>
            </w:r>
          </w:p>
        </w:tc>
      </w:tr>
      <w:tr w:rsidR="00EA4835" w:rsidRPr="00AD5F49" w14:paraId="3825DF6F" w14:textId="77777777" w:rsidTr="00216A62">
        <w:trPr>
          <w:cantSplit/>
        </w:trPr>
        <w:tc>
          <w:tcPr>
            <w:tcW w:w="2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F6179" w14:textId="77777777" w:rsidR="00EA4835" w:rsidRPr="00AD5F49" w:rsidRDefault="00000000" w:rsidP="00216A62">
            <w:pPr>
              <w:pStyle w:val="T0-Table"/>
            </w:pPr>
            <w:r w:rsidRPr="00AD5F49">
              <w:t>Annex E-1 SLO-to-pillar assignments</w:t>
            </w:r>
          </w:p>
        </w:tc>
        <w:tc>
          <w:tcPr>
            <w:tcW w:w="664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B10CA" w14:textId="77777777" w:rsidR="00EA4835" w:rsidRPr="00AD5F49" w:rsidRDefault="00000000" w:rsidP="00216A62">
            <w:pPr>
              <w:pStyle w:val="T0-Table"/>
            </w:pPr>
            <w:r w:rsidRPr="00AD5F49">
              <w:t>Confirm the published SLO-to-pillar mapping is implemented consistently: Pillar 2 uses H1/H2; Pillar 3 uses D1-D4, R1-R4, F1-F2, H3; Pillar 4 uses I1-I6. SLO-H4 is reported but not scored in Version 1.0. Supporting identity/platform telemetry does not alter the Pillar 4 denominator.</w:t>
            </w:r>
          </w:p>
        </w:tc>
        <w:tc>
          <w:tcPr>
            <w:tcW w:w="118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FC0D8" w14:textId="77777777" w:rsidR="00EA4835" w:rsidRPr="00AD5F49" w:rsidRDefault="00000000" w:rsidP="00216A62">
            <w:pPr>
              <w:pStyle w:val="T0-Table"/>
            </w:pPr>
            <w:r w:rsidRPr="00AD5F49">
              <w:t>ASOC Lead + CISO</w:t>
            </w:r>
          </w:p>
        </w:tc>
      </w:tr>
      <w:tr w:rsidR="00EA4835" w:rsidRPr="00AD5F49" w14:paraId="37A070B6" w14:textId="77777777" w:rsidTr="00216A62">
        <w:trPr>
          <w:cantSplit/>
        </w:trPr>
        <w:tc>
          <w:tcPr>
            <w:tcW w:w="225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976C6" w14:textId="77777777" w:rsidR="00EA4835" w:rsidRPr="00AD5F49" w:rsidRDefault="00000000" w:rsidP="00216A62">
            <w:pPr>
              <w:pStyle w:val="T0-Table"/>
            </w:pPr>
            <w:r w:rsidRPr="00AD5F49">
              <w:t>Board pack visualization tooling</w:t>
            </w:r>
          </w:p>
        </w:tc>
        <w:tc>
          <w:tcPr>
            <w:tcW w:w="664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E4E6A" w14:textId="77777777" w:rsidR="00EA4835" w:rsidRPr="00AD5F49" w:rsidRDefault="00000000" w:rsidP="00216A62">
            <w:pPr>
              <w:pStyle w:val="T0-Table"/>
            </w:pPr>
            <w:r w:rsidRPr="00AD5F49">
              <w:t>Determine how Annex V-1 visualizations will be produced (Excel charts, Power BI, Tableau, or manual). Document tooling gaps in Section E.</w:t>
            </w:r>
          </w:p>
        </w:tc>
        <w:tc>
          <w:tcPr>
            <w:tcW w:w="118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231319" w14:textId="77777777" w:rsidR="00EA4835" w:rsidRPr="00AD5F49" w:rsidRDefault="00000000" w:rsidP="00216A62">
            <w:pPr>
              <w:pStyle w:val="T0-Table"/>
            </w:pPr>
            <w:r w:rsidRPr="00AD5F49">
              <w:t>ASOC Lead</w:t>
            </w:r>
          </w:p>
        </w:tc>
      </w:tr>
      <w:tr w:rsidR="00EA4835" w:rsidRPr="00AD5F49" w14:paraId="6FC9EA76" w14:textId="77777777" w:rsidTr="00216A62">
        <w:trPr>
          <w:cantSplit/>
        </w:trPr>
        <w:tc>
          <w:tcPr>
            <w:tcW w:w="2250" w:type="dxa"/>
            <w:shd w:val="clear" w:color="auto" w:fill="FFFFFF"/>
          </w:tcPr>
          <w:p w14:paraId="2110CCA9" w14:textId="77777777" w:rsidR="00EA4835" w:rsidRPr="00AD5F49" w:rsidRDefault="00000000" w:rsidP="00216A62">
            <w:pPr>
              <w:pStyle w:val="T0-Table"/>
            </w:pPr>
            <w:r w:rsidRPr="00AD5F49">
              <w:t>ASCR-13 assessed-role competency / staffing</w:t>
            </w:r>
          </w:p>
        </w:tc>
        <w:tc>
          <w:tcPr>
            <w:tcW w:w="6645" w:type="dxa"/>
            <w:shd w:val="clear" w:color="auto" w:fill="FFFFFF"/>
          </w:tcPr>
          <w:p w14:paraId="1C88415E" w14:textId="77777777" w:rsidR="00EA4835" w:rsidRPr="00AD5F49" w:rsidRDefault="00000000" w:rsidP="00216A62">
            <w:pPr>
              <w:pStyle w:val="T0-Table"/>
            </w:pPr>
            <w:r w:rsidRPr="00AD5F49">
              <w:t xml:space="preserve">Verify that E.4 can receive the count and </w:t>
            </w:r>
            <w:proofErr w:type="gramStart"/>
            <w:r w:rsidRPr="00AD5F49">
              <w:t>affected-role</w:t>
            </w:r>
            <w:proofErr w:type="gramEnd"/>
            <w:r w:rsidRPr="00AD5F49">
              <w:t xml:space="preserve"> identity for Staffed with Gap, Partially Staffed, Unstaffed, and overdue competency-development plans across all current ASCR-13 assessed roles, together with the applicable Affected Artifacts and Blocked Artifacts values from the current ASCR-13 assessment. No numeric pillar-score penalty is inferred from this indicator unless a future controlled ASCR-12 revision explicitly establishes one.</w:t>
            </w:r>
          </w:p>
        </w:tc>
        <w:tc>
          <w:tcPr>
            <w:tcW w:w="1185" w:type="dxa"/>
            <w:shd w:val="clear" w:color="auto" w:fill="FFFFFF"/>
          </w:tcPr>
          <w:p w14:paraId="3240820D" w14:textId="77777777" w:rsidR="00EA4835" w:rsidRPr="00AD5F49" w:rsidRDefault="00000000" w:rsidP="00216A62">
            <w:pPr>
              <w:pStyle w:val="T0-Table"/>
            </w:pPr>
            <w:r w:rsidRPr="00AD5F49">
              <w:t>Program Manager + CISO</w:t>
            </w:r>
          </w:p>
        </w:tc>
      </w:tr>
      <w:tr w:rsidR="00EA4835" w:rsidRPr="00AD5F49" w14:paraId="7F9288ED" w14:textId="77777777" w:rsidTr="00216A62">
        <w:trPr>
          <w:cantSplit/>
        </w:trPr>
        <w:tc>
          <w:tcPr>
            <w:tcW w:w="2250" w:type="dxa"/>
            <w:shd w:val="clear" w:color="auto" w:fill="D9E2F3"/>
          </w:tcPr>
          <w:p w14:paraId="3034A47C" w14:textId="77777777" w:rsidR="00EA4835" w:rsidRPr="00AD5F49" w:rsidRDefault="00000000" w:rsidP="00216A62">
            <w:pPr>
              <w:pStyle w:val="T0-Table"/>
            </w:pPr>
            <w:r w:rsidRPr="00AD5F49">
              <w:lastRenderedPageBreak/>
              <w:t>Metric Dictionary</w:t>
            </w:r>
          </w:p>
        </w:tc>
        <w:tc>
          <w:tcPr>
            <w:tcW w:w="6645" w:type="dxa"/>
            <w:shd w:val="clear" w:color="auto" w:fill="D9E2F3"/>
          </w:tcPr>
          <w:p w14:paraId="6E96E703" w14:textId="77777777" w:rsidR="00EA4835" w:rsidRPr="00AD5F49" w:rsidRDefault="00000000" w:rsidP="00216A62">
            <w:pPr>
              <w:pStyle w:val="T0-Table"/>
            </w:pPr>
            <w:r w:rsidRPr="00AD5F49">
              <w:t>Complete source system, owner, population/window, percentile where applicable, numerator/denominator, threshold basis, and status rule for every quantitative metric before the first reporting cycle.</w:t>
            </w:r>
          </w:p>
        </w:tc>
        <w:tc>
          <w:tcPr>
            <w:tcW w:w="1185" w:type="dxa"/>
            <w:shd w:val="clear" w:color="auto" w:fill="D9E2F3"/>
          </w:tcPr>
          <w:p w14:paraId="2E29403F" w14:textId="77777777" w:rsidR="00EA4835" w:rsidRPr="00AD5F49" w:rsidRDefault="00000000" w:rsidP="00216A62">
            <w:pPr>
              <w:pStyle w:val="T0-Table"/>
            </w:pPr>
            <w:r w:rsidRPr="00AD5F49">
              <w:t>ASOC Lead + metric owner</w:t>
            </w:r>
          </w:p>
        </w:tc>
      </w:tr>
      <w:tr w:rsidR="00EA4835" w:rsidRPr="00AD5F49" w14:paraId="1E8109A1" w14:textId="77777777" w:rsidTr="00216A62">
        <w:trPr>
          <w:cantSplit/>
        </w:trPr>
        <w:tc>
          <w:tcPr>
            <w:tcW w:w="2250" w:type="dxa"/>
            <w:shd w:val="clear" w:color="auto" w:fill="FFFFFF"/>
          </w:tcPr>
          <w:p w14:paraId="339BD659" w14:textId="77777777" w:rsidR="00EA4835" w:rsidRPr="00AD5F49" w:rsidRDefault="00000000" w:rsidP="00216A62">
            <w:pPr>
              <w:pStyle w:val="T0-Table"/>
            </w:pPr>
            <w:r w:rsidRPr="00AD5F49">
              <w:t>ASCR-05 architecture accuracy</w:t>
            </w:r>
          </w:p>
        </w:tc>
        <w:tc>
          <w:tcPr>
            <w:tcW w:w="6645" w:type="dxa"/>
            <w:shd w:val="clear" w:color="auto" w:fill="FFFFFF"/>
          </w:tcPr>
          <w:p w14:paraId="7C7ADDAF" w14:textId="77777777" w:rsidR="00EA4835" w:rsidRPr="00AD5F49" w:rsidRDefault="00000000" w:rsidP="00216A62">
            <w:pPr>
              <w:pStyle w:val="T0-Table"/>
            </w:pPr>
            <w:r w:rsidRPr="00AD5F49">
              <w:t>Confirm the current conduit topology and system inventory can be reconciled under ASCR-05 Section 6.2 and that E.5 can be completed before final authorization.</w:t>
            </w:r>
          </w:p>
        </w:tc>
        <w:tc>
          <w:tcPr>
            <w:tcW w:w="1185" w:type="dxa"/>
            <w:shd w:val="clear" w:color="auto" w:fill="FFFFFF"/>
          </w:tcPr>
          <w:p w14:paraId="10977C1C" w14:textId="77777777" w:rsidR="00EA4835" w:rsidRPr="00AD5F49" w:rsidRDefault="00000000" w:rsidP="00216A62">
            <w:pPr>
              <w:pStyle w:val="T0-Table"/>
            </w:pPr>
            <w:r w:rsidRPr="00AD5F49">
              <w:t>OT Engineering Lead + Security/IR Lead</w:t>
            </w:r>
          </w:p>
        </w:tc>
      </w:tr>
      <w:tr w:rsidR="00EA4835" w:rsidRPr="00AD5F49" w14:paraId="49A0974D" w14:textId="77777777" w:rsidTr="00216A62">
        <w:trPr>
          <w:cantSplit/>
        </w:trPr>
        <w:tc>
          <w:tcPr>
            <w:tcW w:w="2250" w:type="dxa"/>
            <w:shd w:val="clear" w:color="auto" w:fill="D9E2F3"/>
          </w:tcPr>
          <w:p w14:paraId="575B1597" w14:textId="77777777" w:rsidR="00EA4835" w:rsidRPr="00AD5F49" w:rsidRDefault="00000000" w:rsidP="00216A62">
            <w:pPr>
              <w:pStyle w:val="T0-Table"/>
            </w:pPr>
            <w:r w:rsidRPr="00AD5F49">
              <w:t>ASCR-06 cascade timing profile</w:t>
            </w:r>
          </w:p>
        </w:tc>
        <w:tc>
          <w:tcPr>
            <w:tcW w:w="6645" w:type="dxa"/>
            <w:shd w:val="clear" w:color="auto" w:fill="D9E2F3"/>
          </w:tcPr>
          <w:p w14:paraId="5C583338" w14:textId="77777777" w:rsidR="00EA4835" w:rsidRPr="00AD5F49" w:rsidRDefault="00000000" w:rsidP="00216A62">
            <w:pPr>
              <w:pStyle w:val="T0-Table"/>
            </w:pPr>
            <w:r w:rsidRPr="00AD5F49">
              <w:t>Confirm the applicable ASCR-06 cascade propagation classes and limits, the evidence sources for D.2a, and the deployment-approved timing reference governed through ASCR-11. If the current executed ASCR-11 instrument does not yet carry a dedicated cascade-timing entry, record the interface gap in Section E.2 until synchronized.</w:t>
            </w:r>
          </w:p>
        </w:tc>
        <w:tc>
          <w:tcPr>
            <w:tcW w:w="1185" w:type="dxa"/>
            <w:shd w:val="clear" w:color="auto" w:fill="D9E2F3"/>
          </w:tcPr>
          <w:p w14:paraId="3EB1E4BA" w14:textId="77777777" w:rsidR="00EA4835" w:rsidRPr="00AD5F49" w:rsidRDefault="00000000" w:rsidP="00216A62">
            <w:pPr>
              <w:pStyle w:val="T0-Table"/>
            </w:pPr>
            <w:r w:rsidRPr="00AD5F49">
              <w:t>OT Engineering Lead + ASOC Lead</w:t>
            </w:r>
          </w:p>
        </w:tc>
      </w:tr>
      <w:tr w:rsidR="00EA4835" w:rsidRPr="00AD5F49" w14:paraId="79DC0D20" w14:textId="77777777" w:rsidTr="00216A62">
        <w:trPr>
          <w:cantSplit/>
        </w:trPr>
        <w:tc>
          <w:tcPr>
            <w:tcW w:w="2250" w:type="dxa"/>
            <w:shd w:val="clear" w:color="auto" w:fill="FFFFFF"/>
          </w:tcPr>
          <w:p w14:paraId="30D935BF" w14:textId="77777777" w:rsidR="00EA4835" w:rsidRPr="00AD5F49" w:rsidRDefault="00000000" w:rsidP="00216A62">
            <w:pPr>
              <w:pStyle w:val="T0-Table"/>
            </w:pPr>
            <w:r w:rsidRPr="00AD5F49">
              <w:t>ASCR-04 quarterly gateway review</w:t>
            </w:r>
          </w:p>
        </w:tc>
        <w:tc>
          <w:tcPr>
            <w:tcW w:w="6645" w:type="dxa"/>
            <w:shd w:val="clear" w:color="auto" w:fill="FFFFFF"/>
          </w:tcPr>
          <w:p w14:paraId="17EFB2E3" w14:textId="77777777" w:rsidR="00EA4835" w:rsidRPr="00AD5F49" w:rsidRDefault="00000000" w:rsidP="00216A62">
            <w:pPr>
              <w:pStyle w:val="T0-Table"/>
            </w:pPr>
            <w:r w:rsidRPr="00AD5F49">
              <w:t>Confirm the ASCR-04 quarterly review evidence is available for E.6, including scope, manifest, AI-BOM Dimension 4 reconciliation, approved attestation measurement/reference-profile currency, the current REQUEST-INTEGRITY-PROFILE, latest required TVA-MCP-01 request-integrity validation evidence, and applicable performance requirements.</w:t>
            </w:r>
          </w:p>
        </w:tc>
        <w:tc>
          <w:tcPr>
            <w:tcW w:w="1185" w:type="dxa"/>
            <w:shd w:val="clear" w:color="auto" w:fill="FFFFFF"/>
          </w:tcPr>
          <w:p w14:paraId="61AE616A" w14:textId="77777777" w:rsidR="00EA4835" w:rsidRPr="00AD5F49" w:rsidRDefault="00000000" w:rsidP="00216A62">
            <w:pPr>
              <w:pStyle w:val="T0-Table"/>
            </w:pPr>
            <w:r w:rsidRPr="00AD5F49">
              <w:t>ASOC Lead + Security/IR Lead</w:t>
            </w:r>
          </w:p>
        </w:tc>
      </w:tr>
      <w:tr w:rsidR="00EA4835" w:rsidRPr="00AD5F49" w14:paraId="00489C8F" w14:textId="77777777" w:rsidTr="00216A62">
        <w:tc>
          <w:tcPr>
            <w:tcW w:w="225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07ADE" w14:textId="77777777" w:rsidR="00EA4835" w:rsidRPr="00AD5F49" w:rsidRDefault="00000000" w:rsidP="00216A62">
            <w:pPr>
              <w:pStyle w:val="T0-Table"/>
            </w:pPr>
            <w:r w:rsidRPr="00AD5F49">
              <w:t>Operational SLO governance reference</w:t>
            </w:r>
          </w:p>
        </w:tc>
        <w:tc>
          <w:tcPr>
            <w:tcW w:w="664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63C09" w14:textId="77777777" w:rsidR="00EA4835" w:rsidRPr="00AD5F49" w:rsidRDefault="00000000" w:rsidP="00216A62">
            <w:pPr>
              <w:pStyle w:val="T0-Table"/>
            </w:pPr>
            <w:r w:rsidRPr="00AD5F49">
              <w:t>Confirm the approved deployment thresholds used for D1-D4, R1-R4, F1-F2, and H1-H4 and identify the ASCR-11 governance record/reference used for the quarter. Where the current ASCR-11 execution does not yet contain a dedicated operational-SLO schedule/profile, record the approved deployment reference and the synchronization gap in Section E.2.</w:t>
            </w:r>
          </w:p>
        </w:tc>
        <w:tc>
          <w:tcPr>
            <w:tcW w:w="118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A179D" w14:textId="77777777" w:rsidR="00EA4835" w:rsidRPr="00AD5F49" w:rsidRDefault="00000000" w:rsidP="00216A62">
            <w:pPr>
              <w:pStyle w:val="T0-Table"/>
            </w:pPr>
            <w:r w:rsidRPr="00AD5F49">
              <w:t>ASOC Lead + CISO</w:t>
            </w:r>
          </w:p>
        </w:tc>
      </w:tr>
      <w:tr w:rsidR="00EA4835" w:rsidRPr="00AD5F49" w14:paraId="3AD7EF60" w14:textId="77777777" w:rsidTr="00216A62">
        <w:tc>
          <w:tcPr>
            <w:tcW w:w="2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AC81A" w14:textId="77777777" w:rsidR="00EA4835" w:rsidRPr="00AD5F49" w:rsidRDefault="00000000" w:rsidP="00216A62">
            <w:pPr>
              <w:pStyle w:val="T0-Table"/>
            </w:pPr>
            <w:proofErr w:type="gramStart"/>
            <w:r w:rsidRPr="00AD5F49">
              <w:t>Lessons</w:t>
            </w:r>
            <w:proofErr w:type="gramEnd"/>
            <w:r w:rsidRPr="00AD5F49">
              <w:t>-learned integration source</w:t>
            </w:r>
          </w:p>
        </w:tc>
        <w:tc>
          <w:tcPr>
            <w:tcW w:w="664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B8974" w14:textId="77777777" w:rsidR="00EA4835" w:rsidRPr="00AD5F49" w:rsidRDefault="00000000" w:rsidP="00216A62">
            <w:pPr>
              <w:pStyle w:val="T0-Table"/>
            </w:pPr>
            <w:r w:rsidRPr="00AD5F49">
              <w:t>Confirm the organization-defined improvement window and the incident/near-miss action register used to calculate E.7. Identify the ASCR-08, ASCR-09, ASCR-15, and other affected-artifact update references required by the applicable findings.</w:t>
            </w:r>
          </w:p>
        </w:tc>
        <w:tc>
          <w:tcPr>
            <w:tcW w:w="118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6500AF" w14:textId="77777777" w:rsidR="00EA4835" w:rsidRPr="00AD5F49" w:rsidRDefault="00000000" w:rsidP="00216A62">
            <w:pPr>
              <w:pStyle w:val="T0-Table"/>
            </w:pPr>
            <w:r w:rsidRPr="00AD5F49">
              <w:t>Security/IR Lead + ASOC Lead</w:t>
            </w:r>
          </w:p>
        </w:tc>
      </w:tr>
      <w:tr w:rsidR="00EA4835" w:rsidRPr="00AD5F49" w14:paraId="389725D3" w14:textId="77777777" w:rsidTr="00216A62">
        <w:tc>
          <w:tcPr>
            <w:tcW w:w="225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6F964" w14:textId="77777777" w:rsidR="00EA4835" w:rsidRPr="00AD5F49" w:rsidRDefault="00000000" w:rsidP="00216A62">
            <w:pPr>
              <w:pStyle w:val="T0-Table"/>
            </w:pPr>
            <w:r w:rsidRPr="00AD5F49">
              <w:t>ASCR-10 change-control metrics</w:t>
            </w:r>
          </w:p>
        </w:tc>
        <w:tc>
          <w:tcPr>
            <w:tcW w:w="664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9A17B0" w14:textId="77777777" w:rsidR="00EA4835" w:rsidRPr="00AD5F49" w:rsidRDefault="00000000" w:rsidP="00216A62">
            <w:pPr>
              <w:pStyle w:val="T0-Table"/>
            </w:pPr>
            <w:r w:rsidRPr="00AD5F49">
              <w:t>Confirm source access for AI-BOM currency, Tier 1 and Tier 2 authorization-cycle medians, routine Tier 3 authorization-cycle median, emergency Tier 3 authorization-cycle median and maximum, approved EMERG-T3-TARGET, and shadow-mode stability rate before quarterly compilation.</w:t>
            </w:r>
          </w:p>
        </w:tc>
        <w:tc>
          <w:tcPr>
            <w:tcW w:w="118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8BBB25" w14:textId="77777777" w:rsidR="00EA4835" w:rsidRPr="00AD5F49" w:rsidRDefault="00000000" w:rsidP="00216A62">
            <w:pPr>
              <w:pStyle w:val="T0-Table"/>
            </w:pPr>
            <w:r w:rsidRPr="00AD5F49">
              <w:t>AI/ML Engineering Lead + ASOC Lead</w:t>
            </w:r>
          </w:p>
        </w:tc>
      </w:tr>
      <w:tr w:rsidR="00EA4835" w:rsidRPr="00AD5F49" w14:paraId="163F7CB4" w14:textId="77777777" w:rsidTr="00216A62">
        <w:tc>
          <w:tcPr>
            <w:tcW w:w="2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2F003" w14:textId="77777777" w:rsidR="00EA4835" w:rsidRPr="00AD5F49" w:rsidRDefault="00000000" w:rsidP="00216A62">
            <w:pPr>
              <w:pStyle w:val="T0-Table"/>
            </w:pPr>
            <w:r w:rsidRPr="00AD5F49">
              <w:t>ASCR-06 verification-health metrics</w:t>
            </w:r>
          </w:p>
        </w:tc>
        <w:tc>
          <w:tcPr>
            <w:tcW w:w="664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E6D32" w14:textId="77777777" w:rsidR="00EA4835" w:rsidRPr="00AD5F49" w:rsidRDefault="00000000" w:rsidP="00216A62">
            <w:pPr>
              <w:pStyle w:val="T0-Table"/>
            </w:pPr>
            <w:r w:rsidRPr="00AD5F49">
              <w:t>Confirm ASCR-06 OE03 Section 6.1 metrics are exported, available to the reporting workflow, and reconcilable to ASCR-07 evidence where applicable.</w:t>
            </w:r>
          </w:p>
        </w:tc>
        <w:tc>
          <w:tcPr>
            <w:tcW w:w="118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FE34C" w14:textId="77777777" w:rsidR="00EA4835" w:rsidRPr="00AD5F49" w:rsidRDefault="00000000" w:rsidP="00216A62">
            <w:pPr>
              <w:pStyle w:val="T0-Table"/>
            </w:pPr>
            <w:r w:rsidRPr="00AD5F49">
              <w:t>OT Engineering Lead + ASOC Lead</w:t>
            </w:r>
          </w:p>
        </w:tc>
      </w:tr>
      <w:tr w:rsidR="00EA4835" w:rsidRPr="00AD5F49" w14:paraId="385EFB0D" w14:textId="77777777" w:rsidTr="00216A62">
        <w:tc>
          <w:tcPr>
            <w:tcW w:w="225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FD1AC" w14:textId="77777777" w:rsidR="00EA4835" w:rsidRPr="00AD5F49" w:rsidRDefault="00000000" w:rsidP="00216A62">
            <w:pPr>
              <w:pStyle w:val="T0-Table"/>
            </w:pPr>
            <w:r w:rsidRPr="00AD5F49">
              <w:lastRenderedPageBreak/>
              <w:t>ASCR-17 qualification evidence reference</w:t>
            </w:r>
          </w:p>
        </w:tc>
        <w:tc>
          <w:tcPr>
            <w:tcW w:w="664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B6384" w14:textId="77777777" w:rsidR="00EA4835" w:rsidRPr="00AD5F49" w:rsidRDefault="00000000" w:rsidP="00216A62">
            <w:pPr>
              <w:pStyle w:val="T0-Table"/>
            </w:pPr>
            <w:r w:rsidRPr="00AD5F49">
              <w:t>Confirm I.1 can record the current signed ASCR-17 vendor qualification record or qualification-evidence reference. Where applicable ASCR-11 contractual vendor-governance obligations require linkage to that evidence, record the applicable executed ASCR-11 contractual reference. If the required linkage is missing, stale, or not yet synchronized, retain the ASCR-17 evidence reference and log the synchronization gap in E.2.</w:t>
            </w:r>
          </w:p>
        </w:tc>
        <w:tc>
          <w:tcPr>
            <w:tcW w:w="1185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582FE" w14:textId="77777777" w:rsidR="00EA4835" w:rsidRPr="00AD5F49" w:rsidRDefault="00000000" w:rsidP="00216A62">
            <w:pPr>
              <w:pStyle w:val="T0-Table"/>
            </w:pPr>
            <w:r w:rsidRPr="00AD5F49">
              <w:t>Program Manager + CISO</w:t>
            </w:r>
          </w:p>
        </w:tc>
      </w:tr>
      <w:tr w:rsidR="00EA4835" w:rsidRPr="00AD5F49" w14:paraId="075B6F2B" w14:textId="77777777" w:rsidTr="00216A62">
        <w:tc>
          <w:tcPr>
            <w:tcW w:w="2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20514" w14:textId="77777777" w:rsidR="00EA4835" w:rsidRPr="00AD5F49" w:rsidRDefault="00000000" w:rsidP="00216A62">
            <w:pPr>
              <w:pStyle w:val="T0-Table"/>
            </w:pPr>
            <w:r w:rsidRPr="00AD5F49">
              <w:t>ASCR-10 emergency Tier 3 target</w:t>
            </w:r>
          </w:p>
        </w:tc>
        <w:tc>
          <w:tcPr>
            <w:tcW w:w="664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9A48F" w14:textId="77777777" w:rsidR="00EA4835" w:rsidRPr="00AD5F49" w:rsidRDefault="00000000" w:rsidP="00216A62">
            <w:pPr>
              <w:pStyle w:val="T0-Table"/>
            </w:pPr>
            <w:r w:rsidRPr="00AD5F49">
              <w:t>Confirm the approved ASCR-10 EMERG-T3-TARGET used for the reporting period and preserve its deployment/configuration reference.</w:t>
            </w:r>
          </w:p>
        </w:tc>
        <w:tc>
          <w:tcPr>
            <w:tcW w:w="1185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AE90D" w14:textId="77777777" w:rsidR="00EA4835" w:rsidRPr="00AD5F49" w:rsidRDefault="00000000" w:rsidP="00216A62">
            <w:pPr>
              <w:pStyle w:val="T0-Table"/>
            </w:pPr>
            <w:r w:rsidRPr="00AD5F49">
              <w:t>AI/ML Engineering Lead + ASOC Lead</w:t>
            </w:r>
          </w:p>
        </w:tc>
      </w:tr>
    </w:tbl>
    <w:p w14:paraId="611ACA6F" w14:textId="77777777" w:rsidR="00EA4835" w:rsidRPr="00AD5F49" w:rsidRDefault="00000000" w:rsidP="00216A62">
      <w:pPr>
        <w:pStyle w:val="HS-Heading3"/>
      </w:pPr>
      <w:proofErr w:type="gramStart"/>
      <w:r w:rsidRPr="00AD5F49">
        <w:t>7.2  Pre</w:t>
      </w:r>
      <w:proofErr w:type="gramEnd"/>
      <w:r w:rsidRPr="00AD5F49">
        <w:t>-submission cross-checks</w:t>
      </w:r>
    </w:p>
    <w:p w14:paraId="5BD4ECEC" w14:textId="77777777" w:rsidR="00EA4835" w:rsidRPr="00AD5F49" w:rsidRDefault="00000000" w:rsidP="00216A62">
      <w:pPr>
        <w:pStyle w:val="P0-Paragraph"/>
      </w:pPr>
      <w:r w:rsidRPr="00AD5F49">
        <w:t>The ASOC Lead must complete all three cross-checks before submitting the scorecard to CISO review:</w:t>
      </w:r>
    </w:p>
    <w:tbl>
      <w:tblPr>
        <w:tblStyle w:val="aff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50"/>
        <w:gridCol w:w="6930"/>
      </w:tblGrid>
      <w:tr w:rsidR="00EA4835" w:rsidRPr="00AD5F49" w14:paraId="0D3E1A5E" w14:textId="77777777">
        <w:trPr>
          <w:cantSplit/>
          <w:tblHeader/>
        </w:trPr>
        <w:tc>
          <w:tcPr>
            <w:tcW w:w="315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20975" w14:textId="77777777" w:rsidR="00EA4835" w:rsidRPr="00216A62" w:rsidRDefault="00000000" w:rsidP="00216A62">
            <w:pPr>
              <w:pStyle w:val="T0-Table"/>
              <w:rPr>
                <w:rStyle w:val="CS-Keyword"/>
              </w:rPr>
            </w:pPr>
            <w:r w:rsidRPr="00216A62">
              <w:rPr>
                <w:rStyle w:val="CS-Keyword"/>
              </w:rPr>
              <w:t>Cross-Check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817A51" w14:textId="77777777" w:rsidR="00EA4835" w:rsidRPr="00216A62" w:rsidRDefault="00000000" w:rsidP="00216A62">
            <w:pPr>
              <w:pStyle w:val="T0-Table"/>
              <w:rPr>
                <w:rStyle w:val="CS-Keyword"/>
              </w:rPr>
            </w:pPr>
            <w:r w:rsidRPr="00216A62">
              <w:rPr>
                <w:rStyle w:val="CS-Keyword"/>
              </w:rPr>
              <w:t>How to Verify</w:t>
            </w:r>
          </w:p>
        </w:tc>
      </w:tr>
      <w:tr w:rsidR="00EA4835" w:rsidRPr="00AD5F49" w14:paraId="32E8B8C7" w14:textId="77777777">
        <w:trPr>
          <w:cantSplit/>
        </w:trPr>
        <w:tc>
          <w:tcPr>
            <w:tcW w:w="315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650AE" w14:textId="77777777" w:rsidR="00EA4835" w:rsidRPr="00AD5F49" w:rsidRDefault="00000000" w:rsidP="00216A62">
            <w:pPr>
              <w:pStyle w:val="T0-Table"/>
            </w:pPr>
            <w:r w:rsidRPr="00AD5F49">
              <w:t>1. D.1 NIS2-significant-incident count = H.2 Article 23(4)(a) 24-hour early-warning submission count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1F676" w14:textId="77777777" w:rsidR="00EA4835" w:rsidRPr="00AD5F49" w:rsidRDefault="00000000" w:rsidP="00216A62">
            <w:pPr>
              <w:pStyle w:val="T0-Table"/>
            </w:pPr>
            <w:r w:rsidRPr="00AD5F49">
              <w:t>Compare the D.1 NIS2-significant-incident count against the numeric H.2 Article 23(4)(a) 24-hour early-warning submissions for the same reporting population. Any mismatch is a data-integrity finding and must be explained before submission. Verify the H.2 72-hour and one-month rows separately.</w:t>
            </w:r>
          </w:p>
        </w:tc>
      </w:tr>
      <w:tr w:rsidR="00EA4835" w:rsidRPr="00AD5F49" w14:paraId="066A18D8" w14:textId="77777777">
        <w:trPr>
          <w:cantSplit/>
        </w:trPr>
        <w:tc>
          <w:tcPr>
            <w:tcW w:w="315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56EB4" w14:textId="77777777" w:rsidR="00EA4835" w:rsidRPr="00AD5F49" w:rsidRDefault="00000000" w:rsidP="00216A62">
            <w:pPr>
              <w:pStyle w:val="T0-Table"/>
            </w:pPr>
            <w:r w:rsidRPr="00AD5F49">
              <w:t>2. G.3 incident-driven reassessment status aligns with Section D incident review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4C302" w14:textId="77777777" w:rsidR="00EA4835" w:rsidRPr="00AD5F49" w:rsidRDefault="00000000" w:rsidP="00216A62">
            <w:pPr>
              <w:pStyle w:val="T0-Table"/>
            </w:pPr>
            <w:r w:rsidRPr="00AD5F49">
              <w:t xml:space="preserve">For each confirmed Physical AI incident, review the Section D incident analysis to determine whether the observed failure </w:t>
            </w:r>
            <w:proofErr w:type="gramStart"/>
            <w:r w:rsidRPr="00AD5F49">
              <w:t>mode</w:t>
            </w:r>
            <w:proofErr w:type="gramEnd"/>
            <w:r w:rsidRPr="00AD5F49">
              <w:t xml:space="preserve"> reveals a gap in the assessed ASCR-01 baseline. Where such a gap exists, set the corresponding G.3 incident-driven reassessment trigger to Yes, identify the affected cluster or clusters, and record the ASCR-01 action initiated.</w:t>
            </w:r>
          </w:p>
        </w:tc>
      </w:tr>
      <w:tr w:rsidR="00EA4835" w:rsidRPr="00AD5F49" w14:paraId="3F5D813D" w14:textId="77777777">
        <w:trPr>
          <w:cantSplit/>
        </w:trPr>
        <w:tc>
          <w:tcPr>
            <w:tcW w:w="315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7C646" w14:textId="77777777" w:rsidR="00EA4835" w:rsidRPr="00AD5F49" w:rsidRDefault="00000000" w:rsidP="00216A62">
            <w:pPr>
              <w:pStyle w:val="T0-Table"/>
            </w:pPr>
            <w:r w:rsidRPr="00AD5F49">
              <w:t>3. P1 gaps &gt;90 days have risk acceptance reference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E40EC" w14:textId="77777777" w:rsidR="00EA4835" w:rsidRPr="00AD5F49" w:rsidRDefault="00000000" w:rsidP="00216A62">
            <w:pPr>
              <w:pStyle w:val="T0-Table"/>
            </w:pPr>
            <w:r w:rsidRPr="00AD5F49">
              <w:t>If E.3 '</w:t>
            </w:r>
            <w:proofErr w:type="gramStart"/>
            <w:r w:rsidRPr="00AD5F49">
              <w:t>P1</w:t>
            </w:r>
            <w:proofErr w:type="gramEnd"/>
            <w:r w:rsidRPr="00AD5F49">
              <w:t xml:space="preserve"> gaps open more than 90 days' count is non-zero, E.3 Risk Acceptance Reference table must be populated with a valid ASCR-03 Section 4 authorization. Non-zero count without reference = compliance failure.</w:t>
            </w:r>
          </w:p>
        </w:tc>
      </w:tr>
    </w:tbl>
    <w:p w14:paraId="3EA75230" w14:textId="77777777" w:rsidR="00EA4835" w:rsidRPr="00AD5F49" w:rsidRDefault="00000000" w:rsidP="00216A62">
      <w:pPr>
        <w:pStyle w:val="HS-Heading3"/>
      </w:pPr>
      <w:proofErr w:type="gramStart"/>
      <w:r w:rsidRPr="00AD5F49">
        <w:t>7.3  Preparation</w:t>
      </w:r>
      <w:proofErr w:type="gramEnd"/>
      <w:r w:rsidRPr="00AD5F49">
        <w:t xml:space="preserve"> timeline</w:t>
      </w:r>
    </w:p>
    <w:tbl>
      <w:tblPr>
        <w:tblStyle w:val="affc"/>
        <w:tblW w:w="100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6930"/>
        <w:gridCol w:w="1635"/>
      </w:tblGrid>
      <w:tr w:rsidR="00EA4835" w:rsidRPr="00AD5F49" w14:paraId="7E0442CB" w14:textId="77777777">
        <w:trPr>
          <w:cantSplit/>
          <w:tblHeader/>
        </w:trPr>
        <w:tc>
          <w:tcPr>
            <w:tcW w:w="15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08D3A1" w14:textId="77777777" w:rsidR="00EA4835" w:rsidRPr="00216A62" w:rsidRDefault="00000000" w:rsidP="00216A62">
            <w:pPr>
              <w:pStyle w:val="T0-Table"/>
              <w:rPr>
                <w:rStyle w:val="CS-Keyword"/>
              </w:rPr>
            </w:pPr>
            <w:r w:rsidRPr="00216A62">
              <w:rPr>
                <w:rStyle w:val="CS-Keyword"/>
              </w:rPr>
              <w:t>Day (from Quarter Close)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BA4C6" w14:textId="77777777" w:rsidR="00EA4835" w:rsidRPr="00216A62" w:rsidRDefault="00000000" w:rsidP="00216A62">
            <w:pPr>
              <w:pStyle w:val="T0-Table"/>
              <w:rPr>
                <w:rStyle w:val="CS-Keyword"/>
              </w:rPr>
            </w:pPr>
            <w:r w:rsidRPr="00216A62">
              <w:rPr>
                <w:rStyle w:val="CS-Keyword"/>
              </w:rPr>
              <w:t>Milestone</w:t>
            </w:r>
          </w:p>
        </w:tc>
        <w:tc>
          <w:tcPr>
            <w:tcW w:w="163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D1F3D" w14:textId="77777777" w:rsidR="00EA4835" w:rsidRPr="00216A62" w:rsidRDefault="00000000" w:rsidP="00216A62">
            <w:pPr>
              <w:pStyle w:val="T0-Table"/>
              <w:rPr>
                <w:rStyle w:val="CS-Keyword"/>
              </w:rPr>
            </w:pPr>
            <w:r w:rsidRPr="00216A62">
              <w:rPr>
                <w:rStyle w:val="CS-Keyword"/>
              </w:rPr>
              <w:t>Owner</w:t>
            </w:r>
          </w:p>
        </w:tc>
      </w:tr>
      <w:tr w:rsidR="00EA4835" w:rsidRPr="00AD5F49" w14:paraId="53956456" w14:textId="77777777">
        <w:trPr>
          <w:cantSplit/>
        </w:trPr>
        <w:tc>
          <w:tcPr>
            <w:tcW w:w="15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36B92" w14:textId="77777777" w:rsidR="00EA4835" w:rsidRPr="00AD5F49" w:rsidRDefault="00000000" w:rsidP="00216A62">
            <w:pPr>
              <w:pStyle w:val="T0-Table"/>
            </w:pPr>
            <w:r w:rsidRPr="00AD5F49">
              <w:t>Day 7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28366" w14:textId="77777777" w:rsidR="00EA4835" w:rsidRPr="00AD5F49" w:rsidRDefault="00000000" w:rsidP="00216A62">
            <w:pPr>
              <w:pStyle w:val="T0-Table"/>
            </w:pPr>
            <w:r w:rsidRPr="00AD5F49">
              <w:t xml:space="preserve">ASOC data compilation </w:t>
            </w:r>
            <w:proofErr w:type="gramStart"/>
            <w:r w:rsidRPr="00AD5F49">
              <w:t>complete —</w:t>
            </w:r>
            <w:proofErr w:type="gramEnd"/>
            <w:r w:rsidRPr="00AD5F49">
              <w:t xml:space="preserve"> all quantitative fields in companion workbook populated</w:t>
            </w:r>
          </w:p>
        </w:tc>
        <w:tc>
          <w:tcPr>
            <w:tcW w:w="163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7C536" w14:textId="77777777" w:rsidR="00EA4835" w:rsidRPr="00AD5F49" w:rsidRDefault="00000000" w:rsidP="00216A62">
            <w:pPr>
              <w:pStyle w:val="T0-Table"/>
            </w:pPr>
            <w:r w:rsidRPr="00AD5F49">
              <w:t>ASOC Lead</w:t>
            </w:r>
          </w:p>
        </w:tc>
      </w:tr>
      <w:tr w:rsidR="00EA4835" w:rsidRPr="00AD5F49" w14:paraId="0583FA28" w14:textId="77777777">
        <w:trPr>
          <w:cantSplit/>
        </w:trPr>
        <w:tc>
          <w:tcPr>
            <w:tcW w:w="15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7082B" w14:textId="77777777" w:rsidR="00EA4835" w:rsidRPr="00AD5F49" w:rsidRDefault="00000000" w:rsidP="00216A62">
            <w:pPr>
              <w:pStyle w:val="T0-Table"/>
            </w:pPr>
            <w:r w:rsidRPr="00AD5F49">
              <w:t>Day 10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11F27" w14:textId="77777777" w:rsidR="00EA4835" w:rsidRPr="00AD5F49" w:rsidRDefault="00000000" w:rsidP="00216A62">
            <w:pPr>
              <w:pStyle w:val="T0-Table"/>
            </w:pPr>
            <w:r w:rsidRPr="00AD5F49">
              <w:t>Legal / Compliance review of Section H complete — status fields set, evidence references recorded</w:t>
            </w:r>
          </w:p>
        </w:tc>
        <w:tc>
          <w:tcPr>
            <w:tcW w:w="163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50A97" w14:textId="77777777" w:rsidR="00EA4835" w:rsidRPr="00AD5F49" w:rsidRDefault="00000000" w:rsidP="00216A62">
            <w:pPr>
              <w:pStyle w:val="T0-Table"/>
            </w:pPr>
            <w:r w:rsidRPr="00AD5F49">
              <w:t>Legal / Compliance</w:t>
            </w:r>
          </w:p>
        </w:tc>
      </w:tr>
      <w:tr w:rsidR="00EA4835" w:rsidRPr="00AD5F49" w14:paraId="785784E9" w14:textId="77777777">
        <w:trPr>
          <w:cantSplit/>
        </w:trPr>
        <w:tc>
          <w:tcPr>
            <w:tcW w:w="15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085F5" w14:textId="77777777" w:rsidR="00EA4835" w:rsidRPr="00AD5F49" w:rsidRDefault="00000000" w:rsidP="00216A62">
            <w:pPr>
              <w:pStyle w:val="T0-Table"/>
            </w:pPr>
            <w:r w:rsidRPr="00AD5F49">
              <w:t>Day 12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FCF0A" w14:textId="77777777" w:rsidR="00EA4835" w:rsidRPr="00AD5F49" w:rsidRDefault="00000000" w:rsidP="00216A62">
            <w:pPr>
              <w:pStyle w:val="T0-Table"/>
            </w:pPr>
            <w:r w:rsidRPr="00AD5F49">
              <w:t>CISO narrative drafts complete (B.2, D.3, D.4, G.</w:t>
            </w:r>
            <w:proofErr w:type="gramStart"/>
            <w:r w:rsidRPr="00AD5F49">
              <w:t>2) —</w:t>
            </w:r>
            <w:proofErr w:type="gramEnd"/>
            <w:r w:rsidRPr="00AD5F49">
              <w:t xml:space="preserve"> all five B.2 narrative items present</w:t>
            </w:r>
          </w:p>
        </w:tc>
        <w:tc>
          <w:tcPr>
            <w:tcW w:w="163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766D9A" w14:textId="77777777" w:rsidR="00EA4835" w:rsidRPr="00AD5F49" w:rsidRDefault="00000000" w:rsidP="00216A62">
            <w:pPr>
              <w:pStyle w:val="T0-Table"/>
            </w:pPr>
            <w:r w:rsidRPr="00AD5F49">
              <w:t>CISO</w:t>
            </w:r>
          </w:p>
        </w:tc>
      </w:tr>
      <w:tr w:rsidR="00EA4835" w:rsidRPr="00AD5F49" w14:paraId="7B735DD1" w14:textId="77777777">
        <w:trPr>
          <w:cantSplit/>
        </w:trPr>
        <w:tc>
          <w:tcPr>
            <w:tcW w:w="15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2D8ED" w14:textId="77777777" w:rsidR="00EA4835" w:rsidRPr="00AD5F49" w:rsidRDefault="00000000" w:rsidP="00216A62">
            <w:pPr>
              <w:pStyle w:val="T0-Table"/>
            </w:pPr>
            <w:r w:rsidRPr="00AD5F49">
              <w:lastRenderedPageBreak/>
              <w:t>Day 12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8E6B9" w14:textId="77777777" w:rsidR="00EA4835" w:rsidRPr="00AD5F49" w:rsidRDefault="00000000" w:rsidP="00216A62">
            <w:pPr>
              <w:pStyle w:val="T0-Table"/>
            </w:pPr>
            <w:r w:rsidRPr="00AD5F49">
              <w:t>Legal / Compliance signature on Section J.1 confirmed (must be complete before Day 15 internal review)</w:t>
            </w:r>
          </w:p>
        </w:tc>
        <w:tc>
          <w:tcPr>
            <w:tcW w:w="163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80CE5" w14:textId="77777777" w:rsidR="00EA4835" w:rsidRPr="00AD5F49" w:rsidRDefault="00000000" w:rsidP="00216A62">
            <w:pPr>
              <w:pStyle w:val="T0-Table"/>
            </w:pPr>
            <w:r w:rsidRPr="00AD5F49">
              <w:t>Legal / Compliance</w:t>
            </w:r>
          </w:p>
        </w:tc>
      </w:tr>
      <w:tr w:rsidR="00EA4835" w:rsidRPr="00AD5F49" w14:paraId="22C6C272" w14:textId="77777777">
        <w:trPr>
          <w:cantSplit/>
        </w:trPr>
        <w:tc>
          <w:tcPr>
            <w:tcW w:w="15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316B6" w14:textId="77777777" w:rsidR="00EA4835" w:rsidRPr="00AD5F49" w:rsidRDefault="00000000" w:rsidP="00216A62">
            <w:pPr>
              <w:pStyle w:val="T0-Table"/>
            </w:pPr>
            <w:r w:rsidRPr="00AD5F49">
              <w:t>Day 15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B05D5" w14:textId="77777777" w:rsidR="00EA4835" w:rsidRPr="00AD5F49" w:rsidRDefault="00000000" w:rsidP="00216A62">
            <w:pPr>
              <w:pStyle w:val="T0-Table"/>
            </w:pPr>
            <w:r w:rsidRPr="00AD5F49">
              <w:t>Internal review cycle complete — all three pre-submission cross-checks passed</w:t>
            </w:r>
          </w:p>
        </w:tc>
        <w:tc>
          <w:tcPr>
            <w:tcW w:w="163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B7B52" w14:textId="77777777" w:rsidR="00EA4835" w:rsidRPr="00AD5F49" w:rsidRDefault="00000000" w:rsidP="00216A62">
            <w:pPr>
              <w:pStyle w:val="T0-Table"/>
            </w:pPr>
            <w:r w:rsidRPr="00AD5F49">
              <w:t>Program Manager</w:t>
            </w:r>
          </w:p>
        </w:tc>
      </w:tr>
      <w:tr w:rsidR="00EA4835" w:rsidRPr="00AD5F49" w14:paraId="284F5370" w14:textId="77777777">
        <w:trPr>
          <w:cantSplit/>
        </w:trPr>
        <w:tc>
          <w:tcPr>
            <w:tcW w:w="15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E5818" w14:textId="77777777" w:rsidR="00EA4835" w:rsidRPr="00AD5F49" w:rsidRDefault="00000000" w:rsidP="00216A62">
            <w:pPr>
              <w:pStyle w:val="T0-Table"/>
            </w:pPr>
            <w:r w:rsidRPr="00AD5F49">
              <w:t>Day 17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671E7" w14:textId="77777777" w:rsidR="00EA4835" w:rsidRPr="00AD5F49" w:rsidRDefault="00000000" w:rsidP="00216A62">
            <w:pPr>
              <w:pStyle w:val="T0-Table"/>
            </w:pPr>
            <w:r w:rsidRPr="00AD5F49">
              <w:t>Executive Sponsor authorization — Section J.1 signed</w:t>
            </w:r>
          </w:p>
        </w:tc>
        <w:tc>
          <w:tcPr>
            <w:tcW w:w="163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C74F3" w14:textId="77777777" w:rsidR="00EA4835" w:rsidRPr="00AD5F49" w:rsidRDefault="00000000" w:rsidP="00216A62">
            <w:pPr>
              <w:pStyle w:val="T0-Table"/>
            </w:pPr>
            <w:r w:rsidRPr="00AD5F49">
              <w:t>Executive Sponsor</w:t>
            </w:r>
          </w:p>
        </w:tc>
      </w:tr>
      <w:tr w:rsidR="00EA4835" w:rsidRPr="00AD5F49" w14:paraId="39642F59" w14:textId="77777777">
        <w:trPr>
          <w:cantSplit/>
        </w:trPr>
        <w:tc>
          <w:tcPr>
            <w:tcW w:w="15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40BC45" w14:textId="77777777" w:rsidR="00EA4835" w:rsidRPr="00AD5F49" w:rsidRDefault="00000000" w:rsidP="00216A62">
            <w:pPr>
              <w:pStyle w:val="T0-Table"/>
            </w:pPr>
            <w:r w:rsidRPr="00AD5F49">
              <w:t>Day 20</w:t>
            </w:r>
          </w:p>
        </w:tc>
        <w:tc>
          <w:tcPr>
            <w:tcW w:w="693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3489A" w14:textId="77777777" w:rsidR="00EA4835" w:rsidRPr="00AD5F49" w:rsidRDefault="00000000" w:rsidP="00216A62">
            <w:pPr>
              <w:pStyle w:val="T0-Table"/>
            </w:pPr>
            <w:r w:rsidRPr="00AD5F49">
              <w:t>Board pack submission — all five Annex V-1 visualizations included</w:t>
            </w:r>
          </w:p>
        </w:tc>
        <w:tc>
          <w:tcPr>
            <w:tcW w:w="1635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53C39" w14:textId="77777777" w:rsidR="00EA4835" w:rsidRPr="00AD5F49" w:rsidRDefault="00000000" w:rsidP="00216A62">
            <w:pPr>
              <w:pStyle w:val="T0-Table"/>
            </w:pPr>
            <w:r w:rsidRPr="00AD5F49">
              <w:t>CISO / Program Manager</w:t>
            </w:r>
          </w:p>
        </w:tc>
      </w:tr>
    </w:tbl>
    <w:p w14:paraId="53793E99" w14:textId="77777777" w:rsidR="00EA4835" w:rsidRPr="00AD5F49" w:rsidRDefault="00EA4835" w:rsidP="00216A62">
      <w:pPr>
        <w:pStyle w:val="P0-Paragraph"/>
      </w:pPr>
    </w:p>
    <w:tbl>
      <w:tblPr>
        <w:tblStyle w:val="affd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A4835" w:rsidRPr="00AD5F49" w14:paraId="581ACF17" w14:textId="77777777">
        <w:tc>
          <w:tcPr>
            <w:tcW w:w="10080" w:type="dxa"/>
            <w:tcBorders>
              <w:top w:val="single" w:sz="4" w:space="0" w:color="B7C6DB"/>
              <w:left w:val="single" w:sz="4" w:space="0" w:color="B7C6DB"/>
              <w:bottom w:val="single" w:sz="4" w:space="0" w:color="B7C6DB"/>
              <w:right w:val="single" w:sz="4" w:space="0" w:color="B7C6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3688B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Missed Quarter Protocol</w:t>
            </w:r>
          </w:p>
          <w:p w14:paraId="19AE8B18" w14:textId="77777777" w:rsidR="00EA4835" w:rsidRPr="00AD5F49" w:rsidRDefault="00000000" w:rsidP="00216A62">
            <w:pPr>
              <w:pStyle w:val="P0-Paragraph"/>
            </w:pPr>
            <w:r w:rsidRPr="00AD5F49">
              <w:rPr>
                <w:rFonts w:eastAsia="Calibri"/>
              </w:rPr>
              <w:t>If the scorecard cannot be completed within 30 days of quarter close, the CISO must issue written notification to the Executive Sponsor and board committee chair, including: cause of delay, specific data gaps, and remediation timeline. A completed scorecard for the missed quarter must be submitted alongside the following quarter's report. Governance deferral during high-risk deployment phases has the highest consequence — this protocol is mandatory, not discretionary.</w:t>
            </w:r>
          </w:p>
        </w:tc>
      </w:tr>
    </w:tbl>
    <w:p w14:paraId="1787881D" w14:textId="77777777" w:rsidR="00EA4835" w:rsidRPr="00AD5F49" w:rsidRDefault="00EA4835" w:rsidP="00216A62">
      <w:pPr>
        <w:pStyle w:val="P0-Paragraph"/>
      </w:pPr>
    </w:p>
    <w:sectPr w:rsidR="00EA4835" w:rsidRPr="00AD5F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BCD9D" w14:textId="77777777" w:rsidR="00613D7B" w:rsidRDefault="00613D7B">
      <w:pPr>
        <w:spacing w:after="0" w:line="240" w:lineRule="auto"/>
      </w:pPr>
      <w:r>
        <w:separator/>
      </w:r>
    </w:p>
  </w:endnote>
  <w:endnote w:type="continuationSeparator" w:id="0">
    <w:p w14:paraId="6C51D69F" w14:textId="77777777" w:rsidR="00613D7B" w:rsidRDefault="006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E9F9A8-3759-4D8F-A73A-DC217DDC2BC8}"/>
    <w:embedBold r:id="rId2" w:fontKey="{20EAF9DE-27DC-46AE-9F76-245E99FAD5CF}"/>
    <w:embedItalic r:id="rId3" w:fontKey="{BC50D2E8-CD1D-4761-9AA4-3742E74F67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C04AB1-4DD1-4365-BE40-C1956E029321}"/>
    <w:embedBold r:id="rId5" w:fontKey="{83FDF87F-21E5-4ED5-A5F7-C7295717E0C7}"/>
    <w:embedItalic r:id="rId6" w:fontKey="{8BBAEED6-EE5E-48AD-A4FB-2F65B68E9CE2}"/>
  </w:font>
  <w:font w:name="Crimson Pro">
    <w:altName w:val="Calibri"/>
    <w:charset w:val="00"/>
    <w:family w:val="auto"/>
    <w:pitch w:val="variable"/>
    <w:sig w:usb0="A00000FF" w:usb1="5000E04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6A05EF19-E64F-451C-94D9-4EBC76C055EE}"/>
    <w:embedBold r:id="rId8" w:fontKey="{8D9A1331-E806-4D66-A749-7FA76E8144FA}"/>
  </w:font>
  <w:font w:name="Source Sans 3">
    <w:altName w:val="Calibri"/>
    <w:panose1 w:val="00000000000000000000"/>
    <w:charset w:val="00"/>
    <w:family w:val="swiss"/>
    <w:notTrueType/>
    <w:pitch w:val="variable"/>
    <w:sig w:usb0="E00002FF" w:usb1="00002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D98F94BC-5AB5-4489-9E58-F393297C4D6D}"/>
  </w:font>
  <w:font w:name="Jost* Medium">
    <w:altName w:val="Calibri"/>
    <w:panose1 w:val="00000000000000000000"/>
    <w:charset w:val="00"/>
    <w:family w:val="modern"/>
    <w:notTrueType/>
    <w:pitch w:val="variable"/>
    <w:sig w:usb0="A00002EF" w:usb1="0000205B" w:usb2="00000010" w:usb3="00000000" w:csb0="00000097" w:csb1="00000000"/>
  </w:font>
  <w:font w:name="Jost*">
    <w:altName w:val="Calibri"/>
    <w:panose1 w:val="00000000000000000000"/>
    <w:charset w:val="00"/>
    <w:family w:val="modern"/>
    <w:notTrueType/>
    <w:pitch w:val="variable"/>
    <w:sig w:usb0="A00002EF" w:usb1="0000205B" w:usb2="00000010" w:usb3="00000000" w:csb0="00000097" w:csb1="00000000"/>
  </w:font>
  <w:font w:name="Jost* Semi">
    <w:panose1 w:val="00000000000000000000"/>
    <w:charset w:val="00"/>
    <w:family w:val="modern"/>
    <w:notTrueType/>
    <w:pitch w:val="variable"/>
    <w:sig w:usb0="A00002EF" w:usb1="0000205B" w:usb2="00000010" w:usb3="00000000" w:csb0="00000097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9A8C4421-DDEF-47CD-A7F5-E3188019B5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F5AD" w14:textId="77777777" w:rsidR="00EA4835" w:rsidRDefault="00000000">
    <w:pPr>
      <w:jc w:val="center"/>
    </w:pPr>
    <w:r>
      <w:rPr>
        <w:rFonts w:ascii="Calibri" w:eastAsia="Calibri" w:hAnsi="Calibri" w:cs="Calibri"/>
        <w:color w:val="666666"/>
        <w:sz w:val="16"/>
        <w:szCs w:val="16"/>
      </w:rPr>
      <w:t xml:space="preserve">Confidential — Authorized ASCR Preparers; Board and Executive Distribution · ASCR-12-OE02 · Version 1.0 — June 2026 · page </w:t>
    </w:r>
    <w:r>
      <w:rPr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rFonts w:ascii="Calibri" w:eastAsia="Calibri" w:hAnsi="Calibri" w:cs="Calibri"/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C6C01" w14:textId="77777777" w:rsidR="00EA4835" w:rsidRDefault="00000000">
    <w:pPr>
      <w:jc w:val="center"/>
    </w:pPr>
    <w:r>
      <w:rPr>
        <w:rFonts w:ascii="Calibri" w:eastAsia="Calibri" w:hAnsi="Calibri" w:cs="Calibri"/>
        <w:color w:val="666666"/>
        <w:sz w:val="16"/>
        <w:szCs w:val="16"/>
      </w:rPr>
      <w:t xml:space="preserve">Confidential — Authorized ASCR Preparers; Board and Executive Distribution · ASCR-12-OE02 · Version 1.0 — June 2026 · page </w:t>
    </w:r>
    <w:r>
      <w:rPr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D5F4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rFonts w:ascii="Calibri" w:eastAsia="Calibri" w:hAnsi="Calibri" w:cs="Calibri"/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D5F49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9F913" w14:textId="77777777" w:rsidR="00EA4835" w:rsidRDefault="00000000">
    <w:pPr>
      <w:jc w:val="center"/>
    </w:pPr>
    <w:r>
      <w:rPr>
        <w:rFonts w:ascii="Calibri" w:eastAsia="Calibri" w:hAnsi="Calibri" w:cs="Calibri"/>
        <w:color w:val="666666"/>
        <w:sz w:val="16"/>
        <w:szCs w:val="16"/>
      </w:rPr>
      <w:t xml:space="preserve">Confidential — Authorized ASCR Preparers; Board and Executive Distribution · ASCR-12-OE02 · Version 1.0 — June 2026 · page </w:t>
    </w:r>
    <w:r>
      <w:rPr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rFonts w:ascii="Calibri" w:eastAsia="Calibri" w:hAnsi="Calibri" w:cs="Calibri"/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C5819" w14:textId="77777777" w:rsidR="00613D7B" w:rsidRDefault="00613D7B">
      <w:pPr>
        <w:spacing w:after="0" w:line="240" w:lineRule="auto"/>
      </w:pPr>
      <w:r>
        <w:separator/>
      </w:r>
    </w:p>
  </w:footnote>
  <w:footnote w:type="continuationSeparator" w:id="0">
    <w:p w14:paraId="7527AE21" w14:textId="77777777" w:rsidR="00613D7B" w:rsidRDefault="006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5C6F" w14:textId="77777777" w:rsidR="00EA4835" w:rsidRDefault="00EA483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27895" w14:textId="77777777" w:rsidR="00EA4835" w:rsidRDefault="00000000">
    <w:pPr>
      <w:pBdr>
        <w:bottom w:val="single" w:sz="4" w:space="0" w:color="B7C6DB"/>
      </w:pBdr>
      <w:tabs>
        <w:tab w:val="right" w:pos="10080"/>
      </w:tabs>
    </w:pPr>
    <w:r>
      <w:rPr>
        <w:color w:val="595959"/>
        <w:sz w:val="16"/>
        <w:szCs w:val="16"/>
      </w:rPr>
      <w:t>ASCR-12-OE02 — Implementation and Integration Guide · Version 1.0 — June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59E8" w14:textId="77777777" w:rsidR="00EA4835" w:rsidRDefault="00EA48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095"/>
    <w:multiLevelType w:val="multilevel"/>
    <w:tmpl w:val="F28C8FAC"/>
    <w:lvl w:ilvl="0">
      <w:start w:val="1"/>
      <w:numFmt w:val="decimal"/>
      <w:pStyle w:val="L1-Numbered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0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53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767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997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2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45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8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17" w:firstLine="0"/>
      </w:pPr>
      <w:rPr>
        <w:rFonts w:hint="default"/>
      </w:rPr>
    </w:lvl>
  </w:abstractNum>
  <w:abstractNum w:abstractNumId="1" w15:restartNumberingAfterBreak="0">
    <w:nsid w:val="09CC1ADB"/>
    <w:multiLevelType w:val="hybridMultilevel"/>
    <w:tmpl w:val="067C1362"/>
    <w:lvl w:ilvl="0" w:tplc="F17E0FBC">
      <w:start w:val="1"/>
      <w:numFmt w:val="bullet"/>
      <w:pStyle w:val="I0-InfoBox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C97D5B"/>
    <w:multiLevelType w:val="hybridMultilevel"/>
    <w:tmpl w:val="F198D8DC"/>
    <w:lvl w:ilvl="0" w:tplc="EFD0A6CE">
      <w:start w:val="1"/>
      <w:numFmt w:val="decimal"/>
      <w:pStyle w:val="L3-Numbered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70721DD"/>
    <w:multiLevelType w:val="hybridMultilevel"/>
    <w:tmpl w:val="FD22A208"/>
    <w:lvl w:ilvl="0" w:tplc="7CA4255A">
      <w:start w:val="1"/>
      <w:numFmt w:val="lowerLetter"/>
      <w:pStyle w:val="L1-Alphabe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350C60"/>
    <w:multiLevelType w:val="multilevel"/>
    <w:tmpl w:val="C3E23564"/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CEA652A"/>
    <w:multiLevelType w:val="hybridMultilevel"/>
    <w:tmpl w:val="6576B7EE"/>
    <w:lvl w:ilvl="0" w:tplc="C29690EC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394548"/>
    <w:multiLevelType w:val="hybridMultilevel"/>
    <w:tmpl w:val="65EEEBE6"/>
    <w:lvl w:ilvl="0" w:tplc="5BBEE664">
      <w:start w:val="1"/>
      <w:numFmt w:val="decimal"/>
      <w:pStyle w:val="T0-TipBoxNumberedList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6A6CBF"/>
    <w:multiLevelType w:val="hybridMultilevel"/>
    <w:tmpl w:val="7F86AF92"/>
    <w:lvl w:ilvl="0" w:tplc="A2EE0D84">
      <w:start w:val="1"/>
      <w:numFmt w:val="lowerLetter"/>
      <w:pStyle w:val="L3-Alphabet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AE83F2D"/>
    <w:multiLevelType w:val="hybridMultilevel"/>
    <w:tmpl w:val="A176991C"/>
    <w:lvl w:ilvl="0" w:tplc="292A8B88">
      <w:start w:val="1"/>
      <w:numFmt w:val="decimal"/>
      <w:pStyle w:val="L2-Numbered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05BBE"/>
    <w:multiLevelType w:val="hybridMultilevel"/>
    <w:tmpl w:val="2DB252B8"/>
    <w:lvl w:ilvl="0" w:tplc="BA249730">
      <w:start w:val="1"/>
      <w:numFmt w:val="bullet"/>
      <w:pStyle w:val="L1-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4F1B17"/>
    <w:multiLevelType w:val="multilevel"/>
    <w:tmpl w:val="AAB0CF6A"/>
    <w:lvl w:ilvl="0">
      <w:start w:val="1"/>
      <w:numFmt w:val="lowerLetter"/>
      <w:pStyle w:val="L2-Alphabet"/>
      <w:lvlText w:val="%1."/>
      <w:lvlJc w:val="left"/>
      <w:pPr>
        <w:ind w:left="143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11" w15:restartNumberingAfterBreak="0">
    <w:nsid w:val="34640FB6"/>
    <w:multiLevelType w:val="hybridMultilevel"/>
    <w:tmpl w:val="240E9A8E"/>
    <w:lvl w:ilvl="0" w:tplc="CD50F612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37700151"/>
    <w:multiLevelType w:val="hybridMultilevel"/>
    <w:tmpl w:val="4EF0D4D0"/>
    <w:lvl w:ilvl="0" w:tplc="0A8CE77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96B45"/>
    <w:multiLevelType w:val="hybridMultilevel"/>
    <w:tmpl w:val="2D7EBAD6"/>
    <w:lvl w:ilvl="0" w:tplc="5B14A108">
      <w:start w:val="1"/>
      <w:numFmt w:val="upperLetter"/>
      <w:pStyle w:val="L1-AlphabetCapit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4C691302"/>
    <w:multiLevelType w:val="hybridMultilevel"/>
    <w:tmpl w:val="B4FA76F4"/>
    <w:lvl w:ilvl="0" w:tplc="BEC4D742">
      <w:start w:val="1"/>
      <w:numFmt w:val="upperLetter"/>
      <w:pStyle w:val="L3-AlphabetCapital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5" w15:restartNumberingAfterBreak="0">
    <w:nsid w:val="5617709E"/>
    <w:multiLevelType w:val="hybridMultilevel"/>
    <w:tmpl w:val="391C7074"/>
    <w:lvl w:ilvl="0" w:tplc="92D46F94">
      <w:start w:val="1"/>
      <w:numFmt w:val="decimal"/>
      <w:pStyle w:val="T0-TableNumberedList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56C4687E"/>
    <w:multiLevelType w:val="multilevel"/>
    <w:tmpl w:val="035C38C0"/>
    <w:lvl w:ilvl="0">
      <w:start w:val="1"/>
      <w:numFmt w:val="bullet"/>
      <w:lvlText w:val="•"/>
      <w:lvlJc w:val="left"/>
      <w:pPr>
        <w:ind w:left="460" w:hanging="23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5BF63477"/>
    <w:multiLevelType w:val="multilevel"/>
    <w:tmpl w:val="13425074"/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C295B8B"/>
    <w:multiLevelType w:val="hybridMultilevel"/>
    <w:tmpl w:val="4B8CD00E"/>
    <w:lvl w:ilvl="0" w:tplc="2D9C3176">
      <w:start w:val="1"/>
      <w:numFmt w:val="upperLetter"/>
      <w:pStyle w:val="L2-AlphabetCapit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9" w15:restartNumberingAfterBreak="0">
    <w:nsid w:val="754C4748"/>
    <w:multiLevelType w:val="hybridMultilevel"/>
    <w:tmpl w:val="83B40090"/>
    <w:lvl w:ilvl="0" w:tplc="ECE80426">
      <w:start w:val="1"/>
      <w:numFmt w:val="decimal"/>
      <w:pStyle w:val="I0-InfoBoxNumberedList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6050941">
    <w:abstractNumId w:val="16"/>
  </w:num>
  <w:num w:numId="2" w16cid:durableId="656492911">
    <w:abstractNumId w:val="4"/>
  </w:num>
  <w:num w:numId="3" w16cid:durableId="869299879">
    <w:abstractNumId w:val="17"/>
  </w:num>
  <w:num w:numId="4" w16cid:durableId="512497296">
    <w:abstractNumId w:val="19"/>
  </w:num>
  <w:num w:numId="5" w16cid:durableId="1730574350">
    <w:abstractNumId w:val="3"/>
  </w:num>
  <w:num w:numId="6" w16cid:durableId="264657427">
    <w:abstractNumId w:val="0"/>
  </w:num>
  <w:num w:numId="7" w16cid:durableId="1399671067">
    <w:abstractNumId w:val="5"/>
  </w:num>
  <w:num w:numId="8" w16cid:durableId="1604025277">
    <w:abstractNumId w:val="10"/>
  </w:num>
  <w:num w:numId="9" w16cid:durableId="1253124087">
    <w:abstractNumId w:val="8"/>
  </w:num>
  <w:num w:numId="10" w16cid:durableId="1655912333">
    <w:abstractNumId w:val="12"/>
  </w:num>
  <w:num w:numId="11" w16cid:durableId="722173098">
    <w:abstractNumId w:val="7"/>
  </w:num>
  <w:num w:numId="12" w16cid:durableId="1279526178">
    <w:abstractNumId w:val="2"/>
  </w:num>
  <w:num w:numId="13" w16cid:durableId="696858381">
    <w:abstractNumId w:val="11"/>
  </w:num>
  <w:num w:numId="14" w16cid:durableId="984697512">
    <w:abstractNumId w:val="1"/>
  </w:num>
  <w:num w:numId="15" w16cid:durableId="1314287334">
    <w:abstractNumId w:val="6"/>
  </w:num>
  <w:num w:numId="16" w16cid:durableId="529880452">
    <w:abstractNumId w:val="9"/>
  </w:num>
  <w:num w:numId="17" w16cid:durableId="957100090">
    <w:abstractNumId w:val="15"/>
  </w:num>
  <w:num w:numId="18" w16cid:durableId="500195562">
    <w:abstractNumId w:val="13"/>
  </w:num>
  <w:num w:numId="19" w16cid:durableId="427190788">
    <w:abstractNumId w:val="18"/>
  </w:num>
  <w:num w:numId="20" w16cid:durableId="1438672060">
    <w:abstractNumId w:val="14"/>
  </w:num>
  <w:num w:numId="21" w16cid:durableId="18432758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835"/>
    <w:rsid w:val="00216A62"/>
    <w:rsid w:val="00613D7B"/>
    <w:rsid w:val="00AD5F49"/>
    <w:rsid w:val="00B32F97"/>
    <w:rsid w:val="00EA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1332E"/>
  <w15:docId w15:val="{F6DD2819-8E0D-4089-A0DC-7A843EE8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F49"/>
    <w:pPr>
      <w:spacing w:after="160" w:line="278" w:lineRule="auto"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D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AD5F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AD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qFormat/>
    <w:rsid w:val="00AD5F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qFormat/>
    <w:rsid w:val="00AD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qFormat/>
    <w:rsid w:val="00AD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qFormat/>
    <w:rsid w:val="00AD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qFormat/>
    <w:rsid w:val="00AD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D5F4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D5F49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D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AD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customStyle="1" w:styleId="af6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72" w:type="dxa"/>
        <w:left w:w="108" w:type="dxa"/>
        <w:bottom w:w="72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AD5F4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AD5F49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AD5F4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customStyle="1" w:styleId="BM-BookCover">
    <w:name w:val="BM - BookCover"/>
    <w:basedOn w:val="Normal"/>
    <w:rsid w:val="00AD5F49"/>
    <w:pPr>
      <w:spacing w:before="120" w:after="120" w:line="259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customStyle="1" w:styleId="BM-PacktPageLogo">
    <w:name w:val="BM - PacktPageLogo"/>
    <w:basedOn w:val="Normal"/>
    <w:rsid w:val="00AD5F49"/>
    <w:pPr>
      <w:spacing w:before="120" w:after="120" w:line="259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customStyle="1" w:styleId="P0-Paragraph">
    <w:name w:val="P0 - Paragraph"/>
    <w:link w:val="P0-ParagraphChar"/>
    <w:rsid w:val="00AD5F49"/>
    <w:pPr>
      <w:spacing w:after="120" w:line="276" w:lineRule="auto"/>
      <w:jc w:val="both"/>
    </w:pPr>
    <w:rPr>
      <w:rFonts w:ascii="Crimson Pro" w:eastAsia="Times New Roman" w:hAnsi="Crimson Pro" w:cs="Times New Roman"/>
      <w:color w:val="auto"/>
      <w:szCs w:val="24"/>
      <w:lang w:val="en-US"/>
    </w:rPr>
  </w:style>
  <w:style w:type="paragraph" w:customStyle="1" w:styleId="C-Comment">
    <w:name w:val="C - Comment"/>
    <w:basedOn w:val="P0-Paragraph"/>
    <w:next w:val="P0-Paragraph"/>
    <w:rsid w:val="00AD5F49"/>
    <w:pPr>
      <w:spacing w:line="360" w:lineRule="auto"/>
    </w:pPr>
    <w:rPr>
      <w:rFonts w:ascii="Arial" w:hAnsi="Arial"/>
      <w:b/>
      <w:color w:val="FF0000"/>
      <w:sz w:val="28"/>
      <w:szCs w:val="28"/>
    </w:rPr>
  </w:style>
  <w:style w:type="paragraph" w:customStyle="1" w:styleId="C-Citation">
    <w:name w:val="C - Citation"/>
    <w:basedOn w:val="C-Comment"/>
    <w:qFormat/>
    <w:rsid w:val="00AD5F49"/>
    <w:rPr>
      <w:color w:val="FFFF00"/>
      <w:sz w:val="20"/>
    </w:rPr>
  </w:style>
  <w:style w:type="paragraph" w:customStyle="1" w:styleId="C0-CodeBlock">
    <w:name w:val="C0 - CodeBlock"/>
    <w:basedOn w:val="Normal"/>
    <w:rsid w:val="00AD5F49"/>
    <w:pPr>
      <w:pBdr>
        <w:top w:val="single" w:sz="4" w:space="4" w:color="FFFFFF" w:themeColor="background1"/>
        <w:left w:val="single" w:sz="4" w:space="14" w:color="FFFFFF" w:themeColor="background1"/>
        <w:bottom w:val="single" w:sz="4" w:space="4" w:color="FFFFFF" w:themeColor="background1"/>
        <w:right w:val="single" w:sz="4" w:space="14" w:color="FFFFFF" w:themeColor="background1"/>
      </w:pBdr>
      <w:shd w:val="clear" w:color="auto" w:fill="FAFAFA"/>
      <w:spacing w:after="180" w:line="276" w:lineRule="auto"/>
      <w:ind w:left="274" w:right="274"/>
      <w:contextualSpacing/>
    </w:pPr>
    <w:rPr>
      <w:rFonts w:ascii="Consolas" w:eastAsia="Times New Roman" w:hAnsi="Consolas" w:cs="Times New Roman"/>
      <w:color w:val="383A42"/>
      <w:kern w:val="0"/>
      <w:sz w:val="18"/>
      <w:szCs w:val="18"/>
      <w:lang w:eastAsia="ar-SA"/>
      <w14:ligatures w14:val="none"/>
    </w:rPr>
  </w:style>
  <w:style w:type="paragraph" w:customStyle="1" w:styleId="C0-ConsoleBlock">
    <w:name w:val="C0 - ConsoleBlock"/>
    <w:basedOn w:val="C0-CodeBlock"/>
    <w:rsid w:val="00AD5F49"/>
    <w:pPr>
      <w:pBdr>
        <w:top w:val="single" w:sz="4" w:space="4" w:color="282A36"/>
        <w:left w:val="single" w:sz="4" w:space="14" w:color="282A36"/>
        <w:bottom w:val="single" w:sz="4" w:space="4" w:color="282A36"/>
        <w:right w:val="single" w:sz="4" w:space="14" w:color="282A36"/>
      </w:pBdr>
      <w:shd w:val="clear" w:color="auto" w:fill="282A36"/>
    </w:pPr>
    <w:rPr>
      <w:color w:val="F8F8F2"/>
      <w:lang w:val="en-IN"/>
    </w:rPr>
  </w:style>
  <w:style w:type="paragraph" w:customStyle="1" w:styleId="C1-CodeBlock">
    <w:name w:val="C1 - CodeBlock"/>
    <w:basedOn w:val="C0-CodeBlock"/>
    <w:rsid w:val="00AD5F49"/>
    <w:pPr>
      <w:ind w:left="907"/>
    </w:pPr>
  </w:style>
  <w:style w:type="paragraph" w:customStyle="1" w:styleId="C1-ConsoleBlock">
    <w:name w:val="C1 - ConsoleBlock"/>
    <w:basedOn w:val="C1-CodeBlock"/>
    <w:rsid w:val="00AD5F49"/>
    <w:pPr>
      <w:pBdr>
        <w:top w:val="single" w:sz="4" w:space="4" w:color="282A36"/>
        <w:left w:val="single" w:sz="4" w:space="14" w:color="282A36"/>
        <w:bottom w:val="single" w:sz="4" w:space="4" w:color="282A36"/>
        <w:right w:val="single" w:sz="4" w:space="14" w:color="282A36"/>
      </w:pBdr>
      <w:shd w:val="clear" w:color="auto" w:fill="282A36"/>
    </w:pPr>
    <w:rPr>
      <w:color w:val="F8F8F2"/>
    </w:rPr>
  </w:style>
  <w:style w:type="paragraph" w:customStyle="1" w:styleId="C2-CodeBlock">
    <w:name w:val="C2 - CodeBlock"/>
    <w:basedOn w:val="C0-CodeBlock"/>
    <w:rsid w:val="00AD5F49"/>
    <w:pPr>
      <w:ind w:left="1526"/>
    </w:pPr>
  </w:style>
  <w:style w:type="paragraph" w:customStyle="1" w:styleId="C2-ConsoleBlock">
    <w:name w:val="C2 - ConsoleBlock"/>
    <w:basedOn w:val="C0-ConsoleBlock"/>
    <w:rsid w:val="00AD5F49"/>
    <w:pPr>
      <w:ind w:left="2074"/>
    </w:pPr>
  </w:style>
  <w:style w:type="character" w:customStyle="1" w:styleId="CS-BoldItalic">
    <w:name w:val="CS - BoldItalic"/>
    <w:basedOn w:val="DefaultParagraphFont"/>
    <w:rsid w:val="00AD5F49"/>
    <w:rPr>
      <w:b/>
      <w:i/>
    </w:rPr>
  </w:style>
  <w:style w:type="character" w:customStyle="1" w:styleId="CS-HighlightedCode">
    <w:name w:val="CS - HighlightedCode"/>
    <w:qFormat/>
    <w:rsid w:val="00AD5F49"/>
    <w:rPr>
      <w:rFonts w:ascii="Consolas" w:hAnsi="Consolas"/>
      <w:b/>
      <w:color w:val="747959"/>
      <w:sz w:val="19"/>
      <w:szCs w:val="18"/>
    </w:rPr>
  </w:style>
  <w:style w:type="character" w:customStyle="1" w:styleId="CS-InlineCode">
    <w:name w:val="CS - InlineCode"/>
    <w:rsid w:val="00AD5F49"/>
    <w:rPr>
      <w:rFonts w:ascii="Consolas" w:hAnsi="Consolas"/>
      <w:color w:val="747959"/>
      <w:sz w:val="19"/>
      <w:szCs w:val="18"/>
    </w:rPr>
  </w:style>
  <w:style w:type="character" w:customStyle="1" w:styleId="CS-Italic">
    <w:name w:val="CS - Italic"/>
    <w:rsid w:val="00AD5F49"/>
    <w:rPr>
      <w:i/>
      <w:color w:val="FF99CC"/>
    </w:rPr>
  </w:style>
  <w:style w:type="character" w:customStyle="1" w:styleId="CS-Keyword">
    <w:name w:val="CS - Keyword"/>
    <w:rsid w:val="00AD5F49"/>
    <w:rPr>
      <w:b/>
    </w:rPr>
  </w:style>
  <w:style w:type="character" w:customStyle="1" w:styleId="CS-Screentext">
    <w:name w:val="CS - Screentext"/>
    <w:rsid w:val="00AD5F49"/>
    <w:rPr>
      <w:b/>
      <w:color w:val="008000"/>
    </w:rPr>
  </w:style>
  <w:style w:type="character" w:customStyle="1" w:styleId="CS-Subscript">
    <w:name w:val="CS - Subscript"/>
    <w:basedOn w:val="DefaultParagraphFont"/>
    <w:rsid w:val="00AD5F49"/>
    <w:rPr>
      <w:i w:val="0"/>
      <w:vertAlign w:val="subscript"/>
    </w:rPr>
  </w:style>
  <w:style w:type="character" w:customStyle="1" w:styleId="CS-SubscriptBold">
    <w:name w:val="CS - SubscriptBold"/>
    <w:basedOn w:val="DefaultParagraphFont"/>
    <w:rsid w:val="00AD5F49"/>
    <w:rPr>
      <w:b/>
      <w:vertAlign w:val="subscript"/>
    </w:rPr>
  </w:style>
  <w:style w:type="character" w:customStyle="1" w:styleId="CS-SubscriptBoldItalic">
    <w:name w:val="CS - SubscriptBoldItalic"/>
    <w:basedOn w:val="DefaultParagraphFont"/>
    <w:rsid w:val="00AD5F49"/>
    <w:rPr>
      <w:b/>
      <w:i/>
      <w:vertAlign w:val="subscript"/>
    </w:rPr>
  </w:style>
  <w:style w:type="character" w:customStyle="1" w:styleId="CS-SubscriptItalic">
    <w:name w:val="CS - SubscriptItalic"/>
    <w:basedOn w:val="DefaultParagraphFont"/>
    <w:rsid w:val="00AD5F49"/>
    <w:rPr>
      <w:i/>
      <w:vertAlign w:val="subscript"/>
    </w:rPr>
  </w:style>
  <w:style w:type="character" w:customStyle="1" w:styleId="CS-Superscript">
    <w:name w:val="CS - Superscript"/>
    <w:basedOn w:val="DefaultParagraphFont"/>
    <w:rsid w:val="00AD5F49"/>
    <w:rPr>
      <w:vertAlign w:val="superscript"/>
    </w:rPr>
  </w:style>
  <w:style w:type="character" w:customStyle="1" w:styleId="CS-SuperscriptBold">
    <w:name w:val="CS - SuperscriptBold"/>
    <w:basedOn w:val="DefaultParagraphFont"/>
    <w:rsid w:val="00AD5F49"/>
    <w:rPr>
      <w:b/>
      <w:vertAlign w:val="superscript"/>
    </w:rPr>
  </w:style>
  <w:style w:type="character" w:customStyle="1" w:styleId="CS-SuperscriptBoldItalic">
    <w:name w:val="CS - SuperscriptBoldItalic"/>
    <w:basedOn w:val="DefaultParagraphFont"/>
    <w:rsid w:val="00AD5F49"/>
    <w:rPr>
      <w:b/>
      <w:i/>
      <w:vertAlign w:val="superscript"/>
    </w:rPr>
  </w:style>
  <w:style w:type="character" w:customStyle="1" w:styleId="CS-SuperscriptItalic">
    <w:name w:val="CS - SuperscriptItalic"/>
    <w:basedOn w:val="DefaultParagraphFont"/>
    <w:rsid w:val="00AD5F49"/>
    <w:rPr>
      <w:i/>
      <w:vertAlign w:val="superscript"/>
    </w:rPr>
  </w:style>
  <w:style w:type="character" w:customStyle="1" w:styleId="CS-URL">
    <w:name w:val="CS - URL"/>
    <w:rsid w:val="00AD5F49"/>
    <w:rPr>
      <w:rFonts w:ascii="Consolas" w:hAnsi="Consolas"/>
      <w:color w:val="0000FF"/>
      <w:sz w:val="19"/>
      <w:szCs w:val="18"/>
    </w:rPr>
  </w:style>
  <w:style w:type="paragraph" w:customStyle="1" w:styleId="F0-Figure">
    <w:name w:val="F0 - Figure"/>
    <w:basedOn w:val="P0-Paragraph"/>
    <w:next w:val="Normal"/>
    <w:rsid w:val="00AD5F49"/>
    <w:pPr>
      <w:spacing w:after="126"/>
      <w:contextualSpacing/>
      <w:jc w:val="center"/>
    </w:pPr>
    <w:rPr>
      <w:rFonts w:ascii="Source Sans 3" w:hAnsi="Source Sans 3" w:cs="Tahoma"/>
      <w:i/>
      <w:sz w:val="18"/>
      <w:szCs w:val="16"/>
      <w:lang w:val="en-GB"/>
    </w:rPr>
  </w:style>
  <w:style w:type="paragraph" w:customStyle="1" w:styleId="F0-FigureCaption">
    <w:name w:val="F0 - FigureCaption"/>
    <w:basedOn w:val="F0-Figure"/>
    <w:qFormat/>
    <w:rsid w:val="00AD5F49"/>
    <w:pPr>
      <w:ind w:left="630" w:right="630"/>
    </w:pPr>
  </w:style>
  <w:style w:type="paragraph" w:customStyle="1" w:styleId="F1-Figure">
    <w:name w:val="F1 - Figure"/>
    <w:basedOn w:val="F0-Figure"/>
    <w:next w:val="F0-FigureCaption"/>
    <w:qFormat/>
    <w:rsid w:val="00AD5F49"/>
    <w:pPr>
      <w:ind w:left="630"/>
    </w:pPr>
  </w:style>
  <w:style w:type="paragraph" w:customStyle="1" w:styleId="F1-FigureCaption">
    <w:name w:val="F1 - FigureCaption"/>
    <w:basedOn w:val="F0-FigureCaption"/>
    <w:rsid w:val="00AD5F49"/>
    <w:pPr>
      <w:ind w:left="1260"/>
    </w:pPr>
  </w:style>
  <w:style w:type="paragraph" w:customStyle="1" w:styleId="F2-Figure">
    <w:name w:val="F2 - Figure"/>
    <w:basedOn w:val="F0-Figure"/>
    <w:rsid w:val="00AD5F49"/>
    <w:pPr>
      <w:ind w:left="1260"/>
    </w:pPr>
  </w:style>
  <w:style w:type="paragraph" w:customStyle="1" w:styleId="F2-FigureCaption">
    <w:name w:val="F2 - FigureCaption"/>
    <w:basedOn w:val="F0-FigureCaption"/>
    <w:rsid w:val="00AD5F49"/>
    <w:pPr>
      <w:ind w:left="1890"/>
    </w:pPr>
  </w:style>
  <w:style w:type="paragraph" w:customStyle="1" w:styleId="FM-Acknowledgement">
    <w:name w:val="FM - Acknowledgement"/>
    <w:basedOn w:val="Normal"/>
    <w:rsid w:val="00AD5F49"/>
    <w:pPr>
      <w:spacing w:after="240" w:line="240" w:lineRule="auto"/>
    </w:pPr>
    <w:rPr>
      <w:rFonts w:ascii="Calibri" w:eastAsia="Times New Roman" w:hAnsi="Calibri" w:cs="Times New Roman"/>
      <w:i/>
      <w:kern w:val="0"/>
      <w:sz w:val="22"/>
      <w14:ligatures w14:val="none"/>
    </w:rPr>
  </w:style>
  <w:style w:type="paragraph" w:customStyle="1" w:styleId="FM-BookTitle">
    <w:name w:val="FM - BookTitle"/>
    <w:basedOn w:val="Normal"/>
    <w:rsid w:val="00AD5F49"/>
    <w:pPr>
      <w:keepNext/>
      <w:spacing w:before="240" w:after="60" w:line="240" w:lineRule="auto"/>
    </w:pPr>
    <w:rPr>
      <w:rFonts w:ascii="Calibri" w:eastAsia="Times New Roman" w:hAnsi="Calibri" w:cs="Times New Roman"/>
      <w:kern w:val="0"/>
      <w:sz w:val="56"/>
      <w14:ligatures w14:val="none"/>
    </w:rPr>
  </w:style>
  <w:style w:type="paragraph" w:customStyle="1" w:styleId="FM-AuthorName">
    <w:name w:val="FM - AuthorName"/>
    <w:basedOn w:val="FM-BookTitle"/>
    <w:rsid w:val="00AD5F49"/>
    <w:rPr>
      <w:b/>
      <w:sz w:val="28"/>
    </w:rPr>
  </w:style>
  <w:style w:type="character" w:customStyle="1" w:styleId="FM-AuthorNameinBio">
    <w:name w:val="FM - AuthorNameinBio"/>
    <w:uiPriority w:val="1"/>
    <w:rsid w:val="00AD5F49"/>
    <w:rPr>
      <w:b/>
      <w:color w:val="FF0000"/>
      <w:sz w:val="24"/>
    </w:rPr>
  </w:style>
  <w:style w:type="paragraph" w:customStyle="1" w:styleId="FM-BookEdition">
    <w:name w:val="FM - BookEdition"/>
    <w:basedOn w:val="FM-BookTitle"/>
    <w:rsid w:val="00AD5F49"/>
    <w:rPr>
      <w:sz w:val="28"/>
    </w:rPr>
  </w:style>
  <w:style w:type="paragraph" w:customStyle="1" w:styleId="FM-CopyrightPageBookEdition">
    <w:name w:val="FM - CopyrightPageBookEdition"/>
    <w:basedOn w:val="FM-BookTitle"/>
    <w:rsid w:val="00AD5F49"/>
    <w:pPr>
      <w:spacing w:before="0"/>
    </w:pPr>
    <w:rPr>
      <w:sz w:val="26"/>
    </w:rPr>
  </w:style>
  <w:style w:type="paragraph" w:customStyle="1" w:styleId="FM-CopyrightPageBookTitle">
    <w:name w:val="FM - CopyrightPageBookTitle"/>
    <w:basedOn w:val="FM-BookTitle"/>
    <w:rsid w:val="00AD5F49"/>
    <w:rPr>
      <w:sz w:val="32"/>
    </w:rPr>
  </w:style>
  <w:style w:type="paragraph" w:customStyle="1" w:styleId="FM-CopyrightPageText">
    <w:name w:val="FM - CopyrightPageText"/>
    <w:basedOn w:val="Normal"/>
    <w:rsid w:val="00AD5F49"/>
    <w:pPr>
      <w:spacing w:after="40" w:line="240" w:lineRule="auto"/>
    </w:pPr>
    <w:rPr>
      <w:rFonts w:ascii="Calibri" w:eastAsia="Times New Roman" w:hAnsi="Calibri" w:cs="Times New Roman"/>
      <w:kern w:val="0"/>
      <w:sz w:val="20"/>
      <w14:ligatures w14:val="none"/>
    </w:rPr>
  </w:style>
  <w:style w:type="paragraph" w:customStyle="1" w:styleId="FM-CopyrightText">
    <w:name w:val="FM - CopyrightText"/>
    <w:basedOn w:val="FM-CopyrightPageText"/>
    <w:rsid w:val="00AD5F49"/>
    <w:pPr>
      <w:spacing w:after="80"/>
    </w:pPr>
  </w:style>
  <w:style w:type="paragraph" w:customStyle="1" w:styleId="FM-Subtitle">
    <w:name w:val="FM - Subtitle"/>
    <w:basedOn w:val="FM-BookTitle"/>
    <w:rsid w:val="00AD5F49"/>
    <w:rPr>
      <w:sz w:val="32"/>
    </w:rPr>
  </w:style>
  <w:style w:type="paragraph" w:customStyle="1" w:styleId="FM-TitlePageLogo">
    <w:name w:val="FM - TitlePageLogo"/>
    <w:basedOn w:val="FM-BookTitle"/>
    <w:rsid w:val="00AD5F49"/>
    <w:rPr>
      <w:noProof/>
      <w:sz w:val="22"/>
    </w:rPr>
  </w:style>
  <w:style w:type="paragraph" w:customStyle="1" w:styleId="FM-TitlePageLogoFooter">
    <w:name w:val="FM - TitlePageLogoFooter"/>
    <w:basedOn w:val="FM-BookTitle"/>
    <w:rsid w:val="00AD5F49"/>
    <w:rPr>
      <w:sz w:val="22"/>
    </w:rPr>
  </w:style>
  <w:style w:type="paragraph" w:customStyle="1" w:styleId="hljs">
    <w:name w:val="hljs"/>
    <w:basedOn w:val="Normal"/>
    <w:uiPriority w:val="1"/>
    <w:unhideWhenUsed/>
    <w:rsid w:val="00AD5F49"/>
    <w:pPr>
      <w:pBdr>
        <w:top w:val="single" w:sz="4" w:space="4" w:color="FFFFFF" w:themeColor="background1"/>
        <w:left w:val="single" w:sz="4" w:space="14" w:color="FFFFFF" w:themeColor="background1"/>
        <w:bottom w:val="single" w:sz="4" w:space="4" w:color="FFFFFF" w:themeColor="background1"/>
        <w:right w:val="single" w:sz="4" w:space="14" w:color="FFFFFF" w:themeColor="background1"/>
      </w:pBdr>
      <w:shd w:val="clear" w:color="auto" w:fill="FAFAFA"/>
      <w:spacing w:before="100" w:beforeAutospacing="1" w:after="100" w:afterAutospacing="1"/>
      <w:ind w:left="270" w:right="270"/>
      <w:contextualSpacing/>
    </w:pPr>
    <w:rPr>
      <w:rFonts w:ascii="Times New Roman" w:eastAsiaTheme="minorEastAsia" w:hAnsi="Times New Roman" w:cs="Times New Roman"/>
      <w:color w:val="383A42"/>
      <w:kern w:val="0"/>
      <w:sz w:val="19"/>
      <w:szCs w:val="18"/>
      <w:lang w:eastAsia="ar-SA"/>
      <w14:ligatures w14:val="none"/>
    </w:rPr>
  </w:style>
  <w:style w:type="character" w:customStyle="1" w:styleId="hljs-addition">
    <w:name w:val="hljs-addition"/>
    <w:basedOn w:val="DefaultParagraphFont"/>
    <w:uiPriority w:val="1"/>
    <w:unhideWhenUsed/>
    <w:rsid w:val="00AD5F49"/>
    <w:rPr>
      <w:color w:val="50A14F"/>
    </w:rPr>
  </w:style>
  <w:style w:type="character" w:customStyle="1" w:styleId="hljs-addition-slc">
    <w:name w:val="hljs-addition-slc"/>
    <w:basedOn w:val="hljs-addition"/>
    <w:uiPriority w:val="1"/>
    <w:unhideWhenUsed/>
    <w:rsid w:val="00AD5F49"/>
    <w:rPr>
      <w:b/>
      <w:bCs/>
      <w:color w:val="50A14F"/>
      <w:sz w:val="20"/>
      <w:shd w:val="clear" w:color="auto" w:fill="D4D4D4"/>
    </w:rPr>
  </w:style>
  <w:style w:type="character" w:customStyle="1" w:styleId="hljs-attr">
    <w:name w:val="hljs-attr"/>
    <w:basedOn w:val="DefaultParagraphFont"/>
    <w:uiPriority w:val="1"/>
    <w:unhideWhenUsed/>
    <w:rsid w:val="00AD5F49"/>
    <w:rPr>
      <w:color w:val="986801"/>
    </w:rPr>
  </w:style>
  <w:style w:type="character" w:customStyle="1" w:styleId="hljs-attribute">
    <w:name w:val="hljs-attribute"/>
    <w:basedOn w:val="DefaultParagraphFont"/>
    <w:uiPriority w:val="1"/>
    <w:unhideWhenUsed/>
    <w:rsid w:val="00AD5F49"/>
    <w:rPr>
      <w:color w:val="50A14F"/>
    </w:rPr>
  </w:style>
  <w:style w:type="character" w:customStyle="1" w:styleId="hljs-attribute-slc">
    <w:name w:val="hljs-attribute-slc"/>
    <w:basedOn w:val="hljs-attribute"/>
    <w:uiPriority w:val="1"/>
    <w:unhideWhenUsed/>
    <w:rsid w:val="00AD5F49"/>
    <w:rPr>
      <w:b/>
      <w:bCs/>
      <w:color w:val="50A14F"/>
      <w:sz w:val="20"/>
      <w:shd w:val="clear" w:color="auto" w:fill="D4D4D4"/>
    </w:rPr>
  </w:style>
  <w:style w:type="character" w:customStyle="1" w:styleId="hljs-attr-slc">
    <w:name w:val="hljs-attr-slc"/>
    <w:basedOn w:val="hljs-attr"/>
    <w:uiPriority w:val="1"/>
    <w:unhideWhenUsed/>
    <w:rsid w:val="00AD5F49"/>
    <w:rPr>
      <w:b/>
      <w:bCs/>
      <w:color w:val="986801"/>
      <w:sz w:val="20"/>
      <w:shd w:val="clear" w:color="auto" w:fill="D4D4D4"/>
    </w:rPr>
  </w:style>
  <w:style w:type="character" w:customStyle="1" w:styleId="hljs-builtin">
    <w:name w:val="hljs-built_in"/>
    <w:basedOn w:val="DefaultParagraphFont"/>
    <w:unhideWhenUsed/>
    <w:rsid w:val="00AD5F49"/>
    <w:rPr>
      <w:color w:val="C18401"/>
    </w:rPr>
  </w:style>
  <w:style w:type="character" w:customStyle="1" w:styleId="hljs-builtin-slc">
    <w:name w:val="hljs-built_in-slc"/>
    <w:basedOn w:val="hljs-builtin"/>
    <w:uiPriority w:val="1"/>
    <w:unhideWhenUsed/>
    <w:rsid w:val="00AD5F49"/>
    <w:rPr>
      <w:b/>
      <w:bCs/>
      <w:color w:val="C18401"/>
      <w:sz w:val="20"/>
      <w:shd w:val="clear" w:color="auto" w:fill="D4D4D4"/>
    </w:rPr>
  </w:style>
  <w:style w:type="character" w:customStyle="1" w:styleId="hljs-builtin-name">
    <w:name w:val="hljs-builtin-name"/>
    <w:basedOn w:val="DefaultParagraphFont"/>
    <w:uiPriority w:val="1"/>
    <w:unhideWhenUsed/>
    <w:rsid w:val="00AD5F49"/>
  </w:style>
  <w:style w:type="character" w:customStyle="1" w:styleId="hljs-builtin-name-slc">
    <w:name w:val="hljs-builtin-name-slc"/>
    <w:basedOn w:val="hljs-builtin-name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bullet">
    <w:name w:val="hljs-bullet"/>
    <w:basedOn w:val="DefaultParagraphFont"/>
    <w:uiPriority w:val="1"/>
    <w:unhideWhenUsed/>
    <w:rsid w:val="00AD5F49"/>
    <w:rPr>
      <w:color w:val="4078F2"/>
    </w:rPr>
  </w:style>
  <w:style w:type="character" w:customStyle="1" w:styleId="hljs-bullet-slc">
    <w:name w:val="hljs-bullet-slc"/>
    <w:basedOn w:val="hljs-bullet"/>
    <w:uiPriority w:val="1"/>
    <w:unhideWhenUsed/>
    <w:rsid w:val="00AD5F49"/>
    <w:rPr>
      <w:b/>
      <w:bCs/>
      <w:color w:val="4078F2"/>
      <w:sz w:val="20"/>
      <w:shd w:val="clear" w:color="auto" w:fill="D4D4D4"/>
    </w:rPr>
  </w:style>
  <w:style w:type="character" w:customStyle="1" w:styleId="hljs-class">
    <w:name w:val="hljs-class"/>
    <w:basedOn w:val="DefaultParagraphFont"/>
    <w:uiPriority w:val="1"/>
    <w:unhideWhenUsed/>
    <w:rsid w:val="00AD5F49"/>
  </w:style>
  <w:style w:type="character" w:customStyle="1" w:styleId="hljs-class-slc">
    <w:name w:val="hljs-class-slc"/>
    <w:basedOn w:val="hljs-class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code">
    <w:name w:val="hljs-code"/>
    <w:basedOn w:val="DefaultParagraphFont"/>
    <w:uiPriority w:val="1"/>
    <w:unhideWhenUsed/>
    <w:rsid w:val="00AD5F49"/>
  </w:style>
  <w:style w:type="character" w:customStyle="1" w:styleId="hljs-code-slc">
    <w:name w:val="hljs-code-slc"/>
    <w:basedOn w:val="hljs-code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comment">
    <w:name w:val="hljs-comment"/>
    <w:basedOn w:val="DefaultParagraphFont"/>
    <w:uiPriority w:val="1"/>
    <w:unhideWhenUsed/>
    <w:rsid w:val="00AD5F49"/>
    <w:rPr>
      <w:i/>
      <w:iCs/>
      <w:color w:val="A0A1A7"/>
    </w:rPr>
  </w:style>
  <w:style w:type="character" w:customStyle="1" w:styleId="hljs-comment-slc">
    <w:name w:val="hljs-comment-slc"/>
    <w:basedOn w:val="hljs-comment"/>
    <w:uiPriority w:val="1"/>
    <w:unhideWhenUsed/>
    <w:rsid w:val="00AD5F49"/>
    <w:rPr>
      <w:b/>
      <w:bCs/>
      <w:i/>
      <w:iCs/>
      <w:color w:val="A0A1A7"/>
      <w:sz w:val="20"/>
      <w:shd w:val="clear" w:color="auto" w:fill="D4D4D4"/>
    </w:rPr>
  </w:style>
  <w:style w:type="paragraph" w:customStyle="1" w:styleId="hljs-con">
    <w:name w:val="hljs-con"/>
    <w:basedOn w:val="Normal"/>
    <w:uiPriority w:val="1"/>
    <w:unhideWhenUsed/>
    <w:rsid w:val="00AD5F49"/>
    <w:pPr>
      <w:shd w:val="clear" w:color="auto" w:fill="282A36"/>
      <w:spacing w:before="100" w:beforeAutospacing="1" w:after="100" w:afterAutospacing="1"/>
    </w:pPr>
    <w:rPr>
      <w:rFonts w:ascii="Times New Roman" w:eastAsiaTheme="minorEastAsia" w:hAnsi="Times New Roman"/>
      <w:color w:val="F8F8F2"/>
      <w:kern w:val="0"/>
      <w:lang w:val="en-IN" w:eastAsia="en-IN"/>
      <w14:ligatures w14:val="none"/>
    </w:rPr>
  </w:style>
  <w:style w:type="character" w:customStyle="1" w:styleId="hljs-con-addition">
    <w:name w:val="hljs-con-addition"/>
    <w:basedOn w:val="DefaultParagraphFont"/>
    <w:uiPriority w:val="1"/>
    <w:unhideWhenUsed/>
    <w:rsid w:val="00AD5F49"/>
    <w:rPr>
      <w:color w:val="F1FA8C"/>
    </w:rPr>
  </w:style>
  <w:style w:type="character" w:customStyle="1" w:styleId="hljs-con-addition-slc">
    <w:name w:val="hljs-con-addition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con-attr">
    <w:name w:val="hljs-con-attr"/>
    <w:basedOn w:val="DefaultParagraphFont"/>
    <w:uiPriority w:val="1"/>
    <w:unhideWhenUsed/>
    <w:rsid w:val="00AD5F49"/>
    <w:rPr>
      <w:color w:val="F1FA8C"/>
    </w:rPr>
  </w:style>
  <w:style w:type="character" w:customStyle="1" w:styleId="hljs-con-attribute">
    <w:name w:val="hljs-con-attribute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eading1Char">
    <w:name w:val="Heading 1 Char"/>
    <w:basedOn w:val="DefaultParagraphFont"/>
    <w:link w:val="Heading1"/>
    <w:uiPriority w:val="9"/>
    <w:rsid w:val="00AD5F49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D5F4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D5F49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AD5F49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AD5F49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AD5F49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ljs-con-attribute-slc">
    <w:name w:val="hljs-con-attribute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attr-slc">
    <w:name w:val="hljs-con-attr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con-builtin">
    <w:name w:val="hljs-con-built_in"/>
    <w:basedOn w:val="DefaultParagraphFont"/>
    <w:uiPriority w:val="1"/>
    <w:unhideWhenUsed/>
    <w:rsid w:val="00AD5F49"/>
    <w:rPr>
      <w:color w:val="8BE9FD"/>
    </w:rPr>
  </w:style>
  <w:style w:type="character" w:customStyle="1" w:styleId="hljs-con-builtin-slc">
    <w:name w:val="hljs-con-built_in-slc"/>
    <w:basedOn w:val="DefaultParagraphFont"/>
    <w:uiPriority w:val="1"/>
    <w:unhideWhenUsed/>
    <w:rsid w:val="00AD5F49"/>
    <w:rPr>
      <w:b/>
      <w:bCs/>
      <w:color w:val="8BE9FD"/>
      <w:shd w:val="clear" w:color="auto" w:fill="44475A"/>
    </w:rPr>
  </w:style>
  <w:style w:type="character" w:customStyle="1" w:styleId="hljs-con-builtin-name">
    <w:name w:val="hljs-con-builtin-name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builtin-name-slc">
    <w:name w:val="hljs-con-builtin-name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bullet">
    <w:name w:val="hljs-con-bullet"/>
    <w:basedOn w:val="DefaultParagraphFont"/>
    <w:uiPriority w:val="1"/>
    <w:unhideWhenUsed/>
    <w:rsid w:val="00AD5F49"/>
    <w:rPr>
      <w:color w:val="F1FA8C"/>
    </w:rPr>
  </w:style>
  <w:style w:type="character" w:customStyle="1" w:styleId="hljs-con-bullet-slc">
    <w:name w:val="hljs-con-bullet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con-class">
    <w:name w:val="hljs-con-class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class-slc">
    <w:name w:val="hljs-con-class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code">
    <w:name w:val="hljs-con-code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code-slc">
    <w:name w:val="hljs-con-code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comment">
    <w:name w:val="hljs-con-comment"/>
    <w:basedOn w:val="DefaultParagraphFont"/>
    <w:uiPriority w:val="1"/>
    <w:unhideWhenUsed/>
    <w:rsid w:val="00AD5F49"/>
    <w:rPr>
      <w:color w:val="6272A4"/>
    </w:rPr>
  </w:style>
  <w:style w:type="character" w:customStyle="1" w:styleId="hljs-con-comment-slc">
    <w:name w:val="hljs-con-comment-slc"/>
    <w:basedOn w:val="DefaultParagraphFont"/>
    <w:uiPriority w:val="1"/>
    <w:unhideWhenUsed/>
    <w:rsid w:val="00AD5F49"/>
    <w:rPr>
      <w:b/>
      <w:bCs/>
      <w:color w:val="6272A4"/>
      <w:shd w:val="clear" w:color="auto" w:fill="44475A"/>
    </w:rPr>
  </w:style>
  <w:style w:type="character" w:customStyle="1" w:styleId="hljs-con-constructor">
    <w:name w:val="hljs-con-constructor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constructor-slc">
    <w:name w:val="hljs-con-constructor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deletion">
    <w:name w:val="hljs-con-deletion"/>
    <w:basedOn w:val="DefaultParagraphFont"/>
    <w:uiPriority w:val="1"/>
    <w:unhideWhenUsed/>
    <w:rsid w:val="00AD5F49"/>
    <w:rPr>
      <w:color w:val="6272A4"/>
    </w:rPr>
  </w:style>
  <w:style w:type="character" w:customStyle="1" w:styleId="hljs-con-deletion-slc">
    <w:name w:val="hljs-con-deletion-slc"/>
    <w:basedOn w:val="DefaultParagraphFont"/>
    <w:uiPriority w:val="1"/>
    <w:unhideWhenUsed/>
    <w:rsid w:val="00AD5F49"/>
    <w:rPr>
      <w:b/>
      <w:bCs/>
      <w:color w:val="6272A4"/>
      <w:shd w:val="clear" w:color="auto" w:fill="44475A"/>
    </w:rPr>
  </w:style>
  <w:style w:type="character" w:customStyle="1" w:styleId="hljs-con-doctag">
    <w:name w:val="hljs-con-doctag"/>
    <w:basedOn w:val="DefaultParagraphFont"/>
    <w:uiPriority w:val="1"/>
    <w:unhideWhenUsed/>
    <w:rsid w:val="00AD5F49"/>
    <w:rPr>
      <w:b/>
      <w:bCs/>
    </w:rPr>
  </w:style>
  <w:style w:type="character" w:customStyle="1" w:styleId="hljs-con-doctag-slc">
    <w:name w:val="hljs-con-doctag-slc"/>
    <w:basedOn w:val="DefaultParagraphFont"/>
    <w:uiPriority w:val="1"/>
    <w:unhideWhenUsed/>
    <w:rsid w:val="00AD5F49"/>
    <w:rPr>
      <w:b/>
      <w:bCs/>
      <w:shd w:val="clear" w:color="auto" w:fill="44475A"/>
    </w:rPr>
  </w:style>
  <w:style w:type="character" w:customStyle="1" w:styleId="hljs-con-emphasis">
    <w:name w:val="hljs-con-emphasis"/>
    <w:basedOn w:val="DefaultParagraphFont"/>
    <w:uiPriority w:val="1"/>
    <w:unhideWhenUsed/>
    <w:rsid w:val="00AD5F49"/>
    <w:rPr>
      <w:i/>
      <w:iCs/>
    </w:rPr>
  </w:style>
  <w:style w:type="character" w:customStyle="1" w:styleId="hljs-con-emphasis-slc">
    <w:name w:val="hljs-con-emphasis-slc"/>
    <w:basedOn w:val="DefaultParagraphFont"/>
    <w:uiPriority w:val="1"/>
    <w:unhideWhenUsed/>
    <w:rsid w:val="00AD5F49"/>
    <w:rPr>
      <w:b/>
      <w:bCs/>
      <w:i/>
      <w:iCs/>
      <w:shd w:val="clear" w:color="auto" w:fill="44475A"/>
    </w:rPr>
  </w:style>
  <w:style w:type="character" w:customStyle="1" w:styleId="hljs-con-formula">
    <w:name w:val="hljs-con-formula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formula-slc">
    <w:name w:val="hljs-con-formula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function">
    <w:name w:val="hljs-con-function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function-slc">
    <w:name w:val="hljs-con-function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keyword">
    <w:name w:val="hljs-con-keyword"/>
    <w:basedOn w:val="DefaultParagraphFont"/>
    <w:uiPriority w:val="1"/>
    <w:unhideWhenUsed/>
    <w:rsid w:val="00AD5F49"/>
    <w:rPr>
      <w:b/>
      <w:bCs/>
      <w:color w:val="FF79C6"/>
    </w:rPr>
  </w:style>
  <w:style w:type="character" w:customStyle="1" w:styleId="hljs-con-keyword-slc">
    <w:name w:val="hljs-con-keyword-slc"/>
    <w:basedOn w:val="DefaultParagraphFont"/>
    <w:uiPriority w:val="1"/>
    <w:unhideWhenUsed/>
    <w:rsid w:val="00AD5F49"/>
    <w:rPr>
      <w:b/>
      <w:bCs/>
      <w:color w:val="FF79C6"/>
      <w:shd w:val="clear" w:color="auto" w:fill="44475A"/>
    </w:rPr>
  </w:style>
  <w:style w:type="character" w:customStyle="1" w:styleId="hljs-con-link">
    <w:name w:val="hljs-con-link"/>
    <w:basedOn w:val="DefaultParagraphFont"/>
    <w:uiPriority w:val="1"/>
    <w:unhideWhenUsed/>
    <w:rsid w:val="00AD5F49"/>
    <w:rPr>
      <w:color w:val="8BE9FD"/>
    </w:rPr>
  </w:style>
  <w:style w:type="character" w:customStyle="1" w:styleId="hljs-con-link-slc">
    <w:name w:val="hljs-con-link-slc"/>
    <w:basedOn w:val="DefaultParagraphFont"/>
    <w:uiPriority w:val="1"/>
    <w:unhideWhenUsed/>
    <w:rsid w:val="00AD5F49"/>
    <w:rPr>
      <w:b/>
      <w:bCs/>
      <w:color w:val="8BE9FD"/>
      <w:shd w:val="clear" w:color="auto" w:fill="44475A"/>
    </w:rPr>
  </w:style>
  <w:style w:type="character" w:customStyle="1" w:styleId="hljs-con-literal">
    <w:name w:val="hljs-con-literal"/>
    <w:basedOn w:val="DefaultParagraphFont"/>
    <w:uiPriority w:val="1"/>
    <w:unhideWhenUsed/>
    <w:rsid w:val="00AD5F49"/>
    <w:rPr>
      <w:b/>
      <w:bCs/>
      <w:color w:val="BD93F9"/>
    </w:rPr>
  </w:style>
  <w:style w:type="character" w:customStyle="1" w:styleId="hljs-con-literal-slc">
    <w:name w:val="hljs-con-literal-slc"/>
    <w:basedOn w:val="DefaultParagraphFont"/>
    <w:uiPriority w:val="1"/>
    <w:unhideWhenUsed/>
    <w:rsid w:val="00AD5F49"/>
    <w:rPr>
      <w:b/>
      <w:bCs/>
      <w:color w:val="BD93F9"/>
      <w:shd w:val="clear" w:color="auto" w:fill="44475A"/>
    </w:rPr>
  </w:style>
  <w:style w:type="character" w:customStyle="1" w:styleId="hljs-con-meta">
    <w:name w:val="hljs-con-meta"/>
    <w:basedOn w:val="DefaultParagraphFont"/>
    <w:uiPriority w:val="1"/>
    <w:unhideWhenUsed/>
    <w:rsid w:val="00AD5F49"/>
    <w:rPr>
      <w:b/>
      <w:color w:val="50FA7B"/>
    </w:rPr>
  </w:style>
  <w:style w:type="character" w:customStyle="1" w:styleId="hljs-con-meta-keyword">
    <w:name w:val="hljs-con-meta-keyword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meta-keyword-slc">
    <w:name w:val="hljs-con-meta-keyword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meta-slc">
    <w:name w:val="hljs-con-meta-slc"/>
    <w:basedOn w:val="DefaultParagraphFont"/>
    <w:uiPriority w:val="1"/>
    <w:unhideWhenUsed/>
    <w:rsid w:val="00AD5F49"/>
    <w:rPr>
      <w:b/>
      <w:bCs/>
      <w:color w:val="50FA7B"/>
      <w:shd w:val="clear" w:color="auto" w:fill="44475A"/>
    </w:rPr>
  </w:style>
  <w:style w:type="character" w:customStyle="1" w:styleId="hljs-con-meta-string">
    <w:name w:val="hljs-con-meta-string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meta-string-slc">
    <w:name w:val="hljs-con-meta-string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module">
    <w:name w:val="hljs-con-module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module-access">
    <w:name w:val="hljs-con-module-access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module-access-slc">
    <w:name w:val="hljs-con-module-access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module-slc">
    <w:name w:val="hljs-con-module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name">
    <w:name w:val="hljs-con-name"/>
    <w:basedOn w:val="DefaultParagraphFont"/>
    <w:uiPriority w:val="1"/>
    <w:unhideWhenUsed/>
    <w:rsid w:val="00AD5F49"/>
    <w:rPr>
      <w:b/>
      <w:bCs/>
      <w:color w:val="F1FA8C"/>
    </w:rPr>
  </w:style>
  <w:style w:type="character" w:customStyle="1" w:styleId="hljs-con-name-slc">
    <w:name w:val="hljs-con-name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con-number">
    <w:name w:val="hljs-con-number"/>
    <w:basedOn w:val="DefaultParagraphFont"/>
    <w:uiPriority w:val="1"/>
    <w:unhideWhenUsed/>
    <w:rsid w:val="00AD5F49"/>
    <w:rPr>
      <w:color w:val="BD93F9"/>
    </w:rPr>
  </w:style>
  <w:style w:type="character" w:customStyle="1" w:styleId="hljs-con-number-slc">
    <w:name w:val="hljs-con-number-slc"/>
    <w:basedOn w:val="DefaultParagraphFont"/>
    <w:uiPriority w:val="1"/>
    <w:unhideWhenUsed/>
    <w:rsid w:val="00AD5F49"/>
    <w:rPr>
      <w:b/>
      <w:bCs/>
      <w:color w:val="BD93F9"/>
      <w:shd w:val="clear" w:color="auto" w:fill="44475A"/>
    </w:rPr>
  </w:style>
  <w:style w:type="character" w:customStyle="1" w:styleId="hljs-con-operator">
    <w:name w:val="hljs-con-operator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operator-slc">
    <w:name w:val="hljs-con-operator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params">
    <w:name w:val="hljs-con-params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params-slc">
    <w:name w:val="hljs-con-params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pattern-match">
    <w:name w:val="hljs-con-pattern-match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pattern-match-slc">
    <w:name w:val="hljs-con-pattern-match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quote">
    <w:name w:val="hljs-con-quote"/>
    <w:basedOn w:val="DefaultParagraphFont"/>
    <w:uiPriority w:val="1"/>
    <w:unhideWhenUsed/>
    <w:rsid w:val="00AD5F49"/>
    <w:rPr>
      <w:color w:val="6272A4"/>
    </w:rPr>
  </w:style>
  <w:style w:type="character" w:customStyle="1" w:styleId="hljs-con-quote-slc">
    <w:name w:val="hljs-con-quote-slc"/>
    <w:basedOn w:val="DefaultParagraphFont"/>
    <w:uiPriority w:val="1"/>
    <w:unhideWhenUsed/>
    <w:rsid w:val="00AD5F49"/>
    <w:rPr>
      <w:b/>
      <w:bCs/>
      <w:color w:val="6272A4"/>
      <w:shd w:val="clear" w:color="auto" w:fill="44475A"/>
    </w:rPr>
  </w:style>
  <w:style w:type="character" w:customStyle="1" w:styleId="hljs-con-regexp">
    <w:name w:val="hljs-con-regexp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regexp-slc">
    <w:name w:val="hljs-con-regexp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section">
    <w:name w:val="hljs-con-section"/>
    <w:basedOn w:val="DefaultParagraphFont"/>
    <w:uiPriority w:val="1"/>
    <w:unhideWhenUsed/>
    <w:rsid w:val="00AD5F49"/>
    <w:rPr>
      <w:b/>
      <w:bCs/>
      <w:color w:val="8BE9FD"/>
    </w:rPr>
  </w:style>
  <w:style w:type="character" w:customStyle="1" w:styleId="hljs-con-section-slc">
    <w:name w:val="hljs-con-section-slc"/>
    <w:basedOn w:val="DefaultParagraphFont"/>
    <w:uiPriority w:val="1"/>
    <w:unhideWhenUsed/>
    <w:rsid w:val="00AD5F49"/>
    <w:rPr>
      <w:b/>
      <w:bCs/>
      <w:color w:val="8BE9FD"/>
      <w:shd w:val="clear" w:color="auto" w:fill="44475A"/>
    </w:rPr>
  </w:style>
  <w:style w:type="character" w:customStyle="1" w:styleId="hljs-con-selector-attr">
    <w:name w:val="hljs-con-selector-attr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selector-attr-slc">
    <w:name w:val="hljs-con-selector-attr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selector-class">
    <w:name w:val="hljs-con-selector-class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selector-class-slc">
    <w:name w:val="hljs-con-selector-class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selector-id">
    <w:name w:val="hljs-con-selector-id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selector-id-slc">
    <w:name w:val="hljs-con-selector-id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selector-pseudo">
    <w:name w:val="hljs-con-selector-pseudo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selector-pseudo-slc">
    <w:name w:val="hljs-con-selector-pseudo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selector-tag">
    <w:name w:val="hljs-con-selector-tag"/>
    <w:basedOn w:val="DefaultParagraphFont"/>
    <w:uiPriority w:val="1"/>
    <w:unhideWhenUsed/>
    <w:rsid w:val="00AD5F49"/>
    <w:rPr>
      <w:b/>
      <w:bCs/>
      <w:color w:val="8BE9FD"/>
    </w:rPr>
  </w:style>
  <w:style w:type="character" w:customStyle="1" w:styleId="hljs-con-selector-tag-slc">
    <w:name w:val="hljs-con-selector-tag-slc"/>
    <w:basedOn w:val="DefaultParagraphFont"/>
    <w:uiPriority w:val="1"/>
    <w:unhideWhenUsed/>
    <w:rsid w:val="00AD5F49"/>
    <w:rPr>
      <w:b/>
      <w:bCs/>
      <w:color w:val="8BE9FD"/>
      <w:shd w:val="clear" w:color="auto" w:fill="44475A"/>
    </w:rPr>
  </w:style>
  <w:style w:type="character" w:customStyle="1" w:styleId="hljs-con-slc">
    <w:name w:val="hljs-con-slc"/>
    <w:basedOn w:val="DefaultParagraphFont"/>
    <w:uiPriority w:val="1"/>
    <w:unhideWhenUsed/>
    <w:rsid w:val="00AD5F49"/>
    <w:rPr>
      <w:b/>
      <w:color w:val="F8F8F2"/>
      <w:bdr w:val="none" w:sz="0" w:space="0" w:color="auto"/>
      <w:shd w:val="clear" w:color="auto" w:fill="44475A"/>
    </w:rPr>
  </w:style>
  <w:style w:type="character" w:customStyle="1" w:styleId="hljs-con-string">
    <w:name w:val="hljs-con-string"/>
    <w:basedOn w:val="DefaultParagraphFont"/>
    <w:uiPriority w:val="1"/>
    <w:unhideWhenUsed/>
    <w:rsid w:val="00AD5F49"/>
    <w:rPr>
      <w:color w:val="F1FA8C"/>
    </w:rPr>
  </w:style>
  <w:style w:type="character" w:customStyle="1" w:styleId="hljs-con-string-slc">
    <w:name w:val="hljs-con-string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con-strong">
    <w:name w:val="hljs-con-strong"/>
    <w:basedOn w:val="DefaultParagraphFont"/>
    <w:uiPriority w:val="1"/>
    <w:unhideWhenUsed/>
    <w:rsid w:val="00AD5F49"/>
    <w:rPr>
      <w:b/>
      <w:bCs/>
    </w:rPr>
  </w:style>
  <w:style w:type="character" w:customStyle="1" w:styleId="hljs-con-strong-slc">
    <w:name w:val="hljs-con-strong-slc"/>
    <w:basedOn w:val="DefaultParagraphFont"/>
    <w:uiPriority w:val="1"/>
    <w:unhideWhenUsed/>
    <w:rsid w:val="00AD5F49"/>
    <w:rPr>
      <w:b/>
      <w:bCs/>
      <w:shd w:val="clear" w:color="auto" w:fill="44475A"/>
    </w:rPr>
  </w:style>
  <w:style w:type="character" w:customStyle="1" w:styleId="hljs-constructor">
    <w:name w:val="hljs-constructor"/>
    <w:basedOn w:val="DefaultParagraphFont"/>
    <w:uiPriority w:val="1"/>
    <w:unhideWhenUsed/>
    <w:rsid w:val="00AD5F49"/>
  </w:style>
  <w:style w:type="character" w:customStyle="1" w:styleId="hljs-constructor-slc">
    <w:name w:val="hljs-constructor-slc"/>
    <w:basedOn w:val="hljs-constructor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con-subst">
    <w:name w:val="hljs-con-subst"/>
    <w:basedOn w:val="DefaultParagraphFont"/>
    <w:uiPriority w:val="1"/>
    <w:unhideWhenUsed/>
    <w:rsid w:val="00AD5F49"/>
    <w:rPr>
      <w:color w:val="F8F8F2"/>
    </w:rPr>
  </w:style>
  <w:style w:type="character" w:customStyle="1" w:styleId="hljs-con-subst-slc">
    <w:name w:val="hljs-con-subst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symbol">
    <w:name w:val="hljs-con-symbol"/>
    <w:basedOn w:val="DefaultParagraphFont"/>
    <w:uiPriority w:val="1"/>
    <w:unhideWhenUsed/>
    <w:rsid w:val="00AD5F49"/>
    <w:rPr>
      <w:color w:val="F1FA8C"/>
    </w:rPr>
  </w:style>
  <w:style w:type="character" w:customStyle="1" w:styleId="hljs-con-symbol-slc">
    <w:name w:val="hljs-con-symbol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con-tag">
    <w:name w:val="hljs-con-tag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tag-slc">
    <w:name w:val="hljs-con-tag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template-tag">
    <w:name w:val="hljs-con-template-tag"/>
    <w:basedOn w:val="DefaultParagraphFont"/>
    <w:uiPriority w:val="1"/>
    <w:unhideWhenUsed/>
    <w:rsid w:val="00AD5F49"/>
    <w:rPr>
      <w:color w:val="F1FA8C"/>
    </w:rPr>
  </w:style>
  <w:style w:type="character" w:customStyle="1" w:styleId="hljs-con-template-tag-slc">
    <w:name w:val="hljs-con-template-tag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con-template-variable">
    <w:name w:val="hljs-con-template-variable"/>
    <w:basedOn w:val="DefaultParagraphFont"/>
    <w:uiPriority w:val="1"/>
    <w:unhideWhenUsed/>
    <w:rsid w:val="00AD5F49"/>
    <w:rPr>
      <w:color w:val="F1FA8C"/>
    </w:rPr>
  </w:style>
  <w:style w:type="character" w:customStyle="1" w:styleId="hljs-con-template-variable-slc">
    <w:name w:val="hljs-con-template-variable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con-title">
    <w:name w:val="hljs-con-title"/>
    <w:basedOn w:val="DefaultParagraphFont"/>
    <w:uiPriority w:val="1"/>
    <w:unhideWhenUsed/>
    <w:rsid w:val="00AD5F49"/>
    <w:rPr>
      <w:b/>
      <w:bCs/>
      <w:color w:val="50FA7B"/>
    </w:rPr>
  </w:style>
  <w:style w:type="character" w:customStyle="1" w:styleId="hljs-con-title-slc">
    <w:name w:val="hljs-con-title-slc"/>
    <w:basedOn w:val="DefaultParagraphFont"/>
    <w:uiPriority w:val="1"/>
    <w:unhideWhenUsed/>
    <w:rsid w:val="00AD5F49"/>
    <w:rPr>
      <w:b/>
      <w:bCs/>
      <w:color w:val="50FA7B"/>
      <w:shd w:val="clear" w:color="auto" w:fill="44475A"/>
    </w:rPr>
  </w:style>
  <w:style w:type="character" w:customStyle="1" w:styleId="hljs-con-type">
    <w:name w:val="hljs-con-type"/>
    <w:basedOn w:val="DefaultParagraphFont"/>
    <w:uiPriority w:val="1"/>
    <w:unhideWhenUsed/>
    <w:rsid w:val="00AD5F49"/>
    <w:rPr>
      <w:b/>
      <w:bCs/>
      <w:color w:val="F1FA8C"/>
    </w:rPr>
  </w:style>
  <w:style w:type="character" w:customStyle="1" w:styleId="hljs-con-type-slc">
    <w:name w:val="hljs-con-type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con-typing">
    <w:name w:val="hljs-con-typing"/>
    <w:basedOn w:val="DefaultParagraphFont"/>
    <w:uiPriority w:val="1"/>
    <w:unhideWhenUsed/>
    <w:rsid w:val="00AD5F49"/>
    <w:rPr>
      <w:color w:val="F8F8F2"/>
      <w:shd w:val="clear" w:color="auto" w:fill="282A36"/>
    </w:rPr>
  </w:style>
  <w:style w:type="character" w:customStyle="1" w:styleId="hljs-con-typing-slc">
    <w:name w:val="hljs-con-typing-slc"/>
    <w:basedOn w:val="DefaultParagraphFont"/>
    <w:uiPriority w:val="1"/>
    <w:unhideWhenUsed/>
    <w:rsid w:val="00AD5F49"/>
    <w:rPr>
      <w:b/>
      <w:bCs/>
      <w:color w:val="F8F8F2"/>
      <w:shd w:val="clear" w:color="auto" w:fill="44475A"/>
    </w:rPr>
  </w:style>
  <w:style w:type="character" w:customStyle="1" w:styleId="hljs-con-variable">
    <w:name w:val="hljs-con-variable"/>
    <w:basedOn w:val="DefaultParagraphFont"/>
    <w:uiPriority w:val="1"/>
    <w:unhideWhenUsed/>
    <w:rsid w:val="00AD5F49"/>
    <w:rPr>
      <w:color w:val="F1FA8C"/>
    </w:rPr>
  </w:style>
  <w:style w:type="character" w:customStyle="1" w:styleId="hljs-con-variable-slc">
    <w:name w:val="hljs-con-variable-slc"/>
    <w:basedOn w:val="DefaultParagraphFont"/>
    <w:uiPriority w:val="1"/>
    <w:unhideWhenUsed/>
    <w:rsid w:val="00AD5F49"/>
    <w:rPr>
      <w:b/>
      <w:bCs/>
      <w:color w:val="F1FA8C"/>
      <w:shd w:val="clear" w:color="auto" w:fill="44475A"/>
    </w:rPr>
  </w:style>
  <w:style w:type="character" w:customStyle="1" w:styleId="hljs-deletion">
    <w:name w:val="hljs-deletion"/>
    <w:basedOn w:val="DefaultParagraphFont"/>
    <w:uiPriority w:val="1"/>
    <w:unhideWhenUsed/>
    <w:rsid w:val="00AD5F49"/>
    <w:rPr>
      <w:color w:val="E45649"/>
    </w:rPr>
  </w:style>
  <w:style w:type="character" w:customStyle="1" w:styleId="hljs-deletion-slc">
    <w:name w:val="hljs-deletion-slc"/>
    <w:basedOn w:val="hljs-deletion"/>
    <w:uiPriority w:val="1"/>
    <w:unhideWhenUsed/>
    <w:rsid w:val="00AD5F49"/>
    <w:rPr>
      <w:b/>
      <w:bCs/>
      <w:color w:val="E45649"/>
      <w:sz w:val="20"/>
      <w:shd w:val="clear" w:color="auto" w:fill="D4D4D4"/>
    </w:rPr>
  </w:style>
  <w:style w:type="character" w:customStyle="1" w:styleId="hljs-doctag">
    <w:name w:val="hljs-doctag"/>
    <w:basedOn w:val="DefaultParagraphFont"/>
    <w:uiPriority w:val="1"/>
    <w:unhideWhenUsed/>
    <w:rsid w:val="00AD5F49"/>
    <w:rPr>
      <w:color w:val="A626A4"/>
    </w:rPr>
  </w:style>
  <w:style w:type="character" w:customStyle="1" w:styleId="hljs-doctag-slc">
    <w:name w:val="hljs-doctag-slc"/>
    <w:basedOn w:val="hljs-doctag"/>
    <w:uiPriority w:val="1"/>
    <w:unhideWhenUsed/>
    <w:rsid w:val="00AD5F49"/>
    <w:rPr>
      <w:b/>
      <w:bCs/>
      <w:color w:val="A626A4"/>
      <w:sz w:val="20"/>
      <w:shd w:val="clear" w:color="auto" w:fill="D4D4D4"/>
    </w:rPr>
  </w:style>
  <w:style w:type="character" w:customStyle="1" w:styleId="hljs-emphasis">
    <w:name w:val="hljs-emphasis"/>
    <w:basedOn w:val="DefaultParagraphFont"/>
    <w:uiPriority w:val="1"/>
    <w:unhideWhenUsed/>
    <w:rsid w:val="00AD5F49"/>
    <w:rPr>
      <w:i/>
      <w:iCs/>
    </w:rPr>
  </w:style>
  <w:style w:type="character" w:customStyle="1" w:styleId="hljs-emphasis-slc">
    <w:name w:val="hljs-emphasis-slc"/>
    <w:basedOn w:val="hljs-emphasis"/>
    <w:uiPriority w:val="1"/>
    <w:unhideWhenUsed/>
    <w:rsid w:val="00AD5F49"/>
    <w:rPr>
      <w:b/>
      <w:bCs/>
      <w:i/>
      <w:iCs/>
      <w:sz w:val="20"/>
      <w:shd w:val="clear" w:color="auto" w:fill="D4D4D4"/>
    </w:rPr>
  </w:style>
  <w:style w:type="character" w:customStyle="1" w:styleId="hljs-formula">
    <w:name w:val="hljs-formula"/>
    <w:basedOn w:val="DefaultParagraphFont"/>
    <w:uiPriority w:val="1"/>
    <w:unhideWhenUsed/>
    <w:rsid w:val="00AD5F49"/>
    <w:rPr>
      <w:color w:val="A626A4"/>
    </w:rPr>
  </w:style>
  <w:style w:type="character" w:customStyle="1" w:styleId="hljs-formula-slc">
    <w:name w:val="hljs-formula-slc"/>
    <w:basedOn w:val="hljs-formula"/>
    <w:uiPriority w:val="1"/>
    <w:unhideWhenUsed/>
    <w:rsid w:val="00AD5F49"/>
    <w:rPr>
      <w:b/>
      <w:bCs/>
      <w:color w:val="A626A4"/>
      <w:sz w:val="20"/>
      <w:shd w:val="clear" w:color="auto" w:fill="D4D4D4"/>
    </w:rPr>
  </w:style>
  <w:style w:type="character" w:customStyle="1" w:styleId="hljs-function">
    <w:name w:val="hljs-function"/>
    <w:basedOn w:val="DefaultParagraphFont"/>
    <w:uiPriority w:val="1"/>
    <w:unhideWhenUsed/>
    <w:rsid w:val="00AD5F49"/>
  </w:style>
  <w:style w:type="character" w:customStyle="1" w:styleId="hljs-function-slc">
    <w:name w:val="hljs-function-slc"/>
    <w:basedOn w:val="hljs-function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keyword">
    <w:name w:val="hljs-keyword"/>
    <w:basedOn w:val="DefaultParagraphFont"/>
    <w:uiPriority w:val="1"/>
    <w:unhideWhenUsed/>
    <w:rsid w:val="00AD5F49"/>
    <w:rPr>
      <w:color w:val="A626A4"/>
    </w:rPr>
  </w:style>
  <w:style w:type="character" w:customStyle="1" w:styleId="hljs-keyword-slc">
    <w:name w:val="hljs-keyword-slc"/>
    <w:basedOn w:val="hljs-keyword"/>
    <w:uiPriority w:val="1"/>
    <w:unhideWhenUsed/>
    <w:rsid w:val="00AD5F49"/>
    <w:rPr>
      <w:b/>
      <w:bCs/>
      <w:color w:val="A626A4"/>
      <w:sz w:val="20"/>
      <w:shd w:val="clear" w:color="auto" w:fill="D4D4D4"/>
    </w:rPr>
  </w:style>
  <w:style w:type="character" w:customStyle="1" w:styleId="hljs-link">
    <w:name w:val="hljs-link"/>
    <w:basedOn w:val="DefaultParagraphFont"/>
    <w:uiPriority w:val="1"/>
    <w:unhideWhenUsed/>
    <w:rsid w:val="00AD5F49"/>
    <w:rPr>
      <w:color w:val="4078F2"/>
      <w:u w:val="single"/>
    </w:rPr>
  </w:style>
  <w:style w:type="character" w:customStyle="1" w:styleId="hljs-link-slc">
    <w:name w:val="hljs-link-slc"/>
    <w:basedOn w:val="hljs-link"/>
    <w:uiPriority w:val="1"/>
    <w:unhideWhenUsed/>
    <w:rsid w:val="00AD5F49"/>
    <w:rPr>
      <w:b/>
      <w:bCs/>
      <w:color w:val="4078F2"/>
      <w:sz w:val="20"/>
      <w:u w:val="single"/>
      <w:shd w:val="clear" w:color="auto" w:fill="D4D4D4"/>
    </w:rPr>
  </w:style>
  <w:style w:type="character" w:customStyle="1" w:styleId="hljs-literal">
    <w:name w:val="hljs-literal"/>
    <w:basedOn w:val="DefaultParagraphFont"/>
    <w:uiPriority w:val="1"/>
    <w:unhideWhenUsed/>
    <w:rsid w:val="00AD5F49"/>
    <w:rPr>
      <w:color w:val="0184BB"/>
    </w:rPr>
  </w:style>
  <w:style w:type="character" w:customStyle="1" w:styleId="hljs-literal-slc">
    <w:name w:val="hljs-literal-slc"/>
    <w:basedOn w:val="hljs-literal"/>
    <w:uiPriority w:val="1"/>
    <w:unhideWhenUsed/>
    <w:rsid w:val="00AD5F49"/>
    <w:rPr>
      <w:b/>
      <w:bCs/>
      <w:color w:val="0184BB"/>
      <w:sz w:val="20"/>
      <w:shd w:val="clear" w:color="auto" w:fill="D4D4D4"/>
    </w:rPr>
  </w:style>
  <w:style w:type="character" w:customStyle="1" w:styleId="hljs-meta">
    <w:name w:val="hljs-meta"/>
    <w:basedOn w:val="DefaultParagraphFont"/>
    <w:uiPriority w:val="1"/>
    <w:unhideWhenUsed/>
    <w:rsid w:val="00AD5F49"/>
    <w:rPr>
      <w:color w:val="4078F2"/>
    </w:rPr>
  </w:style>
  <w:style w:type="character" w:customStyle="1" w:styleId="hljs-meta-keyword">
    <w:name w:val="hljs-meta-keyword"/>
    <w:basedOn w:val="DefaultParagraphFont"/>
    <w:uiPriority w:val="1"/>
    <w:unhideWhenUsed/>
    <w:rsid w:val="00AD5F49"/>
  </w:style>
  <w:style w:type="character" w:customStyle="1" w:styleId="hljs-meta-keyword-slc">
    <w:name w:val="hljs-meta-keyword-slc"/>
    <w:basedOn w:val="hljs-meta-keyword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meta-slc">
    <w:name w:val="hljs-meta-slc"/>
    <w:basedOn w:val="hljs-meta"/>
    <w:uiPriority w:val="1"/>
    <w:unhideWhenUsed/>
    <w:rsid w:val="00AD5F49"/>
    <w:rPr>
      <w:b/>
      <w:bCs/>
      <w:color w:val="4078F2"/>
      <w:sz w:val="20"/>
      <w:shd w:val="clear" w:color="auto" w:fill="D4D4D4"/>
    </w:rPr>
  </w:style>
  <w:style w:type="character" w:customStyle="1" w:styleId="hljs-meta-string">
    <w:name w:val="hljs-meta-string"/>
    <w:basedOn w:val="DefaultParagraphFont"/>
    <w:uiPriority w:val="1"/>
    <w:unhideWhenUsed/>
    <w:rsid w:val="00AD5F49"/>
    <w:rPr>
      <w:color w:val="50A14F"/>
    </w:rPr>
  </w:style>
  <w:style w:type="character" w:customStyle="1" w:styleId="hljs-meta-string-slc">
    <w:name w:val="hljs-meta-string-slc"/>
    <w:basedOn w:val="hljs-meta-string"/>
    <w:uiPriority w:val="1"/>
    <w:unhideWhenUsed/>
    <w:rsid w:val="00AD5F49"/>
    <w:rPr>
      <w:b/>
      <w:bCs/>
      <w:color w:val="50A14F"/>
      <w:sz w:val="20"/>
      <w:shd w:val="clear" w:color="auto" w:fill="D4D4D4"/>
    </w:rPr>
  </w:style>
  <w:style w:type="character" w:customStyle="1" w:styleId="hljs-module">
    <w:name w:val="hljs-module"/>
    <w:basedOn w:val="DefaultParagraphFont"/>
    <w:uiPriority w:val="1"/>
    <w:unhideWhenUsed/>
    <w:rsid w:val="00AD5F49"/>
  </w:style>
  <w:style w:type="character" w:customStyle="1" w:styleId="hljs-module-access">
    <w:name w:val="hljs-module-access"/>
    <w:basedOn w:val="DefaultParagraphFont"/>
    <w:uiPriority w:val="1"/>
    <w:unhideWhenUsed/>
    <w:rsid w:val="00AD5F49"/>
  </w:style>
  <w:style w:type="character" w:customStyle="1" w:styleId="hljs-module-access-slc">
    <w:name w:val="hljs-module-access-slc"/>
    <w:basedOn w:val="hljs-module-access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module-slc">
    <w:name w:val="hljs-module-slc"/>
    <w:basedOn w:val="hljs-module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name">
    <w:name w:val="hljs-name"/>
    <w:basedOn w:val="DefaultParagraphFont"/>
    <w:uiPriority w:val="1"/>
    <w:unhideWhenUsed/>
    <w:rsid w:val="00AD5F49"/>
    <w:rPr>
      <w:color w:val="E45649"/>
    </w:rPr>
  </w:style>
  <w:style w:type="character" w:customStyle="1" w:styleId="hljs-name-slc">
    <w:name w:val="hljs-name-slc"/>
    <w:basedOn w:val="hljs-name"/>
    <w:uiPriority w:val="1"/>
    <w:unhideWhenUsed/>
    <w:rsid w:val="00AD5F49"/>
    <w:rPr>
      <w:b/>
      <w:bCs/>
      <w:color w:val="E45649"/>
      <w:sz w:val="20"/>
      <w:shd w:val="clear" w:color="auto" w:fill="D4D4D4"/>
    </w:rPr>
  </w:style>
  <w:style w:type="character" w:customStyle="1" w:styleId="hljs-number">
    <w:name w:val="hljs-number"/>
    <w:basedOn w:val="DefaultParagraphFont"/>
    <w:unhideWhenUsed/>
    <w:rsid w:val="00AD5F49"/>
    <w:rPr>
      <w:color w:val="986801"/>
    </w:rPr>
  </w:style>
  <w:style w:type="character" w:customStyle="1" w:styleId="hljs-number-slc">
    <w:name w:val="hljs-number-slc"/>
    <w:basedOn w:val="hljs-number"/>
    <w:uiPriority w:val="1"/>
    <w:unhideWhenUsed/>
    <w:rsid w:val="00AD5F49"/>
    <w:rPr>
      <w:b/>
      <w:bCs/>
      <w:color w:val="986801"/>
      <w:sz w:val="20"/>
      <w:shd w:val="clear" w:color="auto" w:fill="D4D4D4"/>
    </w:rPr>
  </w:style>
  <w:style w:type="character" w:customStyle="1" w:styleId="hljs-operator">
    <w:name w:val="hljs-operator"/>
    <w:basedOn w:val="DefaultParagraphFont"/>
    <w:unhideWhenUsed/>
    <w:rsid w:val="00AD5F49"/>
  </w:style>
  <w:style w:type="character" w:customStyle="1" w:styleId="hljs-operator-slc">
    <w:name w:val="hljs-operator-slc"/>
    <w:basedOn w:val="hljs-operator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params">
    <w:name w:val="hljs-params"/>
    <w:basedOn w:val="DefaultParagraphFont"/>
    <w:uiPriority w:val="1"/>
    <w:unhideWhenUsed/>
    <w:rsid w:val="00AD5F49"/>
  </w:style>
  <w:style w:type="character" w:customStyle="1" w:styleId="hljs-params-slc">
    <w:name w:val="hljs-params-slc"/>
    <w:basedOn w:val="hljs-params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pattern-match">
    <w:name w:val="hljs-pattern-match"/>
    <w:basedOn w:val="DefaultParagraphFont"/>
    <w:uiPriority w:val="1"/>
    <w:unhideWhenUsed/>
    <w:rsid w:val="00AD5F49"/>
  </w:style>
  <w:style w:type="character" w:customStyle="1" w:styleId="hljs-pattern-match-slc">
    <w:name w:val="hljs-pattern-match-slc"/>
    <w:basedOn w:val="hljs-pattern-match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quote">
    <w:name w:val="hljs-quote"/>
    <w:basedOn w:val="DefaultParagraphFont"/>
    <w:uiPriority w:val="1"/>
    <w:unhideWhenUsed/>
    <w:rsid w:val="00AD5F49"/>
    <w:rPr>
      <w:i/>
      <w:iCs/>
      <w:color w:val="A0A1A7"/>
    </w:rPr>
  </w:style>
  <w:style w:type="character" w:customStyle="1" w:styleId="hljs-quote-slc">
    <w:name w:val="hljs-quote-slc"/>
    <w:basedOn w:val="hljs-quote"/>
    <w:uiPriority w:val="1"/>
    <w:unhideWhenUsed/>
    <w:rsid w:val="00AD5F49"/>
    <w:rPr>
      <w:b/>
      <w:bCs/>
      <w:i/>
      <w:iCs/>
      <w:color w:val="A0A1A7"/>
      <w:sz w:val="20"/>
      <w:shd w:val="clear" w:color="auto" w:fill="D4D4D4"/>
    </w:rPr>
  </w:style>
  <w:style w:type="character" w:customStyle="1" w:styleId="hljs-regexp">
    <w:name w:val="hljs-regexp"/>
    <w:basedOn w:val="DefaultParagraphFont"/>
    <w:uiPriority w:val="1"/>
    <w:unhideWhenUsed/>
    <w:rsid w:val="00AD5F49"/>
    <w:rPr>
      <w:color w:val="50A14F"/>
    </w:rPr>
  </w:style>
  <w:style w:type="character" w:customStyle="1" w:styleId="hljs-regexp-slc">
    <w:name w:val="hljs-regexp-slc"/>
    <w:basedOn w:val="hljs-regexp"/>
    <w:uiPriority w:val="1"/>
    <w:unhideWhenUsed/>
    <w:rsid w:val="00AD5F49"/>
    <w:rPr>
      <w:b/>
      <w:bCs/>
      <w:color w:val="50A14F"/>
      <w:sz w:val="20"/>
      <w:shd w:val="clear" w:color="auto" w:fill="D4D4D4"/>
    </w:rPr>
  </w:style>
  <w:style w:type="character" w:customStyle="1" w:styleId="hljs-section">
    <w:name w:val="hljs-section"/>
    <w:basedOn w:val="DefaultParagraphFont"/>
    <w:uiPriority w:val="1"/>
    <w:unhideWhenUsed/>
    <w:rsid w:val="00AD5F49"/>
    <w:rPr>
      <w:color w:val="E45649"/>
    </w:rPr>
  </w:style>
  <w:style w:type="character" w:customStyle="1" w:styleId="hljs-section-slc">
    <w:name w:val="hljs-section-slc"/>
    <w:basedOn w:val="hljs-section"/>
    <w:uiPriority w:val="1"/>
    <w:unhideWhenUsed/>
    <w:rsid w:val="00AD5F49"/>
    <w:rPr>
      <w:b/>
      <w:bCs/>
      <w:color w:val="E45649"/>
      <w:sz w:val="20"/>
      <w:shd w:val="clear" w:color="auto" w:fill="D4D4D4"/>
    </w:rPr>
  </w:style>
  <w:style w:type="character" w:customStyle="1" w:styleId="hljs-selector-attr">
    <w:name w:val="hljs-selector-attr"/>
    <w:basedOn w:val="DefaultParagraphFont"/>
    <w:uiPriority w:val="1"/>
    <w:unhideWhenUsed/>
    <w:rsid w:val="00AD5F49"/>
    <w:rPr>
      <w:color w:val="986801"/>
    </w:rPr>
  </w:style>
  <w:style w:type="character" w:customStyle="1" w:styleId="hljs-selector-attr-slc">
    <w:name w:val="hljs-selector-attr-slc"/>
    <w:basedOn w:val="hljs-selector-attr"/>
    <w:uiPriority w:val="1"/>
    <w:unhideWhenUsed/>
    <w:rsid w:val="00AD5F49"/>
    <w:rPr>
      <w:b/>
      <w:bCs/>
      <w:color w:val="986801"/>
      <w:sz w:val="20"/>
      <w:shd w:val="clear" w:color="auto" w:fill="D4D4D4"/>
    </w:rPr>
  </w:style>
  <w:style w:type="character" w:customStyle="1" w:styleId="hljs-selector-class">
    <w:name w:val="hljs-selector-class"/>
    <w:basedOn w:val="DefaultParagraphFont"/>
    <w:uiPriority w:val="1"/>
    <w:unhideWhenUsed/>
    <w:rsid w:val="00AD5F49"/>
    <w:rPr>
      <w:color w:val="986801"/>
    </w:rPr>
  </w:style>
  <w:style w:type="character" w:customStyle="1" w:styleId="hljs-selector-class-slc">
    <w:name w:val="hljs-selector-class-slc"/>
    <w:basedOn w:val="hljs-selector-class"/>
    <w:uiPriority w:val="1"/>
    <w:unhideWhenUsed/>
    <w:rsid w:val="00AD5F49"/>
    <w:rPr>
      <w:b/>
      <w:bCs/>
      <w:color w:val="986801"/>
      <w:sz w:val="20"/>
      <w:shd w:val="clear" w:color="auto" w:fill="D4D4D4"/>
    </w:rPr>
  </w:style>
  <w:style w:type="character" w:customStyle="1" w:styleId="hljs-selector-id">
    <w:name w:val="hljs-selector-id"/>
    <w:basedOn w:val="DefaultParagraphFont"/>
    <w:uiPriority w:val="1"/>
    <w:unhideWhenUsed/>
    <w:rsid w:val="00AD5F49"/>
    <w:rPr>
      <w:color w:val="4078F2"/>
    </w:rPr>
  </w:style>
  <w:style w:type="character" w:customStyle="1" w:styleId="hljs-selector-id-slc">
    <w:name w:val="hljs-selector-id-slc"/>
    <w:basedOn w:val="hljs-selector-id"/>
    <w:uiPriority w:val="1"/>
    <w:unhideWhenUsed/>
    <w:rsid w:val="00AD5F49"/>
    <w:rPr>
      <w:b/>
      <w:bCs/>
      <w:color w:val="4078F2"/>
      <w:sz w:val="20"/>
      <w:shd w:val="clear" w:color="auto" w:fill="D4D4D4"/>
    </w:rPr>
  </w:style>
  <w:style w:type="character" w:customStyle="1" w:styleId="hljs-selector-pseudo">
    <w:name w:val="hljs-selector-pseudo"/>
    <w:basedOn w:val="DefaultParagraphFont"/>
    <w:uiPriority w:val="1"/>
    <w:unhideWhenUsed/>
    <w:rsid w:val="00AD5F49"/>
    <w:rPr>
      <w:color w:val="986801"/>
    </w:rPr>
  </w:style>
  <w:style w:type="character" w:customStyle="1" w:styleId="hljs-selector-pseudo-slc">
    <w:name w:val="hljs-selector-pseudo-slc"/>
    <w:basedOn w:val="hljs-selector-pseudo"/>
    <w:uiPriority w:val="1"/>
    <w:unhideWhenUsed/>
    <w:rsid w:val="00AD5F49"/>
    <w:rPr>
      <w:b/>
      <w:bCs/>
      <w:color w:val="986801"/>
      <w:sz w:val="20"/>
      <w:shd w:val="clear" w:color="auto" w:fill="D4D4D4"/>
    </w:rPr>
  </w:style>
  <w:style w:type="character" w:customStyle="1" w:styleId="hljs-selector-tag">
    <w:name w:val="hljs-selector-tag"/>
    <w:basedOn w:val="DefaultParagraphFont"/>
    <w:uiPriority w:val="1"/>
    <w:unhideWhenUsed/>
    <w:rsid w:val="00AD5F49"/>
    <w:rPr>
      <w:color w:val="E45649"/>
    </w:rPr>
  </w:style>
  <w:style w:type="character" w:customStyle="1" w:styleId="hljs-selector-tag-slc">
    <w:name w:val="hljs-selector-tag-slc"/>
    <w:basedOn w:val="hljs-selector-tag"/>
    <w:uiPriority w:val="1"/>
    <w:unhideWhenUsed/>
    <w:rsid w:val="00AD5F49"/>
    <w:rPr>
      <w:b/>
      <w:bCs/>
      <w:color w:val="E45649"/>
      <w:sz w:val="20"/>
      <w:shd w:val="clear" w:color="auto" w:fill="D4D4D4"/>
    </w:rPr>
  </w:style>
  <w:style w:type="character" w:customStyle="1" w:styleId="hljs-slc">
    <w:name w:val="hljs-slc"/>
    <w:basedOn w:val="DefaultParagraphFont"/>
    <w:uiPriority w:val="1"/>
    <w:unhideWhenUsed/>
    <w:rsid w:val="00AD5F49"/>
    <w:rPr>
      <w:b/>
      <w:bCs/>
      <w:shd w:val="clear" w:color="auto" w:fill="D4D4D4"/>
      <w:lang w:val="en-IN"/>
    </w:rPr>
  </w:style>
  <w:style w:type="character" w:customStyle="1" w:styleId="hljs-string">
    <w:name w:val="hljs-string"/>
    <w:basedOn w:val="DefaultParagraphFont"/>
    <w:uiPriority w:val="1"/>
    <w:unhideWhenUsed/>
    <w:rsid w:val="00AD5F49"/>
    <w:rPr>
      <w:color w:val="50A14F"/>
    </w:rPr>
  </w:style>
  <w:style w:type="character" w:customStyle="1" w:styleId="hljs-string-slc">
    <w:name w:val="hljs-string-slc"/>
    <w:basedOn w:val="hljs-string"/>
    <w:uiPriority w:val="1"/>
    <w:unhideWhenUsed/>
    <w:rsid w:val="00AD5F49"/>
    <w:rPr>
      <w:b/>
      <w:bCs/>
      <w:color w:val="50A14F"/>
      <w:sz w:val="20"/>
      <w:shd w:val="clear" w:color="auto" w:fill="D4D4D4"/>
    </w:rPr>
  </w:style>
  <w:style w:type="character" w:customStyle="1" w:styleId="hljs-strong">
    <w:name w:val="hljs-strong"/>
    <w:basedOn w:val="DefaultParagraphFont"/>
    <w:uiPriority w:val="1"/>
    <w:unhideWhenUsed/>
    <w:rsid w:val="00AD5F49"/>
    <w:rPr>
      <w:b/>
      <w:bCs/>
    </w:rPr>
  </w:style>
  <w:style w:type="character" w:customStyle="1" w:styleId="hljs-strong-slc">
    <w:name w:val="hljs-strong-slc"/>
    <w:basedOn w:val="hljs-strong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subst">
    <w:name w:val="hljs-subst"/>
    <w:basedOn w:val="DefaultParagraphFont"/>
    <w:uiPriority w:val="1"/>
    <w:unhideWhenUsed/>
    <w:rsid w:val="00AD5F49"/>
    <w:rPr>
      <w:color w:val="E45649"/>
    </w:rPr>
  </w:style>
  <w:style w:type="character" w:customStyle="1" w:styleId="hljs-subst-slc">
    <w:name w:val="hljs-subst-slc"/>
    <w:basedOn w:val="hljs-subst"/>
    <w:uiPriority w:val="1"/>
    <w:unhideWhenUsed/>
    <w:rsid w:val="00AD5F49"/>
    <w:rPr>
      <w:b/>
      <w:bCs/>
      <w:color w:val="E45649"/>
      <w:sz w:val="20"/>
      <w:shd w:val="clear" w:color="auto" w:fill="D4D4D4"/>
    </w:rPr>
  </w:style>
  <w:style w:type="character" w:customStyle="1" w:styleId="hljs-symbol">
    <w:name w:val="hljs-symbol"/>
    <w:basedOn w:val="DefaultParagraphFont"/>
    <w:uiPriority w:val="1"/>
    <w:unhideWhenUsed/>
    <w:rsid w:val="00AD5F49"/>
    <w:rPr>
      <w:color w:val="4078F2"/>
    </w:rPr>
  </w:style>
  <w:style w:type="character" w:customStyle="1" w:styleId="hljs-symbol-slc">
    <w:name w:val="hljs-symbol-slc"/>
    <w:basedOn w:val="hljs-symbol"/>
    <w:uiPriority w:val="1"/>
    <w:unhideWhenUsed/>
    <w:rsid w:val="00AD5F49"/>
    <w:rPr>
      <w:b/>
      <w:bCs/>
      <w:color w:val="4078F2"/>
      <w:sz w:val="20"/>
      <w:shd w:val="clear" w:color="auto" w:fill="D4D4D4"/>
    </w:rPr>
  </w:style>
  <w:style w:type="character" w:customStyle="1" w:styleId="hljs-tag">
    <w:name w:val="hljs-tag"/>
    <w:basedOn w:val="DefaultParagraphFont"/>
    <w:uiPriority w:val="1"/>
    <w:unhideWhenUsed/>
    <w:rsid w:val="00AD5F49"/>
  </w:style>
  <w:style w:type="character" w:customStyle="1" w:styleId="hljs-tag-slc">
    <w:name w:val="hljs-tag-slc"/>
    <w:basedOn w:val="hljs-tag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template-tag">
    <w:name w:val="hljs-template-tag"/>
    <w:basedOn w:val="DefaultParagraphFont"/>
    <w:uiPriority w:val="1"/>
    <w:unhideWhenUsed/>
    <w:rsid w:val="00AD5F49"/>
  </w:style>
  <w:style w:type="character" w:customStyle="1" w:styleId="hljs-template-tag-slc">
    <w:name w:val="hljs-template-tag-slc"/>
    <w:basedOn w:val="hljs-template-tag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template-variable">
    <w:name w:val="hljs-template-variable"/>
    <w:basedOn w:val="DefaultParagraphFont"/>
    <w:uiPriority w:val="1"/>
    <w:unhideWhenUsed/>
    <w:rsid w:val="00AD5F49"/>
    <w:rPr>
      <w:color w:val="986801"/>
    </w:rPr>
  </w:style>
  <w:style w:type="character" w:customStyle="1" w:styleId="hljs-template-variable-slc">
    <w:name w:val="hljs-template-variable-slc"/>
    <w:basedOn w:val="hljs-template-variable"/>
    <w:uiPriority w:val="1"/>
    <w:unhideWhenUsed/>
    <w:rsid w:val="00AD5F49"/>
    <w:rPr>
      <w:b/>
      <w:bCs/>
      <w:color w:val="986801"/>
      <w:sz w:val="20"/>
      <w:shd w:val="clear" w:color="auto" w:fill="D4D4D4"/>
    </w:rPr>
  </w:style>
  <w:style w:type="character" w:customStyle="1" w:styleId="hljs-title">
    <w:name w:val="hljs-title"/>
    <w:basedOn w:val="DefaultParagraphFont"/>
    <w:uiPriority w:val="1"/>
    <w:unhideWhenUsed/>
    <w:rsid w:val="00AD5F49"/>
    <w:rPr>
      <w:color w:val="4078F2"/>
    </w:rPr>
  </w:style>
  <w:style w:type="character" w:customStyle="1" w:styleId="hljs-title-slc">
    <w:name w:val="hljs-title-slc"/>
    <w:basedOn w:val="hljs-title"/>
    <w:uiPriority w:val="1"/>
    <w:unhideWhenUsed/>
    <w:rsid w:val="00AD5F49"/>
    <w:rPr>
      <w:b/>
      <w:bCs/>
      <w:color w:val="4078F2"/>
      <w:sz w:val="20"/>
      <w:shd w:val="clear" w:color="auto" w:fill="D4D4D4"/>
    </w:rPr>
  </w:style>
  <w:style w:type="character" w:customStyle="1" w:styleId="hljs-type">
    <w:name w:val="hljs-type"/>
    <w:basedOn w:val="DefaultParagraphFont"/>
    <w:uiPriority w:val="1"/>
    <w:unhideWhenUsed/>
    <w:rsid w:val="00AD5F49"/>
    <w:rPr>
      <w:color w:val="986801"/>
    </w:rPr>
  </w:style>
  <w:style w:type="character" w:customStyle="1" w:styleId="hljs-type-slc">
    <w:name w:val="hljs-type-slc"/>
    <w:basedOn w:val="hljs-type"/>
    <w:uiPriority w:val="1"/>
    <w:unhideWhenUsed/>
    <w:rsid w:val="00AD5F49"/>
    <w:rPr>
      <w:b/>
      <w:bCs/>
      <w:color w:val="986801"/>
      <w:sz w:val="20"/>
      <w:shd w:val="clear" w:color="auto" w:fill="D4D4D4"/>
    </w:rPr>
  </w:style>
  <w:style w:type="character" w:customStyle="1" w:styleId="hljs-typing">
    <w:name w:val="hljs-typing"/>
    <w:basedOn w:val="DefaultParagraphFont"/>
    <w:uiPriority w:val="1"/>
    <w:unhideWhenUsed/>
    <w:rsid w:val="00AD5F49"/>
  </w:style>
  <w:style w:type="character" w:customStyle="1" w:styleId="hljs-typing-slc">
    <w:name w:val="hljs-typing-slc"/>
    <w:basedOn w:val="hljs-typing"/>
    <w:uiPriority w:val="1"/>
    <w:unhideWhenUsed/>
    <w:rsid w:val="00AD5F49"/>
    <w:rPr>
      <w:b/>
      <w:bCs/>
      <w:sz w:val="20"/>
      <w:shd w:val="clear" w:color="auto" w:fill="D4D4D4"/>
    </w:rPr>
  </w:style>
  <w:style w:type="character" w:customStyle="1" w:styleId="hljs-variable">
    <w:name w:val="hljs-variable"/>
    <w:basedOn w:val="DefaultParagraphFont"/>
    <w:unhideWhenUsed/>
    <w:rsid w:val="00AD5F49"/>
    <w:rPr>
      <w:color w:val="986801"/>
    </w:rPr>
  </w:style>
  <w:style w:type="character" w:customStyle="1" w:styleId="hljs-variable-slc">
    <w:name w:val="hljs-variable-slc"/>
    <w:basedOn w:val="hljs-variable"/>
    <w:uiPriority w:val="1"/>
    <w:unhideWhenUsed/>
    <w:rsid w:val="00AD5F49"/>
    <w:rPr>
      <w:b/>
      <w:bCs/>
      <w:color w:val="986801"/>
      <w:sz w:val="20"/>
      <w:shd w:val="clear" w:color="auto" w:fill="D4D4D4"/>
    </w:rPr>
  </w:style>
  <w:style w:type="paragraph" w:customStyle="1" w:styleId="HS-ChapterNumber">
    <w:name w:val="HS - ChapterNumber"/>
    <w:next w:val="Normal"/>
    <w:rsid w:val="00AD5F49"/>
    <w:pPr>
      <w:spacing w:after="450"/>
    </w:pPr>
    <w:rPr>
      <w:rFonts w:ascii="Jost* Medium" w:eastAsia="Times New Roman" w:hAnsi="Jost* Medium" w:cs="Arial"/>
      <w:bCs/>
      <w:color w:val="000000"/>
      <w:kern w:val="32"/>
      <w:sz w:val="168"/>
      <w:szCs w:val="32"/>
      <w:lang w:val="en-GB"/>
    </w:rPr>
  </w:style>
  <w:style w:type="paragraph" w:customStyle="1" w:styleId="HS-ChapterTitle">
    <w:name w:val="HS - ChapterTitle"/>
    <w:next w:val="P0-Paragraph"/>
    <w:rsid w:val="00AD5F49"/>
    <w:pPr>
      <w:spacing w:after="720"/>
    </w:pPr>
    <w:rPr>
      <w:rFonts w:ascii="Jost* Medium" w:eastAsia="Times New Roman" w:hAnsi="Jost* Medium" w:cs="Arial"/>
      <w:bCs/>
      <w:color w:val="000000"/>
      <w:kern w:val="32"/>
      <w:sz w:val="56"/>
      <w:szCs w:val="32"/>
      <w:lang w:val="en-GB"/>
    </w:rPr>
  </w:style>
  <w:style w:type="paragraph" w:customStyle="1" w:styleId="HS-Heading1">
    <w:name w:val="HS - Heading 1"/>
    <w:next w:val="P0-Paragraph"/>
    <w:link w:val="HS-Heading1Char"/>
    <w:qFormat/>
    <w:rsid w:val="00AD5F49"/>
    <w:pPr>
      <w:keepNext/>
      <w:spacing w:before="90" w:after="50"/>
      <w:outlineLvl w:val="0"/>
    </w:pPr>
    <w:rPr>
      <w:rFonts w:ascii="Jost*" w:eastAsia="Times New Roman" w:hAnsi="Jost*" w:cs="Times New Roman"/>
      <w:b/>
      <w:color w:val="auto"/>
      <w:sz w:val="32"/>
      <w:szCs w:val="24"/>
      <w:lang w:val="en-US"/>
    </w:rPr>
  </w:style>
  <w:style w:type="character" w:customStyle="1" w:styleId="HS-Heading1Char">
    <w:name w:val="HS - Heading 1 Char"/>
    <w:basedOn w:val="DefaultParagraphFont"/>
    <w:link w:val="HS-Heading1"/>
    <w:rsid w:val="00AD5F49"/>
    <w:rPr>
      <w:rFonts w:ascii="Jost*" w:eastAsia="Times New Roman" w:hAnsi="Jost*" w:cs="Times New Roman"/>
      <w:b/>
      <w:color w:val="auto"/>
      <w:sz w:val="32"/>
      <w:szCs w:val="24"/>
      <w:lang w:val="en-US"/>
    </w:rPr>
  </w:style>
  <w:style w:type="paragraph" w:customStyle="1" w:styleId="HS-Heading2">
    <w:name w:val="HS - Heading 2"/>
    <w:basedOn w:val="HS-Heading1"/>
    <w:next w:val="P0-Paragraph"/>
    <w:rsid w:val="00AD5F49"/>
    <w:pPr>
      <w:outlineLvl w:val="1"/>
    </w:pPr>
    <w:rPr>
      <w:sz w:val="28"/>
    </w:rPr>
  </w:style>
  <w:style w:type="paragraph" w:customStyle="1" w:styleId="HS-Heading3">
    <w:name w:val="HS - Heading 3"/>
    <w:basedOn w:val="HS-Heading1"/>
    <w:next w:val="P0-Paragraph"/>
    <w:rsid w:val="00AD5F49"/>
    <w:pPr>
      <w:spacing w:before="72"/>
      <w:outlineLvl w:val="2"/>
    </w:pPr>
    <w:rPr>
      <w:sz w:val="26"/>
    </w:rPr>
  </w:style>
  <w:style w:type="paragraph" w:customStyle="1" w:styleId="HS-Heading4">
    <w:name w:val="HS - Heading 4"/>
    <w:basedOn w:val="HS-Heading1"/>
    <w:next w:val="P0-Paragraph"/>
    <w:rsid w:val="00AD5F49"/>
    <w:pPr>
      <w:spacing w:before="72"/>
      <w:outlineLvl w:val="3"/>
    </w:pPr>
    <w:rPr>
      <w:sz w:val="24"/>
    </w:rPr>
  </w:style>
  <w:style w:type="paragraph" w:customStyle="1" w:styleId="HS-Heading5">
    <w:name w:val="HS - Heading 5"/>
    <w:basedOn w:val="HS-Heading1"/>
    <w:next w:val="P0-Paragraph"/>
    <w:rsid w:val="00AD5F49"/>
    <w:pPr>
      <w:spacing w:before="50"/>
      <w:outlineLvl w:val="4"/>
    </w:pPr>
    <w:rPr>
      <w:rFonts w:ascii="Jost* Semi" w:hAnsi="Jost* Semi"/>
      <w:b w:val="0"/>
      <w:sz w:val="24"/>
    </w:rPr>
  </w:style>
  <w:style w:type="paragraph" w:customStyle="1" w:styleId="HS-Heading6">
    <w:name w:val="HS - Heading 6"/>
    <w:basedOn w:val="HS-Heading1"/>
    <w:next w:val="P0-Paragraph"/>
    <w:rsid w:val="00AD5F49"/>
    <w:pPr>
      <w:spacing w:before="50"/>
      <w:outlineLvl w:val="5"/>
    </w:pPr>
    <w:rPr>
      <w:rFonts w:ascii="Jost* Semi" w:hAnsi="Jost* Semi"/>
      <w:b w:val="0"/>
      <w:sz w:val="24"/>
    </w:rPr>
  </w:style>
  <w:style w:type="paragraph" w:customStyle="1" w:styleId="HS-MainHeading">
    <w:name w:val="HS - MainHeading"/>
    <w:basedOn w:val="HS-ChapterTitle"/>
    <w:rsid w:val="00AD5F49"/>
    <w:pPr>
      <w:spacing w:before="900"/>
      <w:jc w:val="right"/>
    </w:pPr>
    <w:rPr>
      <w:rFonts w:ascii="Jost* Semi" w:hAnsi="Jost* Semi"/>
    </w:rPr>
  </w:style>
  <w:style w:type="paragraph" w:customStyle="1" w:styleId="HS-PartNumber">
    <w:name w:val="HS - PartNumber"/>
    <w:basedOn w:val="HS-ChapterTitle"/>
    <w:next w:val="Normal"/>
    <w:rsid w:val="00AD5F49"/>
    <w:pPr>
      <w:tabs>
        <w:tab w:val="left" w:pos="0"/>
        <w:tab w:val="center" w:pos="3960"/>
        <w:tab w:val="right" w:pos="7920"/>
      </w:tabs>
      <w:jc w:val="center"/>
    </w:pPr>
    <w:rPr>
      <w:sz w:val="96"/>
      <w:szCs w:val="96"/>
      <w:lang w:val="en-US"/>
    </w:rPr>
  </w:style>
  <w:style w:type="paragraph" w:customStyle="1" w:styleId="HS-PartTitle">
    <w:name w:val="HS - PartTitle"/>
    <w:basedOn w:val="HS-PartNumber"/>
    <w:next w:val="P0-Paragraph"/>
    <w:rsid w:val="00AD5F49"/>
    <w:rPr>
      <w:rFonts w:ascii="Jost*" w:hAnsi="Jost*"/>
      <w:sz w:val="72"/>
    </w:rPr>
  </w:style>
  <w:style w:type="paragraph" w:customStyle="1" w:styleId="I0-InfoBox">
    <w:name w:val="I0 - InfoBox"/>
    <w:basedOn w:val="P0-Paragraph"/>
    <w:link w:val="I0-InfoBoxChar"/>
    <w:qFormat/>
    <w:rsid w:val="00AD5F49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  <w:shd w:val="clear" w:color="auto" w:fill="FFFFFF"/>
      <w:suppressAutoHyphens/>
      <w:spacing w:after="126"/>
    </w:pPr>
    <w:rPr>
      <w:sz w:val="20"/>
    </w:rPr>
  </w:style>
  <w:style w:type="character" w:customStyle="1" w:styleId="I0-InfoBoxChar">
    <w:name w:val="I0 - InfoBox Char"/>
    <w:link w:val="I0-Info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0-InfoBoxBullet">
    <w:name w:val="I0 - InfoBoxBullet"/>
    <w:basedOn w:val="I0-InfoBox"/>
    <w:qFormat/>
    <w:rsid w:val="00AD5F49"/>
    <w:pPr>
      <w:numPr>
        <w:numId w:val="14"/>
      </w:numPr>
      <w:spacing w:after="0"/>
      <w:ind w:left="360"/>
      <w:contextualSpacing/>
    </w:pPr>
  </w:style>
  <w:style w:type="paragraph" w:customStyle="1" w:styleId="I0-InfoBoxFigure">
    <w:name w:val="I0 - InfoBoxFigure"/>
    <w:basedOn w:val="I0-InfoBox"/>
    <w:qFormat/>
    <w:rsid w:val="00AD5F49"/>
    <w:pPr>
      <w:jc w:val="center"/>
    </w:pPr>
    <w:rPr>
      <w:sz w:val="16"/>
    </w:rPr>
  </w:style>
  <w:style w:type="paragraph" w:customStyle="1" w:styleId="I0-InfoBoxCaption">
    <w:name w:val="I0 - InfoBoxCaption"/>
    <w:basedOn w:val="I0-InfoBoxFigure"/>
    <w:rsid w:val="00AD5F49"/>
  </w:style>
  <w:style w:type="paragraph" w:customStyle="1" w:styleId="I0-InfoBoxCenter">
    <w:name w:val="I0 - InfoBoxCenter"/>
    <w:basedOn w:val="I0-InfoBox"/>
    <w:rsid w:val="00AD5F49"/>
    <w:pPr>
      <w:jc w:val="center"/>
    </w:pPr>
  </w:style>
  <w:style w:type="paragraph" w:customStyle="1" w:styleId="I0-InfoBoxCode">
    <w:name w:val="I0 - InfoBoxCode"/>
    <w:basedOn w:val="I0-InfoBox"/>
    <w:rsid w:val="00AD5F49"/>
    <w:pPr>
      <w:shd w:val="clear" w:color="auto" w:fill="FAFAFA"/>
      <w:spacing w:after="60"/>
      <w:contextualSpacing/>
    </w:pPr>
    <w:rPr>
      <w:rFonts w:ascii="Consolas" w:hAnsi="Consolas"/>
      <w:color w:val="383A42"/>
      <w:sz w:val="18"/>
    </w:rPr>
  </w:style>
  <w:style w:type="paragraph" w:customStyle="1" w:styleId="I0-InfoBoxConsole">
    <w:name w:val="I0 - InfoBoxConsole"/>
    <w:basedOn w:val="I0-InfoBoxCode"/>
    <w:rsid w:val="00AD5F49"/>
    <w:pPr>
      <w:shd w:val="clear" w:color="auto" w:fill="282A36"/>
    </w:pPr>
    <w:rPr>
      <w:color w:val="F8F8F2"/>
    </w:rPr>
  </w:style>
  <w:style w:type="paragraph" w:customStyle="1" w:styleId="I0-InfoBoxNumberedList">
    <w:name w:val="I0 - InfoBoxNumberedList"/>
    <w:basedOn w:val="I0-InfoBoxBullet"/>
    <w:rsid w:val="00AD5F49"/>
    <w:pPr>
      <w:numPr>
        <w:numId w:val="4"/>
      </w:numPr>
      <w:ind w:left="360"/>
    </w:pPr>
  </w:style>
  <w:style w:type="paragraph" w:customStyle="1" w:styleId="L1-Bullet">
    <w:name w:val="L1 - Bullet"/>
    <w:basedOn w:val="P0-Paragraph"/>
    <w:autoRedefine/>
    <w:rsid w:val="00AD5F49"/>
    <w:pPr>
      <w:numPr>
        <w:numId w:val="16"/>
      </w:numPr>
      <w:tabs>
        <w:tab w:val="left" w:pos="360"/>
      </w:tabs>
      <w:suppressAutoHyphens/>
      <w:spacing w:after="126"/>
      <w:ind w:left="990"/>
      <w:contextualSpacing/>
    </w:pPr>
  </w:style>
  <w:style w:type="paragraph" w:customStyle="1" w:styleId="L1-Alphabet">
    <w:name w:val="L1 - Alphabet"/>
    <w:basedOn w:val="L1-Bullet"/>
    <w:rsid w:val="00AD5F49"/>
    <w:pPr>
      <w:numPr>
        <w:numId w:val="5"/>
      </w:numPr>
      <w:spacing w:after="2"/>
      <w:ind w:left="990"/>
    </w:pPr>
  </w:style>
  <w:style w:type="paragraph" w:customStyle="1" w:styleId="L1-Numbered">
    <w:name w:val="L1 - Numbered"/>
    <w:basedOn w:val="L1-Bullet"/>
    <w:rsid w:val="00AD5F49"/>
    <w:pPr>
      <w:numPr>
        <w:numId w:val="6"/>
      </w:numPr>
      <w:ind w:left="990" w:hanging="360"/>
    </w:pPr>
  </w:style>
  <w:style w:type="paragraph" w:customStyle="1" w:styleId="L2-Bullet">
    <w:name w:val="L2 - Bullet"/>
    <w:basedOn w:val="L1-Bullet"/>
    <w:rsid w:val="00AD5F49"/>
    <w:pPr>
      <w:ind w:left="1620"/>
    </w:pPr>
  </w:style>
  <w:style w:type="paragraph" w:customStyle="1" w:styleId="L2-Alphabet">
    <w:name w:val="L2 - Alphabet"/>
    <w:basedOn w:val="L2-Bullet"/>
    <w:qFormat/>
    <w:rsid w:val="00AD5F49"/>
    <w:pPr>
      <w:numPr>
        <w:numId w:val="8"/>
      </w:numPr>
      <w:ind w:left="1620"/>
    </w:pPr>
    <w:rPr>
      <w:bCs/>
    </w:rPr>
  </w:style>
  <w:style w:type="paragraph" w:customStyle="1" w:styleId="L2-Numbered">
    <w:name w:val="L2 - Numbered"/>
    <w:basedOn w:val="L2-Bullet"/>
    <w:rsid w:val="00AD5F49"/>
    <w:pPr>
      <w:numPr>
        <w:numId w:val="9"/>
      </w:numPr>
      <w:ind w:left="1620"/>
    </w:pPr>
  </w:style>
  <w:style w:type="paragraph" w:customStyle="1" w:styleId="L3-Bullet">
    <w:name w:val="L3 - Bullet"/>
    <w:basedOn w:val="L2-Bullet"/>
    <w:rsid w:val="00AD5F49"/>
    <w:pPr>
      <w:ind w:left="2250"/>
    </w:pPr>
  </w:style>
  <w:style w:type="paragraph" w:customStyle="1" w:styleId="L3-Alphabet">
    <w:name w:val="L3 - Alphabet"/>
    <w:basedOn w:val="L3-Bullet"/>
    <w:rsid w:val="00AD5F49"/>
    <w:pPr>
      <w:numPr>
        <w:numId w:val="11"/>
      </w:numPr>
      <w:ind w:left="2250"/>
    </w:pPr>
  </w:style>
  <w:style w:type="paragraph" w:customStyle="1" w:styleId="L3-Numbered">
    <w:name w:val="L3 - Numbered"/>
    <w:basedOn w:val="L3-Bullet"/>
    <w:rsid w:val="00AD5F49"/>
    <w:pPr>
      <w:numPr>
        <w:numId w:val="12"/>
      </w:numPr>
      <w:ind w:left="2250"/>
    </w:pPr>
  </w:style>
  <w:style w:type="paragraph" w:customStyle="1" w:styleId="P0-ParagraphCenter">
    <w:name w:val="P0 - ParagraphCenter"/>
    <w:basedOn w:val="P0-Paragraph"/>
    <w:rsid w:val="00AD5F49"/>
    <w:pPr>
      <w:jc w:val="center"/>
    </w:pPr>
  </w:style>
  <w:style w:type="paragraph" w:customStyle="1" w:styleId="P1-Paragraph">
    <w:name w:val="P1 - Paragraph"/>
    <w:basedOn w:val="L1-Bullet"/>
    <w:rsid w:val="00AD5F49"/>
    <w:pPr>
      <w:numPr>
        <w:numId w:val="0"/>
      </w:numPr>
      <w:tabs>
        <w:tab w:val="left" w:pos="720"/>
      </w:tabs>
      <w:autoSpaceDE w:val="0"/>
      <w:autoSpaceDN w:val="0"/>
      <w:adjustRightInd w:val="0"/>
      <w:spacing w:after="120"/>
      <w:ind w:left="629"/>
      <w:contextualSpacing w:val="0"/>
      <w:textAlignment w:val="center"/>
    </w:pPr>
    <w:rPr>
      <w:rFonts w:cs="Book Antiqua"/>
      <w:color w:val="000000"/>
      <w:szCs w:val="21"/>
    </w:rPr>
  </w:style>
  <w:style w:type="paragraph" w:customStyle="1" w:styleId="P1-ParagraphCenter">
    <w:name w:val="P1 - ParagraphCenter"/>
    <w:basedOn w:val="P1-Paragraph"/>
    <w:rsid w:val="00AD5F49"/>
    <w:pPr>
      <w:ind w:left="634"/>
      <w:jc w:val="center"/>
    </w:pPr>
  </w:style>
  <w:style w:type="paragraph" w:customStyle="1" w:styleId="P2-Paragraph">
    <w:name w:val="P2 - Paragraph"/>
    <w:basedOn w:val="P1-Paragraph"/>
    <w:rsid w:val="00AD5F49"/>
    <w:pPr>
      <w:ind w:left="1260"/>
    </w:pPr>
  </w:style>
  <w:style w:type="paragraph" w:customStyle="1" w:styleId="P2-ParagraphCenter">
    <w:name w:val="P2 - ParagraphCenter"/>
    <w:basedOn w:val="P2-Paragraph"/>
    <w:rsid w:val="00AD5F49"/>
    <w:pPr>
      <w:ind w:left="1267"/>
      <w:jc w:val="center"/>
    </w:pPr>
  </w:style>
  <w:style w:type="paragraph" w:customStyle="1" w:styleId="QS-Quote">
    <w:name w:val="QS - Quote"/>
    <w:basedOn w:val="P0-Paragraph"/>
    <w:rsid w:val="00AD5F49"/>
    <w:pPr>
      <w:shd w:val="clear" w:color="auto" w:fill="FFFF00"/>
      <w:spacing w:after="126"/>
      <w:ind w:left="540"/>
    </w:pPr>
    <w:rPr>
      <w:i/>
      <w:sz w:val="22"/>
    </w:rPr>
  </w:style>
  <w:style w:type="paragraph" w:customStyle="1" w:styleId="QS-Cite">
    <w:name w:val="QS - Cite"/>
    <w:basedOn w:val="QS-Quote"/>
    <w:next w:val="P0-Paragraph"/>
    <w:rsid w:val="00AD5F49"/>
    <w:pPr>
      <w:ind w:left="547"/>
      <w:jc w:val="right"/>
    </w:pPr>
  </w:style>
  <w:style w:type="paragraph" w:customStyle="1" w:styleId="T0-TipBox">
    <w:name w:val="T0 - TipBox"/>
    <w:basedOn w:val="I0-InfoBox"/>
    <w:qFormat/>
    <w:rsid w:val="00AD5F49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  <w:shd w:val="clear" w:color="auto" w:fill="auto"/>
    </w:pPr>
  </w:style>
  <w:style w:type="paragraph" w:customStyle="1" w:styleId="T0-TipBoxBullet">
    <w:name w:val="T0 - TipBoxBullet"/>
    <w:basedOn w:val="I0-InfoBoxBullet"/>
    <w:qFormat/>
    <w:rsid w:val="00AD5F49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</w:pPr>
  </w:style>
  <w:style w:type="paragraph" w:customStyle="1" w:styleId="T0-TipBoxFigure">
    <w:name w:val="T0 - TipBoxFigure"/>
    <w:basedOn w:val="I0-InfoBoxFigure"/>
    <w:next w:val="Normal"/>
    <w:qFormat/>
    <w:rsid w:val="00AD5F49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</w:pPr>
  </w:style>
  <w:style w:type="paragraph" w:customStyle="1" w:styleId="T0-TipBoxCaption">
    <w:name w:val="T0 - TipBoxCaption"/>
    <w:basedOn w:val="T0-TipBoxFigure"/>
    <w:rsid w:val="00AD5F49"/>
  </w:style>
  <w:style w:type="paragraph" w:customStyle="1" w:styleId="T0-TipBoxCenter">
    <w:name w:val="T0 - TipBoxCenter"/>
    <w:basedOn w:val="T0-TipBox"/>
    <w:rsid w:val="00AD5F49"/>
    <w:pPr>
      <w:jc w:val="center"/>
    </w:pPr>
  </w:style>
  <w:style w:type="paragraph" w:customStyle="1" w:styleId="T0-TipBoxCode">
    <w:name w:val="T0 - TipBoxCode"/>
    <w:basedOn w:val="I0-InfoBoxCode"/>
    <w:rsid w:val="00AD5F49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</w:pPr>
  </w:style>
  <w:style w:type="paragraph" w:customStyle="1" w:styleId="T0-TipBoxConsole">
    <w:name w:val="T0 - TipBoxConsole"/>
    <w:basedOn w:val="T0-TipBoxCode"/>
    <w:rsid w:val="00AD5F49"/>
    <w:pPr>
      <w:shd w:val="clear" w:color="auto" w:fill="282A36"/>
    </w:pPr>
    <w:rPr>
      <w:color w:val="F8F8F2"/>
    </w:rPr>
  </w:style>
  <w:style w:type="paragraph" w:customStyle="1" w:styleId="T0-TipBoxNumberedList">
    <w:name w:val="T0 - TipBoxNumberedList"/>
    <w:basedOn w:val="T0-TipBoxBullet"/>
    <w:rsid w:val="00AD5F49"/>
    <w:pPr>
      <w:numPr>
        <w:numId w:val="15"/>
      </w:numPr>
      <w:ind w:left="360"/>
    </w:pPr>
  </w:style>
  <w:style w:type="paragraph" w:customStyle="1" w:styleId="T0-Table">
    <w:name w:val="T0 - Table"/>
    <w:basedOn w:val="Normal"/>
    <w:rsid w:val="00AD5F49"/>
    <w:pPr>
      <w:spacing w:after="126"/>
    </w:pPr>
    <w:rPr>
      <w:rFonts w:ascii="Crimson Pro" w:hAnsi="Crimson Pro" w:cs="Arial"/>
      <w:bCs/>
      <w:kern w:val="0"/>
      <w:sz w:val="20"/>
      <w14:ligatures w14:val="none"/>
    </w:rPr>
  </w:style>
  <w:style w:type="paragraph" w:customStyle="1" w:styleId="T0-TableBullet">
    <w:name w:val="T0 - TableBullet"/>
    <w:basedOn w:val="L1-Bullet"/>
    <w:qFormat/>
    <w:rsid w:val="00AD5F49"/>
    <w:pPr>
      <w:spacing w:before="60" w:after="60"/>
      <w:ind w:left="432" w:right="72"/>
    </w:pPr>
    <w:rPr>
      <w:sz w:val="20"/>
      <w:lang w:eastAsia="ar-SA"/>
    </w:rPr>
  </w:style>
  <w:style w:type="paragraph" w:customStyle="1" w:styleId="T0-TableFigure">
    <w:name w:val="T0 - TableFigure"/>
    <w:basedOn w:val="T0-Table"/>
    <w:next w:val="Normal"/>
    <w:qFormat/>
    <w:rsid w:val="00AD5F49"/>
    <w:pPr>
      <w:spacing w:before="120" w:after="120"/>
      <w:jc w:val="center"/>
    </w:pPr>
    <w:rPr>
      <w:sz w:val="16"/>
    </w:rPr>
  </w:style>
  <w:style w:type="paragraph" w:customStyle="1" w:styleId="T0-TableCaption">
    <w:name w:val="T0 - TableCaption"/>
    <w:basedOn w:val="T0-TableFigure"/>
    <w:next w:val="T0-Table"/>
    <w:rsid w:val="00AD5F49"/>
  </w:style>
  <w:style w:type="paragraph" w:customStyle="1" w:styleId="T0-TableCenter">
    <w:name w:val="T0 - TableCenter"/>
    <w:basedOn w:val="T0-Table"/>
    <w:rsid w:val="00AD5F49"/>
    <w:pPr>
      <w:jc w:val="center"/>
    </w:pPr>
  </w:style>
  <w:style w:type="paragraph" w:customStyle="1" w:styleId="T0-TableCode">
    <w:name w:val="T0 - TableCode"/>
    <w:basedOn w:val="T0-Table"/>
    <w:rsid w:val="00AD5F49"/>
    <w:pPr>
      <w:pBdr>
        <w:top w:val="single" w:sz="4" w:space="4" w:color="FAFAFA"/>
        <w:left w:val="single" w:sz="4" w:space="8" w:color="FAFAFA"/>
        <w:bottom w:val="single" w:sz="4" w:space="4" w:color="FAFAFA"/>
        <w:right w:val="single" w:sz="4" w:space="8" w:color="FAFAFA"/>
      </w:pBdr>
      <w:shd w:val="clear" w:color="auto" w:fill="FAFAFA"/>
      <w:spacing w:before="120" w:after="120"/>
      <w:ind w:left="230" w:right="230"/>
      <w:contextualSpacing/>
    </w:pPr>
    <w:rPr>
      <w:rFonts w:ascii="Consolas" w:hAnsi="Consolas"/>
      <w:color w:val="383A42"/>
      <w:sz w:val="18"/>
      <w:lang w:val="en-IN"/>
    </w:rPr>
  </w:style>
  <w:style w:type="paragraph" w:customStyle="1" w:styleId="T0-TableConsole">
    <w:name w:val="T0 - TableConsole"/>
    <w:basedOn w:val="T0-TableCode"/>
    <w:autoRedefine/>
    <w:rsid w:val="00AD5F49"/>
    <w:pPr>
      <w:pBdr>
        <w:top w:val="single" w:sz="4" w:space="4" w:color="282A36"/>
        <w:left w:val="single" w:sz="4" w:space="8" w:color="282A36"/>
        <w:bottom w:val="single" w:sz="4" w:space="4" w:color="282A36"/>
        <w:right w:val="single" w:sz="4" w:space="8" w:color="282A36"/>
      </w:pBdr>
      <w:shd w:val="clear" w:color="auto" w:fill="282A36"/>
    </w:pPr>
    <w:rPr>
      <w:color w:val="F8F8F2"/>
    </w:rPr>
  </w:style>
  <w:style w:type="paragraph" w:customStyle="1" w:styleId="T0-TableNumberedList">
    <w:name w:val="T0 - TableNumberedList"/>
    <w:basedOn w:val="T0-TableBullet"/>
    <w:rsid w:val="00AD5F49"/>
    <w:pPr>
      <w:numPr>
        <w:numId w:val="17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5F4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5F49"/>
    <w:rPr>
      <w:rFonts w:ascii="Consolas" w:eastAsiaTheme="minorHAnsi" w:hAnsi="Consolas" w:cstheme="minorBidi"/>
      <w:color w:val="auto"/>
      <w:kern w:val="2"/>
      <w:sz w:val="20"/>
      <w:szCs w:val="20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5F4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5F49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AD5F4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F49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F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F49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5F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F49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AD5F49"/>
    <w:rPr>
      <w:rFonts w:asciiTheme="minorHAnsi" w:eastAsiaTheme="minorHAnsi" w:hAnsiTheme="minorHAnsi" w:cstheme="minorBidi"/>
      <w:color w:val="auto"/>
      <w:kern w:val="2"/>
      <w:sz w:val="24"/>
      <w:szCs w:val="24"/>
      <w:lang w:val="en-US"/>
      <w14:ligatures w14:val="standardContextual"/>
    </w:rPr>
  </w:style>
  <w:style w:type="paragraph" w:customStyle="1" w:styleId="EQ-Normal">
    <w:name w:val="EQ - Normal"/>
    <w:rsid w:val="00AD5F49"/>
    <w:pPr>
      <w:spacing w:line="278" w:lineRule="auto"/>
    </w:pPr>
    <w:rPr>
      <w:rFonts w:ascii="Book Antiqua" w:eastAsia="Times New Roman" w:hAnsi="Book Antiqua" w:cs="Times New Roman"/>
      <w:color w:val="auto"/>
      <w:sz w:val="19"/>
      <w:szCs w:val="24"/>
      <w:lang w:val="en-US"/>
    </w:rPr>
  </w:style>
  <w:style w:type="character" w:customStyle="1" w:styleId="EQ-Ruler">
    <w:name w:val="EQ - Ruler"/>
    <w:basedOn w:val="DefaultParagraphFont"/>
    <w:uiPriority w:val="1"/>
    <w:rsid w:val="00AD5F49"/>
    <w:rPr>
      <w:rFonts w:ascii="Book Antiqua" w:hAnsi="Book Antiqua"/>
      <w:position w:val="490"/>
      <w:sz w:val="10"/>
    </w:rPr>
  </w:style>
  <w:style w:type="paragraph" w:customStyle="1" w:styleId="EQ-Small">
    <w:name w:val="EQ - Small"/>
    <w:rsid w:val="00AD5F49"/>
    <w:pPr>
      <w:spacing w:line="278" w:lineRule="auto"/>
    </w:pPr>
    <w:rPr>
      <w:rFonts w:ascii="Book Antiqua" w:eastAsia="Times New Roman" w:hAnsi="Book Antiqua" w:cs="Times New Roman"/>
      <w:color w:val="auto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AD5F4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D5F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5F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5F49"/>
    <w:rPr>
      <w:rFonts w:asciiTheme="minorHAnsi" w:eastAsiaTheme="minorHAnsi" w:hAnsiTheme="minorHAnsi" w:cstheme="minorBidi"/>
      <w:color w:val="auto"/>
      <w:kern w:val="2"/>
      <w:sz w:val="20"/>
      <w:szCs w:val="20"/>
      <w:lang w:val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5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5F49"/>
    <w:rPr>
      <w:rFonts w:asciiTheme="minorHAnsi" w:eastAsiaTheme="minorHAnsi" w:hAnsiTheme="minorHAnsi" w:cstheme="minorBidi"/>
      <w:b/>
      <w:bCs/>
      <w:color w:val="auto"/>
      <w:kern w:val="2"/>
      <w:sz w:val="20"/>
      <w:szCs w:val="20"/>
      <w:lang w:val="en-US"/>
      <w14:ligatures w14:val="standardContextual"/>
    </w:rPr>
  </w:style>
  <w:style w:type="character" w:customStyle="1" w:styleId="IC-Icon-Packt">
    <w:name w:val="IC - Icon-Packt"/>
    <w:basedOn w:val="CS-Italic"/>
    <w:uiPriority w:val="1"/>
    <w:qFormat/>
    <w:rsid w:val="00AD5F49"/>
    <w:rPr>
      <w:i w:val="0"/>
      <w:color w:val="000000" w:themeColor="text1"/>
    </w:rPr>
  </w:style>
  <w:style w:type="paragraph" w:customStyle="1" w:styleId="I1-InfoBox">
    <w:name w:val="I1 - InfoBox"/>
    <w:basedOn w:val="I0-InfoBox"/>
    <w:qFormat/>
    <w:rsid w:val="00AD5F49"/>
    <w:pPr>
      <w:ind w:left="454"/>
    </w:pPr>
  </w:style>
  <w:style w:type="paragraph" w:customStyle="1" w:styleId="I1-InfoBoxBullet">
    <w:name w:val="I1 - InfoBoxBullet"/>
    <w:basedOn w:val="I0-InfoBoxBullet"/>
    <w:qFormat/>
    <w:rsid w:val="00AD5F49"/>
    <w:pPr>
      <w:ind w:left="811" w:hanging="357"/>
    </w:pPr>
  </w:style>
  <w:style w:type="paragraph" w:customStyle="1" w:styleId="I1-InfoBoxCaption">
    <w:name w:val="I1 - InfoBoxCaption"/>
    <w:basedOn w:val="I0-InfoBoxCaption"/>
    <w:qFormat/>
    <w:rsid w:val="00AD5F49"/>
    <w:pPr>
      <w:ind w:left="454"/>
    </w:pPr>
  </w:style>
  <w:style w:type="paragraph" w:customStyle="1" w:styleId="I1-InfoBoxCenter">
    <w:name w:val="I1 - InfoBoxCenter"/>
    <w:basedOn w:val="I0-InfoBoxCenter"/>
    <w:qFormat/>
    <w:rsid w:val="00AD5F49"/>
    <w:pPr>
      <w:ind w:left="454"/>
    </w:pPr>
  </w:style>
  <w:style w:type="paragraph" w:customStyle="1" w:styleId="I1-InfoBoxCode">
    <w:name w:val="I1 - InfoBoxCode"/>
    <w:basedOn w:val="I0-InfoBoxCode"/>
    <w:qFormat/>
    <w:rsid w:val="00AD5F49"/>
    <w:pPr>
      <w:ind w:left="454"/>
    </w:pPr>
  </w:style>
  <w:style w:type="paragraph" w:customStyle="1" w:styleId="I1-InfoBoxConsole">
    <w:name w:val="I1 - InfoBoxConsole"/>
    <w:basedOn w:val="I0-InfoBoxConsole"/>
    <w:qFormat/>
    <w:rsid w:val="00AD5F49"/>
    <w:pPr>
      <w:ind w:left="454"/>
    </w:pPr>
  </w:style>
  <w:style w:type="paragraph" w:customStyle="1" w:styleId="I1-InfoBoxFigure">
    <w:name w:val="I1 - InfoBoxFigure"/>
    <w:basedOn w:val="I0-InfoBoxFigure"/>
    <w:qFormat/>
    <w:rsid w:val="00AD5F49"/>
    <w:pPr>
      <w:ind w:left="454"/>
    </w:pPr>
  </w:style>
  <w:style w:type="paragraph" w:customStyle="1" w:styleId="I1-InfoBoxNumberedList">
    <w:name w:val="I1 - InfoBoxNumberedList"/>
    <w:basedOn w:val="I0-InfoBoxNumberedList"/>
    <w:qFormat/>
    <w:rsid w:val="00AD5F49"/>
    <w:pPr>
      <w:ind w:left="811" w:hanging="357"/>
    </w:pPr>
  </w:style>
  <w:style w:type="paragraph" w:customStyle="1" w:styleId="I2-InfoBox">
    <w:name w:val="I2 - InfoBox"/>
    <w:basedOn w:val="I1-InfoBox"/>
    <w:qFormat/>
    <w:rsid w:val="00AD5F49"/>
    <w:pPr>
      <w:ind w:left="794"/>
    </w:pPr>
  </w:style>
  <w:style w:type="paragraph" w:customStyle="1" w:styleId="I2-InfoBoxBullet">
    <w:name w:val="I2 - InfoBoxBullet"/>
    <w:basedOn w:val="I1-InfoBoxBullet"/>
    <w:qFormat/>
    <w:rsid w:val="00AD5F49"/>
    <w:pPr>
      <w:ind w:left="1151"/>
    </w:pPr>
  </w:style>
  <w:style w:type="paragraph" w:customStyle="1" w:styleId="I2-InfoBoxCaption">
    <w:name w:val="I2 - InfoBoxCaption"/>
    <w:basedOn w:val="I1-InfoBoxCaption"/>
    <w:qFormat/>
    <w:rsid w:val="00AD5F49"/>
    <w:pPr>
      <w:ind w:left="794"/>
    </w:pPr>
  </w:style>
  <w:style w:type="paragraph" w:customStyle="1" w:styleId="I2-InfoBoxCenter">
    <w:name w:val="I2 - InfoBoxCenter"/>
    <w:basedOn w:val="I1-InfoBoxCenter"/>
    <w:qFormat/>
    <w:rsid w:val="00AD5F49"/>
    <w:pPr>
      <w:ind w:left="794"/>
    </w:pPr>
  </w:style>
  <w:style w:type="paragraph" w:customStyle="1" w:styleId="I2-InfoBoxCode">
    <w:name w:val="I2 - InfoBoxCode"/>
    <w:basedOn w:val="I1-InfoBoxCode"/>
    <w:qFormat/>
    <w:rsid w:val="00AD5F49"/>
    <w:pPr>
      <w:ind w:left="794"/>
    </w:pPr>
  </w:style>
  <w:style w:type="paragraph" w:customStyle="1" w:styleId="I2-InfoBoxConsole">
    <w:name w:val="I2 - InfoBoxConsole"/>
    <w:basedOn w:val="I1-InfoBoxConsole"/>
    <w:qFormat/>
    <w:rsid w:val="00AD5F49"/>
    <w:pPr>
      <w:ind w:left="794"/>
    </w:pPr>
  </w:style>
  <w:style w:type="paragraph" w:customStyle="1" w:styleId="I2-InfoBoxFigure">
    <w:name w:val="I2 - InfoBoxFigure"/>
    <w:basedOn w:val="I1-InfoBoxFigure"/>
    <w:qFormat/>
    <w:rsid w:val="00AD5F49"/>
    <w:pPr>
      <w:ind w:left="794"/>
    </w:pPr>
  </w:style>
  <w:style w:type="paragraph" w:customStyle="1" w:styleId="I2-InfoBoxNumberedList">
    <w:name w:val="I2 - InfoBoxNumberedList"/>
    <w:basedOn w:val="I1-InfoBoxNumberedList"/>
    <w:qFormat/>
    <w:rsid w:val="00AD5F49"/>
    <w:pPr>
      <w:ind w:left="1151"/>
    </w:pPr>
  </w:style>
  <w:style w:type="paragraph" w:customStyle="1" w:styleId="T1-TipBox">
    <w:name w:val="T1 - TipBox"/>
    <w:basedOn w:val="T0-TipBox"/>
    <w:qFormat/>
    <w:rsid w:val="00AD5F49"/>
    <w:pPr>
      <w:ind w:left="454"/>
    </w:pPr>
  </w:style>
  <w:style w:type="paragraph" w:customStyle="1" w:styleId="T1-TipBoxBullet">
    <w:name w:val="T1 - TipBoxBullet"/>
    <w:basedOn w:val="T0-TipBoxBullet"/>
    <w:qFormat/>
    <w:rsid w:val="00AD5F49"/>
    <w:pPr>
      <w:ind w:left="811" w:hanging="357"/>
    </w:pPr>
  </w:style>
  <w:style w:type="paragraph" w:customStyle="1" w:styleId="T1-TipBoxCaption">
    <w:name w:val="T1 - TipBoxCaption"/>
    <w:basedOn w:val="T0-TipBoxCaption"/>
    <w:qFormat/>
    <w:rsid w:val="00AD5F49"/>
    <w:pPr>
      <w:ind w:left="454"/>
    </w:pPr>
  </w:style>
  <w:style w:type="paragraph" w:customStyle="1" w:styleId="T1-TipBoxCenter">
    <w:name w:val="T1 - TipBoxCenter"/>
    <w:basedOn w:val="T0-TipBoxCenter"/>
    <w:qFormat/>
    <w:rsid w:val="00AD5F49"/>
    <w:pPr>
      <w:ind w:left="454"/>
    </w:pPr>
  </w:style>
  <w:style w:type="paragraph" w:customStyle="1" w:styleId="T1-TipBoxCode">
    <w:name w:val="T1 - TipBoxCode"/>
    <w:basedOn w:val="T0-TipBoxCode"/>
    <w:qFormat/>
    <w:rsid w:val="00AD5F49"/>
    <w:pPr>
      <w:ind w:left="454"/>
    </w:pPr>
  </w:style>
  <w:style w:type="paragraph" w:customStyle="1" w:styleId="T1-TipBoxConsole">
    <w:name w:val="T1 - TipBoxConsole"/>
    <w:basedOn w:val="T0-TipBoxConsole"/>
    <w:qFormat/>
    <w:rsid w:val="00AD5F49"/>
    <w:pPr>
      <w:ind w:left="454"/>
    </w:pPr>
  </w:style>
  <w:style w:type="paragraph" w:customStyle="1" w:styleId="T1-TipBoxFigure">
    <w:name w:val="T1 - TipBoxFigure"/>
    <w:basedOn w:val="T0-TipBoxFigure"/>
    <w:qFormat/>
    <w:rsid w:val="00AD5F49"/>
    <w:pPr>
      <w:ind w:left="454"/>
    </w:pPr>
  </w:style>
  <w:style w:type="paragraph" w:customStyle="1" w:styleId="T1-TipBoxNumberedList">
    <w:name w:val="T1 - TipBoxNumberedList"/>
    <w:basedOn w:val="T0-TipBoxNumberedList"/>
    <w:qFormat/>
    <w:rsid w:val="00AD5F49"/>
  </w:style>
  <w:style w:type="paragraph" w:customStyle="1" w:styleId="T2-TipBox">
    <w:name w:val="T2 - TipBox"/>
    <w:basedOn w:val="T1-TipBox"/>
    <w:qFormat/>
    <w:rsid w:val="00AD5F49"/>
    <w:pPr>
      <w:ind w:left="794"/>
    </w:pPr>
  </w:style>
  <w:style w:type="paragraph" w:customStyle="1" w:styleId="T2-TipBoxBullet">
    <w:name w:val="T2 - TipBoxBullet"/>
    <w:basedOn w:val="T1-TipBoxBullet"/>
    <w:qFormat/>
    <w:rsid w:val="00AD5F49"/>
    <w:pPr>
      <w:ind w:left="1151"/>
    </w:pPr>
  </w:style>
  <w:style w:type="paragraph" w:customStyle="1" w:styleId="T2-TipBoxCaption">
    <w:name w:val="T2 - TipBoxCaption"/>
    <w:basedOn w:val="T1-TipBoxCaption"/>
    <w:qFormat/>
    <w:rsid w:val="00AD5F49"/>
    <w:pPr>
      <w:ind w:left="794"/>
    </w:pPr>
  </w:style>
  <w:style w:type="paragraph" w:customStyle="1" w:styleId="T2-TipBoxCenter">
    <w:name w:val="T2 - TipBoxCenter"/>
    <w:basedOn w:val="T1-TipBoxCenter"/>
    <w:qFormat/>
    <w:rsid w:val="00AD5F49"/>
    <w:pPr>
      <w:ind w:left="794"/>
    </w:pPr>
  </w:style>
  <w:style w:type="paragraph" w:customStyle="1" w:styleId="T2-TipBoxCode">
    <w:name w:val="T2 - TipBoxCode"/>
    <w:basedOn w:val="T1-TipBoxCode"/>
    <w:qFormat/>
    <w:rsid w:val="00AD5F49"/>
    <w:pPr>
      <w:ind w:left="794"/>
    </w:pPr>
  </w:style>
  <w:style w:type="paragraph" w:customStyle="1" w:styleId="T2-TipBoxConsole">
    <w:name w:val="T2 - TipBoxConsole"/>
    <w:basedOn w:val="T1-TipBoxConsole"/>
    <w:qFormat/>
    <w:rsid w:val="00AD5F49"/>
    <w:pPr>
      <w:ind w:left="794"/>
    </w:pPr>
  </w:style>
  <w:style w:type="paragraph" w:customStyle="1" w:styleId="T2-TipBoxFigure">
    <w:name w:val="T2 - TipBoxFigure"/>
    <w:basedOn w:val="T1-TipBoxFigure"/>
    <w:qFormat/>
    <w:rsid w:val="00AD5F49"/>
    <w:pPr>
      <w:ind w:left="794"/>
    </w:pPr>
  </w:style>
  <w:style w:type="paragraph" w:customStyle="1" w:styleId="T2-TipBoxNumberedList">
    <w:name w:val="T2 - TipBoxNumberedList"/>
    <w:basedOn w:val="T1-TipBoxNumberedList"/>
    <w:qFormat/>
    <w:rsid w:val="00AD5F49"/>
    <w:pPr>
      <w:ind w:left="1151" w:hanging="357"/>
    </w:pPr>
  </w:style>
  <w:style w:type="paragraph" w:customStyle="1" w:styleId="T1-Table">
    <w:name w:val="T1 - Table"/>
    <w:basedOn w:val="T0-Table"/>
    <w:qFormat/>
    <w:rsid w:val="00AD5F49"/>
    <w:pPr>
      <w:ind w:left="454"/>
    </w:pPr>
  </w:style>
  <w:style w:type="paragraph" w:customStyle="1" w:styleId="T1-TableBullet">
    <w:name w:val="T1 - TableBullet"/>
    <w:basedOn w:val="T0-TableBullet"/>
    <w:qFormat/>
    <w:rsid w:val="00AD5F49"/>
    <w:pPr>
      <w:ind w:left="476" w:right="74" w:hanging="357"/>
    </w:pPr>
  </w:style>
  <w:style w:type="paragraph" w:customStyle="1" w:styleId="T1-TableCaption">
    <w:name w:val="T1 - TableCaption"/>
    <w:basedOn w:val="T0-TableCaption"/>
    <w:qFormat/>
    <w:rsid w:val="00AD5F49"/>
    <w:pPr>
      <w:ind w:left="454"/>
    </w:pPr>
  </w:style>
  <w:style w:type="paragraph" w:customStyle="1" w:styleId="T1-TableCenter">
    <w:name w:val="T1 - TableCenter"/>
    <w:basedOn w:val="T0-TableCenter"/>
    <w:qFormat/>
    <w:rsid w:val="00AD5F49"/>
    <w:pPr>
      <w:ind w:left="454"/>
    </w:pPr>
  </w:style>
  <w:style w:type="paragraph" w:customStyle="1" w:styleId="T1-TableFigure">
    <w:name w:val="T1 - TableFigure"/>
    <w:basedOn w:val="T0-TableFigure"/>
    <w:qFormat/>
    <w:rsid w:val="00AD5F49"/>
    <w:pPr>
      <w:ind w:left="454"/>
    </w:pPr>
  </w:style>
  <w:style w:type="paragraph" w:customStyle="1" w:styleId="T1-TableNumberedList">
    <w:name w:val="T1 - TableNumberedList"/>
    <w:basedOn w:val="T0-TableNumberedList"/>
    <w:qFormat/>
    <w:rsid w:val="00AD5F49"/>
    <w:pPr>
      <w:ind w:left="1242" w:right="74" w:hanging="357"/>
    </w:pPr>
  </w:style>
  <w:style w:type="paragraph" w:customStyle="1" w:styleId="T1-TableCode">
    <w:name w:val="T1 - TableCode"/>
    <w:basedOn w:val="T0-TableCode"/>
    <w:qFormat/>
    <w:rsid w:val="00AD5F49"/>
    <w:pPr>
      <w:ind w:left="278" w:right="232"/>
    </w:pPr>
  </w:style>
  <w:style w:type="paragraph" w:customStyle="1" w:styleId="T1-TableConsole">
    <w:name w:val="T1 - TableConsole"/>
    <w:basedOn w:val="T0-TableConsole"/>
    <w:qFormat/>
    <w:rsid w:val="00AD5F49"/>
    <w:pPr>
      <w:ind w:left="278" w:right="232"/>
    </w:pPr>
  </w:style>
  <w:style w:type="paragraph" w:customStyle="1" w:styleId="T2-Table">
    <w:name w:val="T2 - Table"/>
    <w:basedOn w:val="T0-Table"/>
    <w:qFormat/>
    <w:rsid w:val="00AD5F49"/>
    <w:pPr>
      <w:ind w:left="794"/>
    </w:pPr>
  </w:style>
  <w:style w:type="paragraph" w:customStyle="1" w:styleId="T2-TableBullet">
    <w:name w:val="T2 - TableBullet"/>
    <w:basedOn w:val="T0-TableBullet"/>
    <w:qFormat/>
    <w:rsid w:val="00AD5F49"/>
    <w:pPr>
      <w:ind w:left="1225" w:right="74" w:hanging="357"/>
    </w:pPr>
  </w:style>
  <w:style w:type="paragraph" w:customStyle="1" w:styleId="T2-TableCaption">
    <w:name w:val="T2 - TableCaption"/>
    <w:basedOn w:val="T0-TableCaption"/>
    <w:qFormat/>
    <w:rsid w:val="00AD5F49"/>
    <w:pPr>
      <w:ind w:left="794"/>
    </w:pPr>
  </w:style>
  <w:style w:type="paragraph" w:customStyle="1" w:styleId="T2-TableCenter">
    <w:name w:val="T2 - TableCenter"/>
    <w:basedOn w:val="T0-TableCenter"/>
    <w:qFormat/>
    <w:rsid w:val="00AD5F49"/>
    <w:pPr>
      <w:ind w:left="794"/>
    </w:pPr>
  </w:style>
  <w:style w:type="paragraph" w:customStyle="1" w:styleId="T2-TableCode">
    <w:name w:val="T2 - TableCode"/>
    <w:basedOn w:val="T0-TableCode"/>
    <w:qFormat/>
    <w:rsid w:val="00AD5F49"/>
    <w:pPr>
      <w:ind w:left="856" w:right="232"/>
    </w:pPr>
  </w:style>
  <w:style w:type="paragraph" w:customStyle="1" w:styleId="T2-TableConsole">
    <w:name w:val="T2 - TableConsole"/>
    <w:basedOn w:val="T0-TableConsole"/>
    <w:qFormat/>
    <w:rsid w:val="00AD5F49"/>
    <w:pPr>
      <w:ind w:left="856" w:right="232"/>
    </w:pPr>
  </w:style>
  <w:style w:type="paragraph" w:customStyle="1" w:styleId="T2-TableFigure">
    <w:name w:val="T2 - TableFigure"/>
    <w:basedOn w:val="T0-TipBoxFigure"/>
    <w:qFormat/>
    <w:rsid w:val="00AD5F49"/>
    <w:pPr>
      <w:ind w:left="794"/>
    </w:pPr>
  </w:style>
  <w:style w:type="paragraph" w:customStyle="1" w:styleId="T2-TableNumberedList">
    <w:name w:val="T2 - TableNumberedList"/>
    <w:basedOn w:val="T0-TableNumberedList"/>
    <w:qFormat/>
    <w:rsid w:val="00AD5F49"/>
    <w:pPr>
      <w:ind w:left="2149" w:right="74" w:hanging="357"/>
    </w:pPr>
  </w:style>
  <w:style w:type="paragraph" w:customStyle="1" w:styleId="FM-Dedication">
    <w:name w:val="FM - Dedication"/>
    <w:basedOn w:val="FM-CopyrightText"/>
    <w:qFormat/>
    <w:rsid w:val="00AD5F49"/>
    <w:pPr>
      <w:jc w:val="center"/>
    </w:pPr>
    <w:rPr>
      <w:i/>
    </w:rPr>
  </w:style>
  <w:style w:type="character" w:customStyle="1" w:styleId="CS-ColumnHeader">
    <w:name w:val="CS - ColumnHeader"/>
    <w:basedOn w:val="CS-Keyword"/>
    <w:uiPriority w:val="1"/>
    <w:qFormat/>
    <w:rsid w:val="00AD5F49"/>
    <w:rPr>
      <w:b/>
    </w:rPr>
  </w:style>
  <w:style w:type="character" w:customStyle="1" w:styleId="CS-RowHeader">
    <w:name w:val="CS - RowHeader"/>
    <w:basedOn w:val="CS-ColumnHeader"/>
    <w:uiPriority w:val="1"/>
    <w:qFormat/>
    <w:rsid w:val="00AD5F49"/>
    <w:rPr>
      <w:b/>
    </w:rPr>
  </w:style>
  <w:style w:type="paragraph" w:customStyle="1" w:styleId="Important0-ImportantBoxBullet">
    <w:name w:val="Important0 - ImportantBoxBullet"/>
    <w:basedOn w:val="I0-InfoBoxBullet"/>
    <w:link w:val="Important0-ImportantBoxBulletChar"/>
    <w:rsid w:val="00AD5F49"/>
  </w:style>
  <w:style w:type="character" w:customStyle="1" w:styleId="P0-ParagraphChar">
    <w:name w:val="P0 - Paragraph Char"/>
    <w:basedOn w:val="DefaultParagraphFont"/>
    <w:link w:val="P0-Paragraph"/>
    <w:rsid w:val="00AD5F49"/>
    <w:rPr>
      <w:rFonts w:ascii="Crimson Pro" w:eastAsia="Times New Roman" w:hAnsi="Crimson Pro" w:cs="Times New Roman"/>
      <w:color w:val="auto"/>
      <w:szCs w:val="24"/>
      <w:lang w:val="en-US"/>
    </w:rPr>
  </w:style>
  <w:style w:type="character" w:customStyle="1" w:styleId="Important0-ImportantBoxBulletChar">
    <w:name w:val="Important0 - ImportantBoxBullet Char"/>
    <w:basedOn w:val="P0-ParagraphChar"/>
    <w:link w:val="Important0-ImportantBoxBulle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0-ImportantBoxCenter">
    <w:name w:val="Important0 - ImportantBoxCenter"/>
    <w:basedOn w:val="I0-InfoBoxCenter"/>
    <w:link w:val="Important0-ImportantBoxCenterChar"/>
    <w:rsid w:val="00AD5F49"/>
  </w:style>
  <w:style w:type="character" w:customStyle="1" w:styleId="Important0-ImportantBoxCenterChar">
    <w:name w:val="Important0 - ImportantBoxCenter Char"/>
    <w:basedOn w:val="P0-ParagraphChar"/>
    <w:link w:val="Important0-ImportantBoxCenter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0-ImportantBoxFigure">
    <w:name w:val="Important0 - ImportantBoxFigure"/>
    <w:basedOn w:val="I0-InfoBoxFigure"/>
    <w:link w:val="Important0-ImportantBoxFigureChar"/>
    <w:rsid w:val="00AD5F49"/>
  </w:style>
  <w:style w:type="character" w:customStyle="1" w:styleId="Important0-ImportantBoxFigureChar">
    <w:name w:val="Important0 - ImportantBoxFigure Char"/>
    <w:basedOn w:val="P0-ParagraphChar"/>
    <w:link w:val="Important0-ImportantBoxFigure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Important0-ImportantBoxCaption">
    <w:name w:val="Important0 - ImportantBoxCaption"/>
    <w:basedOn w:val="I0-InfoBoxCaption"/>
    <w:link w:val="Important0-ImportantBoxCaptionChar"/>
    <w:rsid w:val="00AD5F49"/>
  </w:style>
  <w:style w:type="character" w:customStyle="1" w:styleId="Important0-ImportantBoxCaptionChar">
    <w:name w:val="Important0 - ImportantBoxCaption Char"/>
    <w:basedOn w:val="P0-ParagraphChar"/>
    <w:link w:val="Important0-ImportantBoxCaption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Important0-ImportantBox">
    <w:name w:val="Important0 - ImportantBox"/>
    <w:basedOn w:val="I0-InfoBox"/>
    <w:link w:val="Important0-ImportantBoxChar"/>
    <w:rsid w:val="00AD5F49"/>
  </w:style>
  <w:style w:type="character" w:customStyle="1" w:styleId="Important0-ImportantBoxChar">
    <w:name w:val="Important0 - ImportantBox Char"/>
    <w:basedOn w:val="P0-ParagraphChar"/>
    <w:link w:val="Important0-Important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0-ImportantBoxNumberedList">
    <w:name w:val="Important0 - ImportantBoxNumberedList"/>
    <w:basedOn w:val="I0-InfoBoxNumberedList"/>
    <w:link w:val="Important0-ImportantBoxNumberedListChar"/>
    <w:rsid w:val="00AD5F49"/>
  </w:style>
  <w:style w:type="character" w:customStyle="1" w:styleId="Important0-ImportantBoxNumberedListChar">
    <w:name w:val="Important0 - ImportantBoxNumberedList Char"/>
    <w:basedOn w:val="P0-ParagraphChar"/>
    <w:link w:val="Important0-ImportantBoxNumberedLis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0-ImportantBoxCode">
    <w:name w:val="Important0 - ImportantBoxCode"/>
    <w:basedOn w:val="I0-InfoBoxCode"/>
    <w:link w:val="Important0-ImportantBoxCodeChar"/>
    <w:rsid w:val="00AD5F49"/>
  </w:style>
  <w:style w:type="character" w:customStyle="1" w:styleId="Important0-ImportantBoxCodeChar">
    <w:name w:val="Important0 - ImportantBoxCode Char"/>
    <w:basedOn w:val="P0-ParagraphChar"/>
    <w:link w:val="Important0-ImportantBoxCode"/>
    <w:rsid w:val="00AD5F49"/>
    <w:rPr>
      <w:rFonts w:ascii="Consolas" w:eastAsia="Times New Roman" w:hAnsi="Consolas" w:cs="Times New Roman"/>
      <w:color w:val="383A42"/>
      <w:sz w:val="18"/>
      <w:szCs w:val="24"/>
      <w:shd w:val="clear" w:color="auto" w:fill="FAFAFA"/>
      <w:lang w:val="en-US"/>
    </w:rPr>
  </w:style>
  <w:style w:type="paragraph" w:customStyle="1" w:styleId="Important0-ImportantBoxConsole">
    <w:name w:val="Important0 - ImportantBoxConsole"/>
    <w:basedOn w:val="I0-InfoBoxConsole"/>
    <w:link w:val="Important0-ImportantBoxConsoleChar"/>
    <w:rsid w:val="00AD5F49"/>
  </w:style>
  <w:style w:type="character" w:customStyle="1" w:styleId="Important0-ImportantBoxConsoleChar">
    <w:name w:val="Important0 - ImportantBoxConsole Char"/>
    <w:basedOn w:val="P0-ParagraphChar"/>
    <w:link w:val="Important0-ImportantBoxConsole"/>
    <w:rsid w:val="00AD5F49"/>
    <w:rPr>
      <w:rFonts w:ascii="Consolas" w:eastAsia="Times New Roman" w:hAnsi="Consolas" w:cs="Times New Roman"/>
      <w:color w:val="F8F8F2"/>
      <w:sz w:val="18"/>
      <w:szCs w:val="24"/>
      <w:shd w:val="clear" w:color="auto" w:fill="282A36"/>
      <w:lang w:val="en-US"/>
    </w:rPr>
  </w:style>
  <w:style w:type="paragraph" w:customStyle="1" w:styleId="Important1-ImportantBoxBullet">
    <w:name w:val="Important1 - ImportantBoxBullet"/>
    <w:basedOn w:val="I1-InfoBoxBullet"/>
    <w:link w:val="Important1-ImportantBoxBulletChar"/>
    <w:rsid w:val="00AD5F49"/>
  </w:style>
  <w:style w:type="character" w:customStyle="1" w:styleId="Important1-ImportantBoxBulletChar">
    <w:name w:val="Important1 - ImportantBoxBullet Char"/>
    <w:basedOn w:val="P0-ParagraphChar"/>
    <w:link w:val="Important1-ImportantBoxBulle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1-ImportantBoxCenter">
    <w:name w:val="Important1 - ImportantBoxCenter"/>
    <w:basedOn w:val="I1-InfoBoxCenter"/>
    <w:link w:val="Important1-ImportantBoxCenterChar"/>
    <w:rsid w:val="00AD5F49"/>
  </w:style>
  <w:style w:type="character" w:customStyle="1" w:styleId="Important1-ImportantBoxCenterChar">
    <w:name w:val="Important1 - ImportantBoxCenter Char"/>
    <w:basedOn w:val="P0-ParagraphChar"/>
    <w:link w:val="Important1-ImportantBoxCenter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1-ImportantBoxFigure">
    <w:name w:val="Important1 - ImportantBoxFigure"/>
    <w:basedOn w:val="I1-InfoBoxFigure"/>
    <w:link w:val="Important1-ImportantBoxFigureChar"/>
    <w:rsid w:val="00AD5F49"/>
  </w:style>
  <w:style w:type="character" w:customStyle="1" w:styleId="Important1-ImportantBoxFigureChar">
    <w:name w:val="Important1 - ImportantBoxFigure Char"/>
    <w:basedOn w:val="P0-ParagraphChar"/>
    <w:link w:val="Important1-ImportantBoxFigure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Important1-ImportantBoxCaption">
    <w:name w:val="Important1 - ImportantBoxCaption"/>
    <w:basedOn w:val="I1-InfoBoxCaption"/>
    <w:link w:val="Important1-ImportantBoxCaptionChar"/>
    <w:rsid w:val="00AD5F49"/>
  </w:style>
  <w:style w:type="character" w:customStyle="1" w:styleId="Important1-ImportantBoxCaptionChar">
    <w:name w:val="Important1 - ImportantBoxCaption Char"/>
    <w:basedOn w:val="P0-ParagraphChar"/>
    <w:link w:val="Important1-ImportantBoxCaption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Important1-ImportantBox">
    <w:name w:val="Important1 - ImportantBox"/>
    <w:basedOn w:val="I1-InfoBox"/>
    <w:link w:val="Important1-ImportantBoxChar"/>
    <w:rsid w:val="00AD5F49"/>
  </w:style>
  <w:style w:type="character" w:customStyle="1" w:styleId="Important1-ImportantBoxChar">
    <w:name w:val="Important1 - ImportantBox Char"/>
    <w:basedOn w:val="P0-ParagraphChar"/>
    <w:link w:val="Important1-Important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1-ImportantBoxNumberedList">
    <w:name w:val="Important1 - ImportantBoxNumberedList"/>
    <w:basedOn w:val="I1-InfoBoxNumberedList"/>
    <w:link w:val="Important1-ImportantBoxNumberedListChar"/>
    <w:rsid w:val="00AD5F49"/>
  </w:style>
  <w:style w:type="character" w:customStyle="1" w:styleId="Important1-ImportantBoxNumberedListChar">
    <w:name w:val="Important1 - ImportantBoxNumberedList Char"/>
    <w:basedOn w:val="P0-ParagraphChar"/>
    <w:link w:val="Important1-ImportantBoxNumberedLis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1-ImportantBoxCode">
    <w:name w:val="Important1 - ImportantBoxCode"/>
    <w:basedOn w:val="I1-InfoBoxCode"/>
    <w:link w:val="Important1-ImportantBoxCodeChar"/>
    <w:rsid w:val="00AD5F49"/>
  </w:style>
  <w:style w:type="character" w:customStyle="1" w:styleId="Important1-ImportantBoxCodeChar">
    <w:name w:val="Important1 - ImportantBoxCode Char"/>
    <w:basedOn w:val="P0-ParagraphChar"/>
    <w:link w:val="Important1-ImportantBoxCode"/>
    <w:rsid w:val="00AD5F49"/>
    <w:rPr>
      <w:rFonts w:ascii="Consolas" w:eastAsia="Times New Roman" w:hAnsi="Consolas" w:cs="Times New Roman"/>
      <w:color w:val="383A42"/>
      <w:sz w:val="18"/>
      <w:szCs w:val="24"/>
      <w:shd w:val="clear" w:color="auto" w:fill="FAFAFA"/>
      <w:lang w:val="en-US"/>
    </w:rPr>
  </w:style>
  <w:style w:type="paragraph" w:customStyle="1" w:styleId="Important1-ImportantBoxConsole">
    <w:name w:val="Important1 - ImportantBoxConsole"/>
    <w:basedOn w:val="I1-InfoBoxConsole"/>
    <w:link w:val="Important1-ImportantBoxConsoleChar"/>
    <w:rsid w:val="00AD5F49"/>
  </w:style>
  <w:style w:type="character" w:customStyle="1" w:styleId="Important1-ImportantBoxConsoleChar">
    <w:name w:val="Important1 - ImportantBoxConsole Char"/>
    <w:basedOn w:val="P0-ParagraphChar"/>
    <w:link w:val="Important1-ImportantBoxConsole"/>
    <w:rsid w:val="00AD5F49"/>
    <w:rPr>
      <w:rFonts w:ascii="Consolas" w:eastAsia="Times New Roman" w:hAnsi="Consolas" w:cs="Times New Roman"/>
      <w:color w:val="F8F8F2"/>
      <w:sz w:val="18"/>
      <w:szCs w:val="24"/>
      <w:shd w:val="clear" w:color="auto" w:fill="282A36"/>
      <w:lang w:val="en-US"/>
    </w:rPr>
  </w:style>
  <w:style w:type="paragraph" w:customStyle="1" w:styleId="Important2-ImportantBoxBullet">
    <w:name w:val="Important2 - ImportantBoxBullet"/>
    <w:basedOn w:val="I2-InfoBoxBullet"/>
    <w:link w:val="Important2-ImportantBoxBulletChar"/>
    <w:rsid w:val="00AD5F49"/>
  </w:style>
  <w:style w:type="character" w:customStyle="1" w:styleId="Important2-ImportantBoxBulletChar">
    <w:name w:val="Important2 - ImportantBoxBullet Char"/>
    <w:basedOn w:val="P0-ParagraphChar"/>
    <w:link w:val="Important2-ImportantBoxBulle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2-ImportantBoxCenter">
    <w:name w:val="Important2 - ImportantBoxCenter"/>
    <w:basedOn w:val="I2-InfoBoxCenter"/>
    <w:link w:val="Important2-ImportantBoxCenterChar"/>
    <w:rsid w:val="00AD5F49"/>
  </w:style>
  <w:style w:type="character" w:customStyle="1" w:styleId="Important2-ImportantBoxCenterChar">
    <w:name w:val="Important2 - ImportantBoxCenter Char"/>
    <w:basedOn w:val="P0-ParagraphChar"/>
    <w:link w:val="Important2-ImportantBoxCenter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2-ImportantBoxFigure">
    <w:name w:val="Important2 - ImportantBoxFigure"/>
    <w:basedOn w:val="I2-InfoBoxFigure"/>
    <w:link w:val="Important2-ImportantBoxFigureChar"/>
    <w:rsid w:val="00AD5F49"/>
  </w:style>
  <w:style w:type="character" w:customStyle="1" w:styleId="Important2-ImportantBoxFigureChar">
    <w:name w:val="Important2 - ImportantBoxFigure Char"/>
    <w:basedOn w:val="P0-ParagraphChar"/>
    <w:link w:val="Important2-ImportantBoxFigure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Important2-ImportantBoxCaption">
    <w:name w:val="Important2 - ImportantBoxCaption"/>
    <w:basedOn w:val="I2-InfoBoxCaption"/>
    <w:link w:val="Important2-ImportantBoxCaptionChar"/>
    <w:rsid w:val="00AD5F49"/>
  </w:style>
  <w:style w:type="character" w:customStyle="1" w:styleId="Important2-ImportantBoxCaptionChar">
    <w:name w:val="Important2 - ImportantBoxCaption Char"/>
    <w:basedOn w:val="P0-ParagraphChar"/>
    <w:link w:val="Important2-ImportantBoxCaption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Important2-ImportantBox">
    <w:name w:val="Important2 - ImportantBox"/>
    <w:basedOn w:val="I2-InfoBox"/>
    <w:link w:val="Important2-ImportantBoxChar"/>
    <w:rsid w:val="00AD5F49"/>
  </w:style>
  <w:style w:type="character" w:customStyle="1" w:styleId="Important2-ImportantBoxChar">
    <w:name w:val="Important2 - ImportantBox Char"/>
    <w:basedOn w:val="P0-ParagraphChar"/>
    <w:link w:val="Important2-Important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2-ImportantBoxNumberedList">
    <w:name w:val="Important2 - ImportantBoxNumberedList"/>
    <w:basedOn w:val="I2-InfoBoxNumberedList"/>
    <w:link w:val="Important2-ImportantBoxNumberedListChar"/>
    <w:rsid w:val="00AD5F49"/>
  </w:style>
  <w:style w:type="character" w:customStyle="1" w:styleId="Important2-ImportantBoxNumberedListChar">
    <w:name w:val="Important2 - ImportantBoxNumberedList Char"/>
    <w:basedOn w:val="P0-ParagraphChar"/>
    <w:link w:val="Important2-ImportantBoxNumberedLis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Important2-ImportantBoxCode">
    <w:name w:val="Important2 - ImportantBoxCode"/>
    <w:basedOn w:val="I2-InfoBoxCode"/>
    <w:link w:val="Important2-ImportantBoxCodeChar"/>
    <w:rsid w:val="00AD5F49"/>
  </w:style>
  <w:style w:type="character" w:customStyle="1" w:styleId="Important2-ImportantBoxCodeChar">
    <w:name w:val="Important2 - ImportantBoxCode Char"/>
    <w:basedOn w:val="P0-ParagraphChar"/>
    <w:link w:val="Important2-ImportantBoxCode"/>
    <w:rsid w:val="00AD5F49"/>
    <w:rPr>
      <w:rFonts w:ascii="Consolas" w:eastAsia="Times New Roman" w:hAnsi="Consolas" w:cs="Times New Roman"/>
      <w:color w:val="383A42"/>
      <w:sz w:val="18"/>
      <w:szCs w:val="24"/>
      <w:shd w:val="clear" w:color="auto" w:fill="FAFAFA"/>
      <w:lang w:val="en-US"/>
    </w:rPr>
  </w:style>
  <w:style w:type="paragraph" w:customStyle="1" w:styleId="Important2-ImportantBoxConsole">
    <w:name w:val="Important2 - ImportantBoxConsole"/>
    <w:basedOn w:val="I2-InfoBoxConsole"/>
    <w:link w:val="Important2-ImportantBoxConsoleChar"/>
    <w:rsid w:val="00AD5F49"/>
  </w:style>
  <w:style w:type="character" w:customStyle="1" w:styleId="Important2-ImportantBoxConsoleChar">
    <w:name w:val="Important2 - ImportantBoxConsole Char"/>
    <w:basedOn w:val="P0-ParagraphChar"/>
    <w:link w:val="Important2-ImportantBoxConsole"/>
    <w:rsid w:val="00AD5F49"/>
    <w:rPr>
      <w:rFonts w:ascii="Consolas" w:eastAsia="Times New Roman" w:hAnsi="Consolas" w:cs="Times New Roman"/>
      <w:color w:val="F8F8F2"/>
      <w:sz w:val="18"/>
      <w:szCs w:val="24"/>
      <w:shd w:val="clear" w:color="auto" w:fill="282A36"/>
      <w:lang w:val="en-US"/>
    </w:rPr>
  </w:style>
  <w:style w:type="paragraph" w:customStyle="1" w:styleId="Caution0-CautionBoxBullet">
    <w:name w:val="Caution0 - CautionBoxBullet"/>
    <w:basedOn w:val="I0-InfoBoxBullet"/>
    <w:link w:val="Caution0-CautionBoxBulletChar"/>
    <w:rsid w:val="00AD5F49"/>
  </w:style>
  <w:style w:type="character" w:customStyle="1" w:styleId="Caution0-CautionBoxBulletChar">
    <w:name w:val="Caution0 - CautionBoxBullet Char"/>
    <w:basedOn w:val="P0-ParagraphChar"/>
    <w:link w:val="Caution0-CautionBoxBulle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0-CautionBoxCenter">
    <w:name w:val="Caution0 - CautionBoxCenter"/>
    <w:basedOn w:val="I0-InfoBoxCenter"/>
    <w:link w:val="Caution0-CautionBoxCenterChar"/>
    <w:rsid w:val="00AD5F49"/>
  </w:style>
  <w:style w:type="character" w:customStyle="1" w:styleId="Caution0-CautionBoxCenterChar">
    <w:name w:val="Caution0 - CautionBoxCenter Char"/>
    <w:basedOn w:val="P0-ParagraphChar"/>
    <w:link w:val="Caution0-CautionBoxCenter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0-CautionBoxFigure">
    <w:name w:val="Caution0 - CautionBoxFigure"/>
    <w:basedOn w:val="I0-InfoBoxFigure"/>
    <w:link w:val="Caution0-CautionBoxFigureChar"/>
    <w:rsid w:val="00AD5F49"/>
  </w:style>
  <w:style w:type="character" w:customStyle="1" w:styleId="Caution0-CautionBoxFigureChar">
    <w:name w:val="Caution0 - CautionBoxFigure Char"/>
    <w:basedOn w:val="P0-ParagraphChar"/>
    <w:link w:val="Caution0-CautionBoxFigure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Caution0-CautionBoxCaption">
    <w:name w:val="Caution0 - CautionBoxCaption"/>
    <w:basedOn w:val="I0-InfoBoxCaption"/>
    <w:link w:val="Caution0-CautionBoxCaptionChar"/>
    <w:rsid w:val="00AD5F49"/>
  </w:style>
  <w:style w:type="character" w:customStyle="1" w:styleId="Caution0-CautionBoxCaptionChar">
    <w:name w:val="Caution0 - CautionBoxCaption Char"/>
    <w:basedOn w:val="P0-ParagraphChar"/>
    <w:link w:val="Caution0-CautionBoxCaption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Caution0-CautionBox">
    <w:name w:val="Caution0 - CautionBox"/>
    <w:basedOn w:val="I0-InfoBox"/>
    <w:link w:val="Caution0-CautionBoxChar"/>
    <w:rsid w:val="00AD5F49"/>
  </w:style>
  <w:style w:type="character" w:customStyle="1" w:styleId="Caution0-CautionBoxChar">
    <w:name w:val="Caution0 - CautionBox Char"/>
    <w:basedOn w:val="P0-ParagraphChar"/>
    <w:link w:val="Caution0-Caution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0-CautionBoxNumberedList">
    <w:name w:val="Caution0 - CautionBoxNumberedList"/>
    <w:basedOn w:val="I0-InfoBoxNumberedList"/>
    <w:link w:val="Caution0-CautionBoxNumberedListChar"/>
    <w:rsid w:val="00AD5F49"/>
  </w:style>
  <w:style w:type="character" w:customStyle="1" w:styleId="Caution0-CautionBoxNumberedListChar">
    <w:name w:val="Caution0 - CautionBoxNumberedList Char"/>
    <w:basedOn w:val="P0-ParagraphChar"/>
    <w:link w:val="Caution0-CautionBoxNumberedLis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0-CautionBoxCode">
    <w:name w:val="Caution0 - CautionBoxCode"/>
    <w:basedOn w:val="I0-InfoBoxCode"/>
    <w:link w:val="Caution0-CautionBoxCodeChar"/>
    <w:rsid w:val="00AD5F49"/>
  </w:style>
  <w:style w:type="character" w:customStyle="1" w:styleId="Caution0-CautionBoxCodeChar">
    <w:name w:val="Caution0 - CautionBoxCode Char"/>
    <w:basedOn w:val="P0-ParagraphChar"/>
    <w:link w:val="Caution0-CautionBoxCode"/>
    <w:rsid w:val="00AD5F49"/>
    <w:rPr>
      <w:rFonts w:ascii="Consolas" w:eastAsia="Times New Roman" w:hAnsi="Consolas" w:cs="Times New Roman"/>
      <w:color w:val="383A42"/>
      <w:sz w:val="18"/>
      <w:szCs w:val="24"/>
      <w:shd w:val="clear" w:color="auto" w:fill="FAFAFA"/>
      <w:lang w:val="en-US"/>
    </w:rPr>
  </w:style>
  <w:style w:type="paragraph" w:customStyle="1" w:styleId="Caution0-CautionBoxConsole">
    <w:name w:val="Caution0 - CautionBoxConsole"/>
    <w:basedOn w:val="I0-InfoBoxConsole"/>
    <w:link w:val="Caution0-CautionBoxConsoleChar"/>
    <w:rsid w:val="00AD5F49"/>
  </w:style>
  <w:style w:type="character" w:customStyle="1" w:styleId="Caution0-CautionBoxConsoleChar">
    <w:name w:val="Caution0 - CautionBoxConsole Char"/>
    <w:basedOn w:val="P0-ParagraphChar"/>
    <w:link w:val="Caution0-CautionBoxConsole"/>
    <w:rsid w:val="00AD5F49"/>
    <w:rPr>
      <w:rFonts w:ascii="Consolas" w:eastAsia="Times New Roman" w:hAnsi="Consolas" w:cs="Times New Roman"/>
      <w:color w:val="F8F8F2"/>
      <w:sz w:val="18"/>
      <w:szCs w:val="24"/>
      <w:shd w:val="clear" w:color="auto" w:fill="282A36"/>
      <w:lang w:val="en-US"/>
    </w:rPr>
  </w:style>
  <w:style w:type="paragraph" w:customStyle="1" w:styleId="Caution1-CautionBoxBullet">
    <w:name w:val="Caution1 - CautionBoxBullet"/>
    <w:basedOn w:val="I1-InfoBoxBullet"/>
    <w:link w:val="Caution1-CautionBoxBulletChar"/>
    <w:rsid w:val="00AD5F49"/>
  </w:style>
  <w:style w:type="character" w:customStyle="1" w:styleId="Caution1-CautionBoxBulletChar">
    <w:name w:val="Caution1 - CautionBoxBullet Char"/>
    <w:basedOn w:val="P0-ParagraphChar"/>
    <w:link w:val="Caution1-CautionBoxBulle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1-CautionBoxCenter">
    <w:name w:val="Caution1 - CautionBoxCenter"/>
    <w:basedOn w:val="I1-InfoBoxCenter"/>
    <w:link w:val="Caution1-CautionBoxCenterChar"/>
    <w:rsid w:val="00AD5F49"/>
  </w:style>
  <w:style w:type="character" w:customStyle="1" w:styleId="Caution1-CautionBoxCenterChar">
    <w:name w:val="Caution1 - CautionBoxCenter Char"/>
    <w:basedOn w:val="P0-ParagraphChar"/>
    <w:link w:val="Caution1-CautionBoxCenter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1-CautionBoxFigure">
    <w:name w:val="Caution1 - CautionBoxFigure"/>
    <w:basedOn w:val="I1-InfoBoxFigure"/>
    <w:link w:val="Caution1-CautionBoxFigureChar"/>
    <w:rsid w:val="00AD5F49"/>
  </w:style>
  <w:style w:type="character" w:customStyle="1" w:styleId="Caution1-CautionBoxFigureChar">
    <w:name w:val="Caution1 - CautionBoxFigure Char"/>
    <w:basedOn w:val="P0-ParagraphChar"/>
    <w:link w:val="Caution1-CautionBoxFigure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Caution1-CautionBoxCaption">
    <w:name w:val="Caution1 - CautionBoxCaption"/>
    <w:basedOn w:val="I1-InfoBoxCaption"/>
    <w:link w:val="Caution1-CautionBoxCaptionChar"/>
    <w:rsid w:val="00AD5F49"/>
  </w:style>
  <w:style w:type="character" w:customStyle="1" w:styleId="Caution1-CautionBoxCaptionChar">
    <w:name w:val="Caution1 - CautionBoxCaption Char"/>
    <w:basedOn w:val="P0-ParagraphChar"/>
    <w:link w:val="Caution1-CautionBoxCaption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Caution1-CautionBox">
    <w:name w:val="Caution1 - CautionBox"/>
    <w:basedOn w:val="I1-InfoBox"/>
    <w:link w:val="Caution1-CautionBoxChar"/>
    <w:rsid w:val="00AD5F49"/>
  </w:style>
  <w:style w:type="character" w:customStyle="1" w:styleId="Caution1-CautionBoxChar">
    <w:name w:val="Caution1 - CautionBox Char"/>
    <w:basedOn w:val="P0-ParagraphChar"/>
    <w:link w:val="Caution1-Caution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1-CautionBoxNumberedList">
    <w:name w:val="Caution1 - CautionBoxNumberedList"/>
    <w:basedOn w:val="I1-InfoBoxNumberedList"/>
    <w:link w:val="Caution1-CautionBoxNumberedListChar"/>
    <w:rsid w:val="00AD5F49"/>
  </w:style>
  <w:style w:type="character" w:customStyle="1" w:styleId="Caution1-CautionBoxNumberedListChar">
    <w:name w:val="Caution1 - CautionBoxNumberedList Char"/>
    <w:basedOn w:val="P0-ParagraphChar"/>
    <w:link w:val="Caution1-CautionBoxNumberedLis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1-CautionBoxCode">
    <w:name w:val="Caution1 - CautionBoxCode"/>
    <w:basedOn w:val="I1-InfoBoxCode"/>
    <w:link w:val="Caution1-CautionBoxCodeChar"/>
    <w:rsid w:val="00AD5F49"/>
  </w:style>
  <w:style w:type="character" w:customStyle="1" w:styleId="Caution1-CautionBoxCodeChar">
    <w:name w:val="Caution1 - CautionBoxCode Char"/>
    <w:basedOn w:val="P0-ParagraphChar"/>
    <w:link w:val="Caution1-CautionBoxCode"/>
    <w:rsid w:val="00AD5F49"/>
    <w:rPr>
      <w:rFonts w:ascii="Consolas" w:eastAsia="Times New Roman" w:hAnsi="Consolas" w:cs="Times New Roman"/>
      <w:color w:val="383A42"/>
      <w:sz w:val="18"/>
      <w:szCs w:val="24"/>
      <w:shd w:val="clear" w:color="auto" w:fill="FAFAFA"/>
      <w:lang w:val="en-US"/>
    </w:rPr>
  </w:style>
  <w:style w:type="paragraph" w:customStyle="1" w:styleId="Caution1-CautionBoxConsole">
    <w:name w:val="Caution1 - CautionBoxConsole"/>
    <w:basedOn w:val="I1-InfoBoxConsole"/>
    <w:link w:val="Caution1-CautionBoxConsoleChar"/>
    <w:rsid w:val="00AD5F49"/>
  </w:style>
  <w:style w:type="character" w:customStyle="1" w:styleId="Caution1-CautionBoxConsoleChar">
    <w:name w:val="Caution1 - CautionBoxConsole Char"/>
    <w:basedOn w:val="P0-ParagraphChar"/>
    <w:link w:val="Caution1-CautionBoxConsole"/>
    <w:rsid w:val="00AD5F49"/>
    <w:rPr>
      <w:rFonts w:ascii="Consolas" w:eastAsia="Times New Roman" w:hAnsi="Consolas" w:cs="Times New Roman"/>
      <w:color w:val="F8F8F2"/>
      <w:sz w:val="18"/>
      <w:szCs w:val="24"/>
      <w:shd w:val="clear" w:color="auto" w:fill="282A36"/>
      <w:lang w:val="en-US"/>
    </w:rPr>
  </w:style>
  <w:style w:type="paragraph" w:customStyle="1" w:styleId="Caution2-CautionBoxBullet">
    <w:name w:val="Caution2 - CautionBoxBullet"/>
    <w:basedOn w:val="I2-InfoBoxBullet"/>
    <w:link w:val="Caution2-CautionBoxBulletChar"/>
    <w:rsid w:val="00AD5F49"/>
  </w:style>
  <w:style w:type="character" w:customStyle="1" w:styleId="Caution2-CautionBoxBulletChar">
    <w:name w:val="Caution2 - CautionBoxBullet Char"/>
    <w:basedOn w:val="P0-ParagraphChar"/>
    <w:link w:val="Caution2-CautionBoxBulle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2-CautionBoxCenter">
    <w:name w:val="Caution2 - CautionBoxCenter"/>
    <w:basedOn w:val="I2-InfoBoxCenter"/>
    <w:link w:val="Caution2-CautionBoxCenterChar"/>
    <w:rsid w:val="00AD5F49"/>
  </w:style>
  <w:style w:type="character" w:customStyle="1" w:styleId="Caution2-CautionBoxCenterChar">
    <w:name w:val="Caution2 - CautionBoxCenter Char"/>
    <w:basedOn w:val="P0-ParagraphChar"/>
    <w:link w:val="Caution2-CautionBoxCenter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2-CautionBoxFigure">
    <w:name w:val="Caution2 - CautionBoxFigure"/>
    <w:basedOn w:val="I2-InfoBoxFigure"/>
    <w:link w:val="Caution2-CautionBoxFigureChar"/>
    <w:rsid w:val="00AD5F49"/>
  </w:style>
  <w:style w:type="character" w:customStyle="1" w:styleId="Caution2-CautionBoxFigureChar">
    <w:name w:val="Caution2 - CautionBoxFigure Char"/>
    <w:basedOn w:val="P0-ParagraphChar"/>
    <w:link w:val="Caution2-CautionBoxFigure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Caution2-CautionBoxCaption">
    <w:name w:val="Caution2 - CautionBoxCaption"/>
    <w:basedOn w:val="I2-InfoBoxCaption"/>
    <w:link w:val="Caution2-CautionBoxCaptionChar"/>
    <w:rsid w:val="00AD5F49"/>
  </w:style>
  <w:style w:type="character" w:customStyle="1" w:styleId="Caution2-CautionBoxCaptionChar">
    <w:name w:val="Caution2 - CautionBoxCaption Char"/>
    <w:basedOn w:val="P0-ParagraphChar"/>
    <w:link w:val="Caution2-CautionBoxCaption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Caution2-CautionBox">
    <w:name w:val="Caution2 - CautionBox"/>
    <w:basedOn w:val="I2-InfoBox"/>
    <w:link w:val="Caution2-CautionBoxChar"/>
    <w:rsid w:val="00AD5F49"/>
  </w:style>
  <w:style w:type="character" w:customStyle="1" w:styleId="Caution2-CautionBoxChar">
    <w:name w:val="Caution2 - CautionBox Char"/>
    <w:basedOn w:val="P0-ParagraphChar"/>
    <w:link w:val="Caution2-Caution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2-CautionBoxNumberedList">
    <w:name w:val="Caution2 - CautionBoxNumberedList"/>
    <w:basedOn w:val="I2-InfoBoxNumberedList"/>
    <w:link w:val="Caution2-CautionBoxNumberedListChar"/>
    <w:rsid w:val="00AD5F49"/>
  </w:style>
  <w:style w:type="character" w:customStyle="1" w:styleId="Caution2-CautionBoxNumberedListChar">
    <w:name w:val="Caution2 - CautionBoxNumberedList Char"/>
    <w:basedOn w:val="P0-ParagraphChar"/>
    <w:link w:val="Caution2-CautionBoxNumberedLis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Caution2-CautionBoxCode">
    <w:name w:val="Caution2 - CautionBoxCode"/>
    <w:basedOn w:val="I2-InfoBoxCode"/>
    <w:link w:val="Caution2-CautionBoxCodeChar"/>
    <w:rsid w:val="00AD5F49"/>
  </w:style>
  <w:style w:type="character" w:customStyle="1" w:styleId="Caution2-CautionBoxCodeChar">
    <w:name w:val="Caution2 - CautionBoxCode Char"/>
    <w:basedOn w:val="P0-ParagraphChar"/>
    <w:link w:val="Caution2-CautionBoxCode"/>
    <w:rsid w:val="00AD5F49"/>
    <w:rPr>
      <w:rFonts w:ascii="Consolas" w:eastAsia="Times New Roman" w:hAnsi="Consolas" w:cs="Times New Roman"/>
      <w:color w:val="383A42"/>
      <w:sz w:val="18"/>
      <w:szCs w:val="24"/>
      <w:shd w:val="clear" w:color="auto" w:fill="FAFAFA"/>
      <w:lang w:val="en-US"/>
    </w:rPr>
  </w:style>
  <w:style w:type="paragraph" w:customStyle="1" w:styleId="Caution2-CautionBoxConsole">
    <w:name w:val="Caution2 - CautionBoxConsole"/>
    <w:basedOn w:val="I2-InfoBoxConsole"/>
    <w:link w:val="Caution2-CautionBoxConsoleChar"/>
    <w:rsid w:val="00AD5F49"/>
  </w:style>
  <w:style w:type="character" w:customStyle="1" w:styleId="Caution2-CautionBoxConsoleChar">
    <w:name w:val="Caution2 - CautionBoxConsole Char"/>
    <w:basedOn w:val="P0-ParagraphChar"/>
    <w:link w:val="Caution2-CautionBoxConsole"/>
    <w:rsid w:val="00AD5F49"/>
    <w:rPr>
      <w:rFonts w:ascii="Consolas" w:eastAsia="Times New Roman" w:hAnsi="Consolas" w:cs="Times New Roman"/>
      <w:color w:val="F8F8F2"/>
      <w:sz w:val="18"/>
      <w:szCs w:val="24"/>
      <w:shd w:val="clear" w:color="auto" w:fill="282A36"/>
      <w:lang w:val="en-US"/>
    </w:rPr>
  </w:style>
  <w:style w:type="paragraph" w:customStyle="1" w:styleId="AIHelper0-AIHelperBoxBullet">
    <w:name w:val="AI Helper0 - AIHelperBoxBullet"/>
    <w:basedOn w:val="I0-InfoBoxBullet"/>
    <w:link w:val="AIHelper0-AIHelperBoxBulletChar"/>
    <w:rsid w:val="00AD5F49"/>
  </w:style>
  <w:style w:type="character" w:customStyle="1" w:styleId="AIHelper0-AIHelperBoxBulletChar">
    <w:name w:val="AI Helper0 - AIHelperBoxBullet Char"/>
    <w:basedOn w:val="P0-ParagraphChar"/>
    <w:link w:val="AIHelper0-AIHelperBoxBulle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0-AIHelperBoxCenter">
    <w:name w:val="AI Helper0 - AIHelperBoxCenter"/>
    <w:basedOn w:val="I0-InfoBoxCenter"/>
    <w:link w:val="AIHelper0-AIHelperBoxCenterChar"/>
    <w:rsid w:val="00AD5F49"/>
  </w:style>
  <w:style w:type="character" w:customStyle="1" w:styleId="AIHelper0-AIHelperBoxCenterChar">
    <w:name w:val="AI Helper0 - AIHelperBoxCenter Char"/>
    <w:basedOn w:val="P0-ParagraphChar"/>
    <w:link w:val="AIHelper0-AIHelperBoxCenter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0-AIHelperBoxFigure">
    <w:name w:val="AI Helper0 - AIHelperBoxFigure"/>
    <w:basedOn w:val="I0-InfoBoxFigure"/>
    <w:link w:val="AIHelper0-AIHelperBoxFigureChar"/>
    <w:rsid w:val="00AD5F49"/>
  </w:style>
  <w:style w:type="character" w:customStyle="1" w:styleId="AIHelper0-AIHelperBoxFigureChar">
    <w:name w:val="AI Helper0 - AIHelperBoxFigure Char"/>
    <w:basedOn w:val="P0-ParagraphChar"/>
    <w:link w:val="AIHelper0-AIHelperBoxFigure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AIHelper0-AIHelperBoxCaption">
    <w:name w:val="AI Helper0 - AIHelperBoxCaption"/>
    <w:basedOn w:val="I0-InfoBoxCaption"/>
    <w:link w:val="AIHelper0-AIHelperBoxCaptionChar"/>
    <w:rsid w:val="00AD5F49"/>
  </w:style>
  <w:style w:type="character" w:customStyle="1" w:styleId="AIHelper0-AIHelperBoxCaptionChar">
    <w:name w:val="AI Helper0 - AIHelperBoxCaption Char"/>
    <w:basedOn w:val="P0-ParagraphChar"/>
    <w:link w:val="AIHelper0-AIHelperBoxCaption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AIHelper0-AIHelperBox">
    <w:name w:val="AI Helper0 - AIHelperBox"/>
    <w:basedOn w:val="I0-InfoBox"/>
    <w:link w:val="AIHelper0-AIHelperBoxChar"/>
    <w:rsid w:val="00AD5F49"/>
  </w:style>
  <w:style w:type="character" w:customStyle="1" w:styleId="AIHelper0-AIHelperBoxChar">
    <w:name w:val="AI Helper0 - AIHelperBox Char"/>
    <w:basedOn w:val="P0-ParagraphChar"/>
    <w:link w:val="AIHelper0-AIHelper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0-AIHelperBoxNumberedList">
    <w:name w:val="AI Helper0 - AIHelperBoxNumberedList"/>
    <w:basedOn w:val="I0-InfoBoxNumberedList"/>
    <w:link w:val="AIHelper0-AIHelperBoxNumberedListChar"/>
    <w:rsid w:val="00AD5F49"/>
  </w:style>
  <w:style w:type="character" w:customStyle="1" w:styleId="AIHelper0-AIHelperBoxNumberedListChar">
    <w:name w:val="AI Helper0 - AIHelperBoxNumberedList Char"/>
    <w:basedOn w:val="P0-ParagraphChar"/>
    <w:link w:val="AIHelper0-AIHelperBoxNumberedLis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0-AIHelperBoxCode">
    <w:name w:val="AI Helper0 - AIHelperBoxCode"/>
    <w:basedOn w:val="I0-InfoBoxCode"/>
    <w:link w:val="AIHelper0-AIHelperBoxCodeChar"/>
    <w:rsid w:val="00AD5F49"/>
  </w:style>
  <w:style w:type="character" w:customStyle="1" w:styleId="AIHelper0-AIHelperBoxCodeChar">
    <w:name w:val="AI Helper0 - AIHelperBoxCode Char"/>
    <w:basedOn w:val="P0-ParagraphChar"/>
    <w:link w:val="AIHelper0-AIHelperBoxCode"/>
    <w:rsid w:val="00AD5F49"/>
    <w:rPr>
      <w:rFonts w:ascii="Consolas" w:eastAsia="Times New Roman" w:hAnsi="Consolas" w:cs="Times New Roman"/>
      <w:color w:val="383A42"/>
      <w:sz w:val="18"/>
      <w:szCs w:val="24"/>
      <w:shd w:val="clear" w:color="auto" w:fill="FAFAFA"/>
      <w:lang w:val="en-US"/>
    </w:rPr>
  </w:style>
  <w:style w:type="paragraph" w:customStyle="1" w:styleId="AIHelper0-AIHelperBoxConsole">
    <w:name w:val="AI Helper0 - AIHelperBoxConsole"/>
    <w:basedOn w:val="I0-InfoBoxConsole"/>
    <w:link w:val="AIHelper0-AIHelperBoxConsoleChar"/>
    <w:rsid w:val="00AD5F49"/>
  </w:style>
  <w:style w:type="character" w:customStyle="1" w:styleId="AIHelper0-AIHelperBoxConsoleChar">
    <w:name w:val="AI Helper0 - AIHelperBoxConsole Char"/>
    <w:basedOn w:val="P0-ParagraphChar"/>
    <w:link w:val="AIHelper0-AIHelperBoxConsole"/>
    <w:rsid w:val="00AD5F49"/>
    <w:rPr>
      <w:rFonts w:ascii="Consolas" w:eastAsia="Times New Roman" w:hAnsi="Consolas" w:cs="Times New Roman"/>
      <w:color w:val="F8F8F2"/>
      <w:sz w:val="18"/>
      <w:szCs w:val="24"/>
      <w:shd w:val="clear" w:color="auto" w:fill="282A36"/>
      <w:lang w:val="en-US"/>
    </w:rPr>
  </w:style>
  <w:style w:type="paragraph" w:customStyle="1" w:styleId="AIHelper1-AIHelperBoxBullet">
    <w:name w:val="AI Helper1 - AIHelperBoxBullet"/>
    <w:basedOn w:val="I1-InfoBoxBullet"/>
    <w:link w:val="AIHelper1-AIHelperBoxBulletChar"/>
    <w:rsid w:val="00AD5F49"/>
  </w:style>
  <w:style w:type="character" w:customStyle="1" w:styleId="AIHelper1-AIHelperBoxBulletChar">
    <w:name w:val="AI Helper1 - AIHelperBoxBullet Char"/>
    <w:basedOn w:val="P0-ParagraphChar"/>
    <w:link w:val="AIHelper1-AIHelperBoxBulle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1-AIHelperBoxCenter">
    <w:name w:val="AI Helper1 - AIHelperBoxCenter"/>
    <w:basedOn w:val="I1-InfoBoxCenter"/>
    <w:link w:val="AIHelper1-AIHelperBoxCenterChar"/>
    <w:rsid w:val="00AD5F49"/>
  </w:style>
  <w:style w:type="character" w:customStyle="1" w:styleId="AIHelper1-AIHelperBoxCenterChar">
    <w:name w:val="AI Helper1 - AIHelperBoxCenter Char"/>
    <w:basedOn w:val="P0-ParagraphChar"/>
    <w:link w:val="AIHelper1-AIHelperBoxCenter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1-AIHelperBoxFigure">
    <w:name w:val="AI Helper1 - AIHelperBoxFigure"/>
    <w:basedOn w:val="I1-InfoBoxFigure"/>
    <w:link w:val="AIHelper1-AIHelperBoxFigureChar"/>
    <w:rsid w:val="00AD5F49"/>
  </w:style>
  <w:style w:type="character" w:customStyle="1" w:styleId="AIHelper1-AIHelperBoxFigureChar">
    <w:name w:val="AI Helper1 - AIHelperBoxFigure Char"/>
    <w:basedOn w:val="P0-ParagraphChar"/>
    <w:link w:val="AIHelper1-AIHelperBoxFigure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AIHelper1-AIHelperBoxCaption">
    <w:name w:val="AI Helper1 - AIHelperBoxCaption"/>
    <w:basedOn w:val="I1-InfoBoxCaption"/>
    <w:link w:val="AIHelper1-AIHelperBoxCaptionChar"/>
    <w:rsid w:val="00AD5F49"/>
  </w:style>
  <w:style w:type="character" w:customStyle="1" w:styleId="AIHelper1-AIHelperBoxCaptionChar">
    <w:name w:val="AI Helper1 - AIHelperBoxCaption Char"/>
    <w:basedOn w:val="P0-ParagraphChar"/>
    <w:link w:val="AIHelper1-AIHelperBoxCaption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AIHelper1-AIHelperBox">
    <w:name w:val="AI Helper1 - AIHelperBox"/>
    <w:basedOn w:val="I1-InfoBox"/>
    <w:link w:val="AIHelper1-AIHelperBoxChar"/>
    <w:rsid w:val="00AD5F49"/>
  </w:style>
  <w:style w:type="character" w:customStyle="1" w:styleId="AIHelper1-AIHelperBoxChar">
    <w:name w:val="AI Helper1 - AIHelperBox Char"/>
    <w:basedOn w:val="P0-ParagraphChar"/>
    <w:link w:val="AIHelper1-AIHelper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1-AIHelperBoxNumberedList">
    <w:name w:val="AI Helper1 - AIHelperBoxNumberedList"/>
    <w:basedOn w:val="I1-InfoBoxNumberedList"/>
    <w:link w:val="AIHelper1-AIHelperBoxNumberedListChar"/>
    <w:rsid w:val="00AD5F49"/>
  </w:style>
  <w:style w:type="character" w:customStyle="1" w:styleId="AIHelper1-AIHelperBoxNumberedListChar">
    <w:name w:val="AI Helper1 - AIHelperBoxNumberedList Char"/>
    <w:basedOn w:val="P0-ParagraphChar"/>
    <w:link w:val="AIHelper1-AIHelperBoxNumberedLis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1-AIHelperBoxCode">
    <w:name w:val="AI Helper1 - AIHelperBoxCode"/>
    <w:basedOn w:val="I1-InfoBoxCode"/>
    <w:link w:val="AIHelper1-AIHelperBoxCodeChar"/>
    <w:rsid w:val="00AD5F49"/>
  </w:style>
  <w:style w:type="character" w:customStyle="1" w:styleId="AIHelper1-AIHelperBoxCodeChar">
    <w:name w:val="AI Helper1 - AIHelperBoxCode Char"/>
    <w:basedOn w:val="P0-ParagraphChar"/>
    <w:link w:val="AIHelper1-AIHelperBoxCode"/>
    <w:rsid w:val="00AD5F49"/>
    <w:rPr>
      <w:rFonts w:ascii="Consolas" w:eastAsia="Times New Roman" w:hAnsi="Consolas" w:cs="Times New Roman"/>
      <w:color w:val="383A42"/>
      <w:sz w:val="18"/>
      <w:szCs w:val="24"/>
      <w:shd w:val="clear" w:color="auto" w:fill="FAFAFA"/>
      <w:lang w:val="en-US"/>
    </w:rPr>
  </w:style>
  <w:style w:type="paragraph" w:customStyle="1" w:styleId="AIHelper1-AIHelperBoxConsole">
    <w:name w:val="AI Helper1 - AIHelperBoxConsole"/>
    <w:basedOn w:val="I1-InfoBoxConsole"/>
    <w:link w:val="AIHelper1-AIHelperBoxConsoleChar"/>
    <w:rsid w:val="00AD5F49"/>
  </w:style>
  <w:style w:type="character" w:customStyle="1" w:styleId="AIHelper1-AIHelperBoxConsoleChar">
    <w:name w:val="AI Helper1 - AIHelperBoxConsole Char"/>
    <w:basedOn w:val="P0-ParagraphChar"/>
    <w:link w:val="AIHelper1-AIHelperBoxConsole"/>
    <w:rsid w:val="00AD5F49"/>
    <w:rPr>
      <w:rFonts w:ascii="Consolas" w:eastAsia="Times New Roman" w:hAnsi="Consolas" w:cs="Times New Roman"/>
      <w:color w:val="F8F8F2"/>
      <w:sz w:val="18"/>
      <w:szCs w:val="24"/>
      <w:shd w:val="clear" w:color="auto" w:fill="282A36"/>
      <w:lang w:val="en-US"/>
    </w:rPr>
  </w:style>
  <w:style w:type="paragraph" w:customStyle="1" w:styleId="AIHelper2-AIHelperBoxBullet">
    <w:name w:val="AI Helper2 - AIHelperBoxBullet"/>
    <w:basedOn w:val="I2-InfoBoxBullet"/>
    <w:link w:val="AIHelper2-AIHelperBoxBulletChar"/>
    <w:rsid w:val="00AD5F49"/>
  </w:style>
  <w:style w:type="character" w:customStyle="1" w:styleId="AIHelper2-AIHelperBoxBulletChar">
    <w:name w:val="AI Helper2 - AIHelperBoxBullet Char"/>
    <w:basedOn w:val="P0-ParagraphChar"/>
    <w:link w:val="AIHelper2-AIHelperBoxBulle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2-AIHelperBoxCenter">
    <w:name w:val="AI Helper2 - AIHelperBoxCenter"/>
    <w:basedOn w:val="I2-InfoBoxCenter"/>
    <w:link w:val="AIHelper2-AIHelperBoxCenterChar"/>
    <w:rsid w:val="00AD5F49"/>
  </w:style>
  <w:style w:type="character" w:customStyle="1" w:styleId="AIHelper2-AIHelperBoxCenterChar">
    <w:name w:val="AI Helper2 - AIHelperBoxCenter Char"/>
    <w:basedOn w:val="P0-ParagraphChar"/>
    <w:link w:val="AIHelper2-AIHelperBoxCenter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2-AIHelperBoxFigure">
    <w:name w:val="AI Helper2 - AIHelperBoxFigure"/>
    <w:basedOn w:val="I2-InfoBoxFigure"/>
    <w:link w:val="AIHelper2-AIHelperBoxFigureChar"/>
    <w:rsid w:val="00AD5F49"/>
  </w:style>
  <w:style w:type="character" w:customStyle="1" w:styleId="AIHelper2-AIHelperBoxFigureChar">
    <w:name w:val="AI Helper2 - AIHelperBoxFigure Char"/>
    <w:basedOn w:val="P0-ParagraphChar"/>
    <w:link w:val="AIHelper2-AIHelperBoxFigure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AIHelper2-AIHelperBoxCaption">
    <w:name w:val="AI Helper2 - AIHelperBoxCaption"/>
    <w:basedOn w:val="I2-InfoBoxCaption"/>
    <w:link w:val="AIHelper2-AIHelperBoxCaptionChar"/>
    <w:rsid w:val="00AD5F49"/>
  </w:style>
  <w:style w:type="character" w:customStyle="1" w:styleId="AIHelper2-AIHelperBoxCaptionChar">
    <w:name w:val="AI Helper2 - AIHelperBoxCaption Char"/>
    <w:basedOn w:val="P0-ParagraphChar"/>
    <w:link w:val="AIHelper2-AIHelperBoxCaption"/>
    <w:rsid w:val="00AD5F49"/>
    <w:rPr>
      <w:rFonts w:ascii="Crimson Pro" w:eastAsia="Times New Roman" w:hAnsi="Crimson Pro" w:cs="Times New Roman"/>
      <w:color w:val="auto"/>
      <w:sz w:val="16"/>
      <w:szCs w:val="24"/>
      <w:shd w:val="clear" w:color="auto" w:fill="FFFFFF"/>
      <w:lang w:val="en-US"/>
    </w:rPr>
  </w:style>
  <w:style w:type="paragraph" w:customStyle="1" w:styleId="AIHelper2-AIHelperBox">
    <w:name w:val="AI Helper2 - AIHelperBox"/>
    <w:basedOn w:val="I2-InfoBox"/>
    <w:link w:val="AIHelper2-AIHelperBoxChar"/>
    <w:rsid w:val="00AD5F49"/>
  </w:style>
  <w:style w:type="character" w:customStyle="1" w:styleId="AIHelper2-AIHelperBoxChar">
    <w:name w:val="AI Helper2 - AIHelperBox Char"/>
    <w:basedOn w:val="P0-ParagraphChar"/>
    <w:link w:val="AIHelper2-AIHelperBox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2-AIHelperBoxNumberedList">
    <w:name w:val="AI Helper2 - AIHelperBoxNumberedList"/>
    <w:basedOn w:val="I2-InfoBoxNumberedList"/>
    <w:link w:val="AIHelper2-AIHelperBoxNumberedListChar"/>
    <w:rsid w:val="00AD5F49"/>
  </w:style>
  <w:style w:type="character" w:customStyle="1" w:styleId="AIHelper2-AIHelperBoxNumberedListChar">
    <w:name w:val="AI Helper2 - AIHelperBoxNumberedList Char"/>
    <w:basedOn w:val="P0-ParagraphChar"/>
    <w:link w:val="AIHelper2-AIHelperBoxNumberedList"/>
    <w:rsid w:val="00AD5F49"/>
    <w:rPr>
      <w:rFonts w:ascii="Crimson Pro" w:eastAsia="Times New Roman" w:hAnsi="Crimson Pro" w:cs="Times New Roman"/>
      <w:color w:val="auto"/>
      <w:sz w:val="20"/>
      <w:szCs w:val="24"/>
      <w:shd w:val="clear" w:color="auto" w:fill="FFFFFF"/>
      <w:lang w:val="en-US"/>
    </w:rPr>
  </w:style>
  <w:style w:type="paragraph" w:customStyle="1" w:styleId="AIHelper2-AIHelperBoxCode">
    <w:name w:val="AI Helper2 - AIHelperBoxCode"/>
    <w:basedOn w:val="I2-InfoBoxCode"/>
    <w:link w:val="AIHelper2-AIHelperBoxCodeChar"/>
    <w:rsid w:val="00AD5F49"/>
  </w:style>
  <w:style w:type="character" w:customStyle="1" w:styleId="AIHelper2-AIHelperBoxCodeChar">
    <w:name w:val="AI Helper2 - AIHelperBoxCode Char"/>
    <w:basedOn w:val="P0-ParagraphChar"/>
    <w:link w:val="AIHelper2-AIHelperBoxCode"/>
    <w:rsid w:val="00AD5F49"/>
    <w:rPr>
      <w:rFonts w:ascii="Consolas" w:eastAsia="Times New Roman" w:hAnsi="Consolas" w:cs="Times New Roman"/>
      <w:color w:val="383A42"/>
      <w:sz w:val="18"/>
      <w:szCs w:val="24"/>
      <w:shd w:val="clear" w:color="auto" w:fill="FAFAFA"/>
      <w:lang w:val="en-US"/>
    </w:rPr>
  </w:style>
  <w:style w:type="paragraph" w:customStyle="1" w:styleId="AIHelper2-AIHelperBoxConsole">
    <w:name w:val="AI Helper2 - AIHelperBoxConsole"/>
    <w:basedOn w:val="I2-InfoBoxConsole"/>
    <w:link w:val="AIHelper2-AIHelperBoxConsoleChar"/>
    <w:rsid w:val="00AD5F49"/>
  </w:style>
  <w:style w:type="character" w:customStyle="1" w:styleId="AIHelper2-AIHelperBoxConsoleChar">
    <w:name w:val="AI Helper2 - AIHelperBoxConsole Char"/>
    <w:basedOn w:val="P0-ParagraphChar"/>
    <w:link w:val="AIHelper2-AIHelperBoxConsole"/>
    <w:rsid w:val="00AD5F49"/>
    <w:rPr>
      <w:rFonts w:ascii="Consolas" w:eastAsia="Times New Roman" w:hAnsi="Consolas" w:cs="Times New Roman"/>
      <w:color w:val="F8F8F2"/>
      <w:sz w:val="18"/>
      <w:szCs w:val="24"/>
      <w:shd w:val="clear" w:color="auto" w:fill="282A36"/>
      <w:lang w:val="en-US"/>
    </w:rPr>
  </w:style>
  <w:style w:type="paragraph" w:customStyle="1" w:styleId="L1-AlphabetCapital">
    <w:name w:val="L1 - AlphabetCapital"/>
    <w:basedOn w:val="L1-Alphabet"/>
    <w:qFormat/>
    <w:rsid w:val="00AD5F49"/>
    <w:pPr>
      <w:numPr>
        <w:numId w:val="18"/>
      </w:numPr>
    </w:pPr>
  </w:style>
  <w:style w:type="paragraph" w:customStyle="1" w:styleId="L2-AlphabetCapital">
    <w:name w:val="L2 - AlphabetCapital"/>
    <w:basedOn w:val="L2-Alphabet"/>
    <w:qFormat/>
    <w:rsid w:val="00AD5F49"/>
    <w:pPr>
      <w:numPr>
        <w:numId w:val="19"/>
      </w:numPr>
    </w:pPr>
  </w:style>
  <w:style w:type="paragraph" w:customStyle="1" w:styleId="L3-AlphabetCapital">
    <w:name w:val="L3 - AlphabetCapital"/>
    <w:basedOn w:val="L3-Alphabet"/>
    <w:qFormat/>
    <w:rsid w:val="00AD5F49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ubhraMayuri\AppData\Roaming\Microsoft\Templates\Packt_Editorial_Template_Auto_Layou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GB89qKEWMv3/B3BRjvlIByHCA==">CgMxLjAyDmgueGY4aTYyM3E1bW1iMg5oLnZoM3N2cW83YnhzcjIOaC54MTl5MXJjbGZtZWc4AHIhMTJVcS1Zbm16QWFSRjZqTDZRMDN5X1EzdHdRa1NNRmM2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Packt_Editorial_Template_Auto_Layout</Template>
  <TotalTime>8</TotalTime>
  <Pages>19</Pages>
  <Words>6748</Words>
  <Characters>38469</Characters>
  <Application>Microsoft Office Word</Application>
  <DocSecurity>0</DocSecurity>
  <Lines>320</Lines>
  <Paragraphs>90</Paragraphs>
  <ScaleCrop>false</ScaleCrop>
  <Company/>
  <LinksUpToDate>false</LinksUpToDate>
  <CharactersWithSpaces>45127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ASCR Blueprint</dc:creator>
  <cp:lastModifiedBy>Shubhra Mayuri</cp:lastModifiedBy>
  <cp:revision>3</cp:revision>
  <dcterms:created xsi:type="dcterms:W3CDTF">2026-10-09T09:33:00Z</dcterms:created>
  <dcterms:modified xsi:type="dcterms:W3CDTF">2026-10-09T09:41:00Z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0x010100F28CD1E3B10FD647B2C00F8D5CAE40C5</vt:lpwstr>
  </property>
</Properties>
</file>