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EF48" w14:textId="77777777" w:rsidR="002533C8" w:rsidRPr="00317D6F" w:rsidRDefault="00000000" w:rsidP="00ED1C7D">
      <w:pPr>
        <w:pStyle w:val="HS-ChapterTitle"/>
      </w:pPr>
      <w:r w:rsidRPr="00317D6F">
        <w:rPr>
          <w:rFonts w:eastAsia="Arial"/>
        </w:rPr>
        <w:t>ASCR-04: MCP Gateway Configuration Policy</w:t>
      </w:r>
    </w:p>
    <w:p w14:paraId="68265857" w14:textId="2280D8CA" w:rsidR="002533C8" w:rsidRPr="00317D6F" w:rsidRDefault="00000000" w:rsidP="00ED1C7D">
      <w:pPr>
        <w:pStyle w:val="Subtitle"/>
        <w:spacing w:after="200"/>
        <w:rPr>
          <w:color w:val="auto"/>
        </w:rPr>
      </w:pPr>
      <w:r w:rsidRPr="00317D6F">
        <w:rPr>
          <w:rFonts w:ascii="Arial" w:eastAsia="Arial" w:hAnsi="Arial" w:cs="Arial"/>
          <w:i/>
          <w:iCs/>
          <w:color w:val="auto"/>
        </w:rPr>
        <w:t>Identity Enforcement, Least-Privilege Tool-Call Scoping, and Cryptographic Attestation for Agentic AI Systems Integrated with Cyber-Physical Infrastructure</w:t>
      </w:r>
    </w:p>
    <w:p w14:paraId="2217EA48" w14:textId="77777777" w:rsidR="002533C8" w:rsidRPr="00317D6F" w:rsidRDefault="00000000" w:rsidP="00ED1C7D">
      <w:pPr>
        <w:pStyle w:val="HS-Heading1"/>
      </w:pPr>
      <w:r w:rsidRPr="00317D6F">
        <w:rPr>
          <w:rFonts w:eastAsia="Arial"/>
        </w:rPr>
        <w:t>ASCR-04 definition</w:t>
      </w:r>
    </w:p>
    <w:sdt>
      <w:sdtPr>
        <w:rPr>
          <w:rStyle w:val="CS-Keyword"/>
        </w:rPr>
        <w:tag w:val="goog_rdk_33"/>
        <w:id w:val="875065682"/>
      </w:sdtPr>
      <w:sdtEndPr>
        <w:rPr>
          <w:rStyle w:val="DefaultParagraphFont"/>
          <w:b w:val="0"/>
        </w:rPr>
      </w:sdtEndPr>
      <w:sdtContent>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5"/>
            <w:gridCol w:w="7635"/>
          </w:tblGrid>
          <w:sdt>
            <w:sdtPr>
              <w:rPr>
                <w:rStyle w:val="CS-Keyword"/>
              </w:rPr>
              <w:tag w:val="goog_rdk_0"/>
              <w:id w:val="-211479803"/>
            </w:sdtPr>
            <w:sdtEndPr>
              <w:rPr>
                <w:rStyle w:val="DefaultParagraphFont"/>
                <w:b w:val="0"/>
              </w:rPr>
            </w:sdtEndPr>
            <w:sdtContent>
              <w:tr w:rsidR="002533C8" w:rsidRPr="00ED1C7D" w14:paraId="68119CF9" w14:textId="77777777" w:rsidTr="00ED1C7D">
                <w:sdt>
                  <w:sdtPr>
                    <w:rPr>
                      <w:rStyle w:val="CS-Keyword"/>
                    </w:rPr>
                    <w:tag w:val="goog_rdk_1"/>
                    <w:id w:val="1533744796"/>
                  </w:sdtPr>
                  <w:sdtContent>
                    <w:tc>
                      <w:tcPr>
                        <w:tcW w:w="1725" w:type="dxa"/>
                      </w:tcPr>
                      <w:p w14:paraId="0A839C7C" w14:textId="77777777" w:rsidR="002533C8" w:rsidRPr="00ED1C7D" w:rsidRDefault="00000000" w:rsidP="00ED1C7D">
                        <w:pPr>
                          <w:pStyle w:val="T0-Table"/>
                          <w:rPr>
                            <w:rStyle w:val="CS-Keyword"/>
                          </w:rPr>
                        </w:pPr>
                        <w:r w:rsidRPr="00ED1C7D">
                          <w:rPr>
                            <w:rStyle w:val="CS-Keyword"/>
                          </w:rPr>
                          <w:t>Artifact Type</w:t>
                        </w:r>
                      </w:p>
                    </w:tc>
                  </w:sdtContent>
                </w:sdt>
                <w:sdt>
                  <w:sdtPr>
                    <w:tag w:val="goog_rdk_2"/>
                    <w:id w:val="-1739851798"/>
                  </w:sdtPr>
                  <w:sdtContent>
                    <w:tc>
                      <w:tcPr>
                        <w:tcW w:w="7635" w:type="dxa"/>
                      </w:tcPr>
                      <w:p w14:paraId="7616E9BB" w14:textId="77777777" w:rsidR="002533C8" w:rsidRPr="00ED1C7D" w:rsidRDefault="00000000" w:rsidP="00ED1C7D">
                        <w:pPr>
                          <w:pStyle w:val="T0-Table"/>
                        </w:pPr>
                        <w:r w:rsidRPr="00ED1C7D">
                          <w:t>Technical Configuration Standard and Operational Policy</w:t>
                        </w:r>
                      </w:p>
                    </w:tc>
                  </w:sdtContent>
                </w:sdt>
              </w:tr>
            </w:sdtContent>
          </w:sdt>
          <w:sdt>
            <w:sdtPr>
              <w:rPr>
                <w:rStyle w:val="CS-Keyword"/>
              </w:rPr>
              <w:tag w:val="goog_rdk_3"/>
              <w:id w:val="709453288"/>
            </w:sdtPr>
            <w:sdtEndPr>
              <w:rPr>
                <w:rStyle w:val="DefaultParagraphFont"/>
                <w:b w:val="0"/>
              </w:rPr>
            </w:sdtEndPr>
            <w:sdtContent>
              <w:tr w:rsidR="002533C8" w:rsidRPr="00ED1C7D" w14:paraId="4B4788BE" w14:textId="77777777" w:rsidTr="00ED1C7D">
                <w:sdt>
                  <w:sdtPr>
                    <w:rPr>
                      <w:rStyle w:val="CS-Keyword"/>
                    </w:rPr>
                    <w:tag w:val="goog_rdk_4"/>
                    <w:id w:val="-291933966"/>
                  </w:sdtPr>
                  <w:sdtContent>
                    <w:tc>
                      <w:tcPr>
                        <w:tcW w:w="1725" w:type="dxa"/>
                      </w:tcPr>
                      <w:p w14:paraId="06BFE7FC" w14:textId="77777777" w:rsidR="002533C8" w:rsidRPr="00ED1C7D" w:rsidRDefault="00000000" w:rsidP="00ED1C7D">
                        <w:pPr>
                          <w:pStyle w:val="T0-Table"/>
                          <w:rPr>
                            <w:rStyle w:val="CS-Keyword"/>
                          </w:rPr>
                        </w:pPr>
                        <w:r w:rsidRPr="00ED1C7D">
                          <w:rPr>
                            <w:rStyle w:val="CS-Keyword"/>
                          </w:rPr>
                          <w:t>Primary Use</w:t>
                        </w:r>
                      </w:p>
                    </w:tc>
                  </w:sdtContent>
                </w:sdt>
                <w:sdt>
                  <w:sdtPr>
                    <w:tag w:val="goog_rdk_5"/>
                    <w:id w:val="1017780927"/>
                  </w:sdtPr>
                  <w:sdtContent>
                    <w:tc>
                      <w:tcPr>
                        <w:tcW w:w="7635" w:type="dxa"/>
                      </w:tcPr>
                      <w:p w14:paraId="0B3354C4" w14:textId="77777777" w:rsidR="002533C8" w:rsidRPr="00ED1C7D" w:rsidRDefault="00000000" w:rsidP="00ED1C7D">
                        <w:pPr>
                          <w:pStyle w:val="T0-Table"/>
                        </w:pPr>
                        <w:r w:rsidRPr="00ED1C7D">
                          <w:t>Specification of the enforcement configuration required for the Model Context Protocol (MCP) gateway in deployments where agentic AI systems have tool-call access to cyber-physical infrastructure, defining required identity verification, authorization and cumulative-authority enforcement, parameter bounds validation, attestation verification, and physical impact gate integration</w:t>
                        </w:r>
                      </w:p>
                    </w:tc>
                  </w:sdtContent>
                </w:sdt>
              </w:tr>
            </w:sdtContent>
          </w:sdt>
          <w:sdt>
            <w:sdtPr>
              <w:rPr>
                <w:rStyle w:val="CS-Keyword"/>
              </w:rPr>
              <w:tag w:val="goog_rdk_6"/>
              <w:id w:val="1091392396"/>
            </w:sdtPr>
            <w:sdtEndPr>
              <w:rPr>
                <w:rStyle w:val="DefaultParagraphFont"/>
                <w:b w:val="0"/>
              </w:rPr>
            </w:sdtEndPr>
            <w:sdtContent>
              <w:tr w:rsidR="002533C8" w:rsidRPr="00ED1C7D" w14:paraId="3042D749" w14:textId="77777777" w:rsidTr="00ED1C7D">
                <w:sdt>
                  <w:sdtPr>
                    <w:rPr>
                      <w:rStyle w:val="CS-Keyword"/>
                    </w:rPr>
                    <w:tag w:val="goog_rdk_7"/>
                    <w:id w:val="175820885"/>
                  </w:sdtPr>
                  <w:sdtContent>
                    <w:tc>
                      <w:tcPr>
                        <w:tcW w:w="1725" w:type="dxa"/>
                      </w:tcPr>
                      <w:p w14:paraId="1255BAF1" w14:textId="77777777" w:rsidR="002533C8" w:rsidRPr="00ED1C7D" w:rsidRDefault="00000000" w:rsidP="00ED1C7D">
                        <w:pPr>
                          <w:pStyle w:val="T0-Table"/>
                          <w:rPr>
                            <w:rStyle w:val="CS-Keyword"/>
                          </w:rPr>
                        </w:pPr>
                        <w:r w:rsidRPr="00ED1C7D">
                          <w:rPr>
                            <w:rStyle w:val="CS-Keyword"/>
                          </w:rPr>
                          <w:t>Secondary Use</w:t>
                        </w:r>
                      </w:p>
                    </w:tc>
                  </w:sdtContent>
                </w:sdt>
                <w:sdt>
                  <w:sdtPr>
                    <w:tag w:val="goog_rdk_8"/>
                    <w:id w:val="-68034221"/>
                  </w:sdtPr>
                  <w:sdtContent>
                    <w:tc>
                      <w:tcPr>
                        <w:tcW w:w="7635" w:type="dxa"/>
                      </w:tcPr>
                      <w:p w14:paraId="7DF161D3" w14:textId="77777777" w:rsidR="002533C8" w:rsidRPr="00ED1C7D" w:rsidRDefault="00000000" w:rsidP="00ED1C7D">
                        <w:pPr>
                          <w:pStyle w:val="T0-Table"/>
                        </w:pPr>
                        <w:r w:rsidRPr="00ED1C7D">
                          <w:t>Evidence architecture anchor — the MCP gateway is the primary source of tool-invocation evidence for ASCR-07 records; Physical Consequence Attribution proceedings depend on complete gateway enforcement logs; consulting engagement technical control validation deliverable</w:t>
                        </w:r>
                      </w:p>
                    </w:tc>
                  </w:sdtContent>
                </w:sdt>
              </w:tr>
            </w:sdtContent>
          </w:sdt>
          <w:sdt>
            <w:sdtPr>
              <w:rPr>
                <w:rStyle w:val="CS-Keyword"/>
              </w:rPr>
              <w:tag w:val="goog_rdk_9"/>
              <w:id w:val="1757022662"/>
            </w:sdtPr>
            <w:sdtEndPr>
              <w:rPr>
                <w:rStyle w:val="DefaultParagraphFont"/>
                <w:b w:val="0"/>
              </w:rPr>
            </w:sdtEndPr>
            <w:sdtContent>
              <w:tr w:rsidR="002533C8" w:rsidRPr="00ED1C7D" w14:paraId="101D564B" w14:textId="77777777" w:rsidTr="00ED1C7D">
                <w:sdt>
                  <w:sdtPr>
                    <w:rPr>
                      <w:rStyle w:val="CS-Keyword"/>
                    </w:rPr>
                    <w:tag w:val="goog_rdk_10"/>
                    <w:id w:val="61982909"/>
                  </w:sdtPr>
                  <w:sdtContent>
                    <w:tc>
                      <w:tcPr>
                        <w:tcW w:w="1725" w:type="dxa"/>
                      </w:tcPr>
                      <w:p w14:paraId="0F49DA46" w14:textId="77777777" w:rsidR="002533C8" w:rsidRPr="00ED1C7D" w:rsidRDefault="00000000" w:rsidP="00ED1C7D">
                        <w:pPr>
                          <w:pStyle w:val="T0-Table"/>
                          <w:rPr>
                            <w:rStyle w:val="CS-Keyword"/>
                          </w:rPr>
                        </w:pPr>
                        <w:r w:rsidRPr="00ED1C7D">
                          <w:rPr>
                            <w:rStyle w:val="CS-Keyword"/>
                          </w:rPr>
                          <w:t>Operational Phase</w:t>
                        </w:r>
                      </w:p>
                    </w:tc>
                  </w:sdtContent>
                </w:sdt>
                <w:sdt>
                  <w:sdtPr>
                    <w:tag w:val="goog_rdk_11"/>
                    <w:id w:val="218245509"/>
                  </w:sdtPr>
                  <w:sdtContent>
                    <w:tc>
                      <w:tcPr>
                        <w:tcW w:w="7635" w:type="dxa"/>
                      </w:tcPr>
                      <w:p w14:paraId="1F475F3C" w14:textId="77777777" w:rsidR="002533C8" w:rsidRPr="00ED1C7D" w:rsidRDefault="00000000" w:rsidP="00ED1C7D">
                        <w:pPr>
                          <w:pStyle w:val="T0-Table"/>
                        </w:pPr>
                        <w:r w:rsidRPr="00ED1C7D">
                          <w:t>Pre-deployment configuration, Ongoing operations, and Post-incident forensic reference</w:t>
                        </w:r>
                      </w:p>
                    </w:tc>
                  </w:sdtContent>
                </w:sdt>
              </w:tr>
            </w:sdtContent>
          </w:sdt>
          <w:sdt>
            <w:sdtPr>
              <w:rPr>
                <w:rStyle w:val="CS-Keyword"/>
              </w:rPr>
              <w:tag w:val="goog_rdk_12"/>
              <w:id w:val="-31549064"/>
            </w:sdtPr>
            <w:sdtEndPr>
              <w:rPr>
                <w:rStyle w:val="DefaultParagraphFont"/>
                <w:b w:val="0"/>
              </w:rPr>
            </w:sdtEndPr>
            <w:sdtContent>
              <w:tr w:rsidR="002533C8" w:rsidRPr="00ED1C7D" w14:paraId="2E9E2D06" w14:textId="77777777" w:rsidTr="00ED1C7D">
                <w:sdt>
                  <w:sdtPr>
                    <w:rPr>
                      <w:rStyle w:val="CS-Keyword"/>
                    </w:rPr>
                    <w:tag w:val="goog_rdk_13"/>
                    <w:id w:val="-1176069456"/>
                  </w:sdtPr>
                  <w:sdtContent>
                    <w:tc>
                      <w:tcPr>
                        <w:tcW w:w="1725" w:type="dxa"/>
                      </w:tcPr>
                      <w:p w14:paraId="50843863" w14:textId="77777777" w:rsidR="002533C8" w:rsidRPr="00ED1C7D" w:rsidRDefault="00000000" w:rsidP="00ED1C7D">
                        <w:pPr>
                          <w:pStyle w:val="T0-Table"/>
                          <w:rPr>
                            <w:rStyle w:val="CS-Keyword"/>
                          </w:rPr>
                        </w:pPr>
                        <w:r w:rsidRPr="00ED1C7D">
                          <w:rPr>
                            <w:rStyle w:val="CS-Keyword"/>
                          </w:rPr>
                          <w:t>User Role</w:t>
                        </w:r>
                      </w:p>
                    </w:tc>
                  </w:sdtContent>
                </w:sdt>
                <w:sdt>
                  <w:sdtPr>
                    <w:tag w:val="goog_rdk_14"/>
                    <w:id w:val="737172996"/>
                  </w:sdtPr>
                  <w:sdtContent>
                    <w:tc>
                      <w:tcPr>
                        <w:tcW w:w="7635" w:type="dxa"/>
                      </w:tcPr>
                      <w:p w14:paraId="7B741031" w14:textId="77777777" w:rsidR="002533C8" w:rsidRPr="00ED1C7D" w:rsidRDefault="00000000" w:rsidP="00ED1C7D">
                        <w:pPr>
                          <w:pStyle w:val="T0-Table"/>
                        </w:pPr>
                        <w:r w:rsidRPr="00ED1C7D">
                          <w:t>OT Engineering Lead, AI/ML Engineering Lead, Security/IR Lead, Regulatory/Compliance Officer, Legal Counsel, consulting practitioner</w:t>
                        </w:r>
                      </w:p>
                    </w:tc>
                  </w:sdtContent>
                </w:sdt>
              </w:tr>
            </w:sdtContent>
          </w:sdt>
          <w:sdt>
            <w:sdtPr>
              <w:rPr>
                <w:rStyle w:val="CS-Keyword"/>
              </w:rPr>
              <w:tag w:val="goog_rdk_15"/>
              <w:id w:val="-1588937611"/>
            </w:sdtPr>
            <w:sdtEndPr>
              <w:rPr>
                <w:rStyle w:val="DefaultParagraphFont"/>
                <w:b w:val="0"/>
              </w:rPr>
            </w:sdtEndPr>
            <w:sdtContent>
              <w:tr w:rsidR="002533C8" w:rsidRPr="00ED1C7D" w14:paraId="0CDD9CFD" w14:textId="77777777" w:rsidTr="00ED1C7D">
                <w:sdt>
                  <w:sdtPr>
                    <w:rPr>
                      <w:rStyle w:val="CS-Keyword"/>
                    </w:rPr>
                    <w:tag w:val="goog_rdk_16"/>
                    <w:id w:val="627431976"/>
                  </w:sdtPr>
                  <w:sdtContent>
                    <w:tc>
                      <w:tcPr>
                        <w:tcW w:w="1725" w:type="dxa"/>
                      </w:tcPr>
                      <w:p w14:paraId="05321786" w14:textId="77777777" w:rsidR="002533C8" w:rsidRPr="00ED1C7D" w:rsidRDefault="00000000" w:rsidP="00ED1C7D">
                        <w:pPr>
                          <w:pStyle w:val="T0-Table"/>
                          <w:rPr>
                            <w:rStyle w:val="CS-Keyword"/>
                          </w:rPr>
                        </w:pPr>
                        <w:r w:rsidRPr="00ED1C7D">
                          <w:rPr>
                            <w:rStyle w:val="CS-Keyword"/>
                          </w:rPr>
                          <w:t>Update Cadence</w:t>
                        </w:r>
                      </w:p>
                    </w:tc>
                  </w:sdtContent>
                </w:sdt>
                <w:sdt>
                  <w:sdtPr>
                    <w:tag w:val="goog_rdk_17"/>
                    <w:id w:val="-711096560"/>
                  </w:sdtPr>
                  <w:sdtContent>
                    <w:tc>
                      <w:tcPr>
                        <w:tcW w:w="7635" w:type="dxa"/>
                      </w:tcPr>
                      <w:p w14:paraId="6DBD2913" w14:textId="77777777" w:rsidR="002533C8" w:rsidRPr="00ED1C7D" w:rsidRDefault="00000000" w:rsidP="00ED1C7D">
                        <w:pPr>
                          <w:pStyle w:val="T0-Table"/>
                        </w:pPr>
                        <w:r w:rsidRPr="00ED1C7D">
                          <w:t>Following any material change to the tool manifest; following ASCR-10 authorized change; following addition of a new physical system to ASCR-03 Section 2 deployment scope; quarterly as part of the ASCR-12 scorecard cycle, consistent with Section 7.2</w:t>
                        </w:r>
                      </w:p>
                    </w:tc>
                  </w:sdtContent>
                </w:sdt>
              </w:tr>
            </w:sdtContent>
          </w:sdt>
          <w:sdt>
            <w:sdtPr>
              <w:rPr>
                <w:rStyle w:val="CS-Keyword"/>
              </w:rPr>
              <w:tag w:val="goog_rdk_18"/>
              <w:id w:val="1908499977"/>
            </w:sdtPr>
            <w:sdtEndPr>
              <w:rPr>
                <w:rStyle w:val="DefaultParagraphFont"/>
                <w:b w:val="0"/>
              </w:rPr>
            </w:sdtEndPr>
            <w:sdtContent>
              <w:tr w:rsidR="002533C8" w:rsidRPr="00ED1C7D" w14:paraId="03CBFA66" w14:textId="77777777" w:rsidTr="00ED1C7D">
                <w:sdt>
                  <w:sdtPr>
                    <w:rPr>
                      <w:rStyle w:val="CS-Keyword"/>
                    </w:rPr>
                    <w:tag w:val="goog_rdk_19"/>
                    <w:id w:val="1668704764"/>
                  </w:sdtPr>
                  <w:sdtContent>
                    <w:tc>
                      <w:tcPr>
                        <w:tcW w:w="1725" w:type="dxa"/>
                      </w:tcPr>
                      <w:p w14:paraId="2CDC5CB8" w14:textId="77777777" w:rsidR="002533C8" w:rsidRPr="00ED1C7D" w:rsidRDefault="00000000" w:rsidP="00ED1C7D">
                        <w:pPr>
                          <w:pStyle w:val="T0-Table"/>
                          <w:rPr>
                            <w:rStyle w:val="CS-Keyword"/>
                          </w:rPr>
                        </w:pPr>
                        <w:r w:rsidRPr="00ED1C7D">
                          <w:rPr>
                            <w:rStyle w:val="CS-Keyword"/>
                          </w:rPr>
                          <w:t>Update Triggers</w:t>
                        </w:r>
                      </w:p>
                    </w:tc>
                  </w:sdtContent>
                </w:sdt>
                <w:sdt>
                  <w:sdtPr>
                    <w:tag w:val="goog_rdk_20"/>
                    <w:id w:val="-1381225018"/>
                  </w:sdtPr>
                  <w:sdtContent>
                    <w:tc>
                      <w:tcPr>
                        <w:tcW w:w="7635" w:type="dxa"/>
                      </w:tcPr>
                      <w:p w14:paraId="1CDDCB46" w14:textId="77777777" w:rsidR="002533C8" w:rsidRPr="00ED1C7D" w:rsidRDefault="00000000" w:rsidP="00ED1C7D">
                        <w:pPr>
                          <w:pStyle w:val="T0-Table"/>
                        </w:pPr>
                        <w:r w:rsidRPr="00ED1C7D">
                          <w:t>New tool added to or removed from authorized manifest, Physical actuation endpoint pattern change, ASCR-11 Schedule D threshold update, attestation profile or verifier infrastructure change, request-integrity-profile change, MCP specification revision or transport-profile change, or Post-incident finding identifying enforcement gap</w:t>
                        </w:r>
                      </w:p>
                    </w:tc>
                  </w:sdtContent>
                </w:sdt>
              </w:tr>
            </w:sdtContent>
          </w:sdt>
          <w:sdt>
            <w:sdtPr>
              <w:rPr>
                <w:rStyle w:val="CS-Keyword"/>
              </w:rPr>
              <w:tag w:val="goog_rdk_21"/>
              <w:id w:val="-565375238"/>
            </w:sdtPr>
            <w:sdtEndPr>
              <w:rPr>
                <w:rStyle w:val="DefaultParagraphFont"/>
                <w:b w:val="0"/>
              </w:rPr>
            </w:sdtEndPr>
            <w:sdtContent>
              <w:tr w:rsidR="002533C8" w:rsidRPr="00ED1C7D" w14:paraId="268A0785" w14:textId="77777777" w:rsidTr="00ED1C7D">
                <w:sdt>
                  <w:sdtPr>
                    <w:rPr>
                      <w:rStyle w:val="CS-Keyword"/>
                    </w:rPr>
                    <w:tag w:val="goog_rdk_22"/>
                    <w:id w:val="-1512051465"/>
                  </w:sdtPr>
                  <w:sdtContent>
                    <w:tc>
                      <w:tcPr>
                        <w:tcW w:w="1725" w:type="dxa"/>
                      </w:tcPr>
                      <w:p w14:paraId="4351D6D9" w14:textId="77777777" w:rsidR="002533C8" w:rsidRPr="00ED1C7D" w:rsidRDefault="00000000" w:rsidP="00ED1C7D">
                        <w:pPr>
                          <w:pStyle w:val="T0-Table"/>
                          <w:rPr>
                            <w:rStyle w:val="CS-Keyword"/>
                          </w:rPr>
                        </w:pPr>
                        <w:r w:rsidRPr="00ED1C7D">
                          <w:rPr>
                            <w:rStyle w:val="CS-Keyword"/>
                          </w:rPr>
                          <w:t>Cross-References</w:t>
                        </w:r>
                      </w:p>
                    </w:tc>
                  </w:sdtContent>
                </w:sdt>
                <w:sdt>
                  <w:sdtPr>
                    <w:tag w:val="goog_rdk_23"/>
                    <w:id w:val="-1059220558"/>
                  </w:sdtPr>
                  <w:sdtContent>
                    <w:tc>
                      <w:tcPr>
                        <w:tcW w:w="7635" w:type="dxa"/>
                      </w:tcPr>
                      <w:p w14:paraId="35AC1AB9" w14:textId="77777777" w:rsidR="002533C8" w:rsidRPr="00ED1C7D" w:rsidRDefault="00000000" w:rsidP="00ED1C7D">
                        <w:pPr>
                          <w:pStyle w:val="T0-Table"/>
                        </w:pPr>
                        <w:r w:rsidRPr="00ED1C7D">
                          <w:t xml:space="preserve">ASCR-04-OE01-MCP-Gateway-Reference-Tables.xlsx (operational row-level specification and deployment forms); ASCR-03 Section 4 (decision authority, Tier 1/2/3); ASCR-03 Section 6 (Safe-State definitions); ASCR-05 (reference security architecture, trust boundaries); ASCR-06 (digital twin step-ahead verification, Layer 6 integration); ASCR-07 (tamper-evident agentic decision log, evidence pipeline); ASCR-08 (incident response and evidence-based Intent-Locus-Authority classification); ASCR-09 (TVA-MCP-01 gateway validation and KQP technical execution validation, including KQ-01 and KQ-02); ASCR-10 </w:t>
                        </w:r>
                        <w:r w:rsidRPr="00ED1C7D">
                          <w:lastRenderedPageBreak/>
                          <w:t>(change and logic-intercept protocol, manifest version control); ASCR-11 Sections 11.1-11.7 and 11.12, plus Schedules A and D where applicable; ASCR-12 (quarterly governance scorecard and Section E.6 gateway-configuration review); ASCR-13 (Taskforce roles); ASCR-15 (MCP-gateway adversary campaign techniques and threat mapping)</w:t>
                        </w:r>
                      </w:p>
                    </w:tc>
                  </w:sdtContent>
                </w:sdt>
              </w:tr>
            </w:sdtContent>
          </w:sdt>
          <w:sdt>
            <w:sdtPr>
              <w:rPr>
                <w:rStyle w:val="CS-Keyword"/>
              </w:rPr>
              <w:tag w:val="goog_rdk_24"/>
              <w:id w:val="1376643852"/>
            </w:sdtPr>
            <w:sdtEndPr>
              <w:rPr>
                <w:rStyle w:val="DefaultParagraphFont"/>
                <w:b w:val="0"/>
              </w:rPr>
            </w:sdtEndPr>
            <w:sdtContent>
              <w:tr w:rsidR="002533C8" w:rsidRPr="00ED1C7D" w14:paraId="108B0B87" w14:textId="77777777" w:rsidTr="00ED1C7D">
                <w:sdt>
                  <w:sdtPr>
                    <w:rPr>
                      <w:rStyle w:val="CS-Keyword"/>
                    </w:rPr>
                    <w:tag w:val="goog_rdk_25"/>
                    <w:id w:val="2012446446"/>
                  </w:sdtPr>
                  <w:sdtContent>
                    <w:tc>
                      <w:tcPr>
                        <w:tcW w:w="1725" w:type="dxa"/>
                      </w:tcPr>
                      <w:p w14:paraId="184F4AC4" w14:textId="77777777" w:rsidR="002533C8" w:rsidRPr="00ED1C7D" w:rsidRDefault="00000000" w:rsidP="00ED1C7D">
                        <w:pPr>
                          <w:pStyle w:val="T0-Table"/>
                          <w:rPr>
                            <w:rStyle w:val="CS-Keyword"/>
                          </w:rPr>
                        </w:pPr>
                        <w:r w:rsidRPr="00ED1C7D">
                          <w:rPr>
                            <w:rStyle w:val="CS-Keyword"/>
                          </w:rPr>
                          <w:t>Regulatory Relevance</w:t>
                        </w:r>
                      </w:p>
                    </w:tc>
                  </w:sdtContent>
                </w:sdt>
                <w:sdt>
                  <w:sdtPr>
                    <w:tag w:val="goog_rdk_26"/>
                    <w:id w:val="1921013309"/>
                  </w:sdtPr>
                  <w:sdtContent>
                    <w:tc>
                      <w:tcPr>
                        <w:tcW w:w="7635" w:type="dxa"/>
                      </w:tcPr>
                      <w:p w14:paraId="34F405B0" w14:textId="77777777" w:rsidR="002533C8" w:rsidRPr="00ED1C7D" w:rsidRDefault="00000000" w:rsidP="00ED1C7D">
                        <w:pPr>
                          <w:pStyle w:val="T0-Table"/>
                        </w:pPr>
                        <w:r w:rsidRPr="00ED1C7D">
                          <w:t>EU AI Act Art. 9, 12, 13, 14, 15, 17, 19, 73 · NIS2 Art. 21(2)(a), 21(2)(b), 21(2)(i), 21(2)(j), 23 · Revised EU Product Liability Directive (Directive (EU) 2024/2853) (RPLD) Arts. 4, 9, 10(2)(a) · IEC 62443 SR 1.1, 1.2, 2.1, 2.8, 3.3, 3.4, 3.5, 6.2, 7.6 · NIST SP 800-53 Rev 5: IA-3, AC-3, AC-6, SI-10, SI-17, AU-2, AU-9 · NIST SP 800-161 Rev. 1 Update 1: CM-3 (Configuration Change Control), with applicable C-SCRM supplemental guidance</w:t>
                        </w:r>
                      </w:p>
                    </w:tc>
                  </w:sdtContent>
                </w:sdt>
              </w:tr>
            </w:sdtContent>
          </w:sdt>
          <w:sdt>
            <w:sdtPr>
              <w:rPr>
                <w:rStyle w:val="CS-Keyword"/>
              </w:rPr>
              <w:tag w:val="goog_rdk_27"/>
              <w:id w:val="-1012369577"/>
            </w:sdtPr>
            <w:sdtEndPr>
              <w:rPr>
                <w:rStyle w:val="DefaultParagraphFont"/>
                <w:b w:val="0"/>
              </w:rPr>
            </w:sdtEndPr>
            <w:sdtContent>
              <w:tr w:rsidR="002533C8" w:rsidRPr="00ED1C7D" w14:paraId="20500B84" w14:textId="77777777" w:rsidTr="00ED1C7D">
                <w:sdt>
                  <w:sdtPr>
                    <w:rPr>
                      <w:rStyle w:val="CS-Keyword"/>
                    </w:rPr>
                    <w:tag w:val="goog_rdk_28"/>
                    <w:id w:val="-1016215715"/>
                  </w:sdtPr>
                  <w:sdtContent>
                    <w:tc>
                      <w:tcPr>
                        <w:tcW w:w="1725" w:type="dxa"/>
                      </w:tcPr>
                      <w:p w14:paraId="414604AC" w14:textId="77777777" w:rsidR="002533C8" w:rsidRPr="00ED1C7D" w:rsidRDefault="00000000" w:rsidP="00ED1C7D">
                        <w:pPr>
                          <w:pStyle w:val="T0-Table"/>
                          <w:rPr>
                            <w:rStyle w:val="CS-Keyword"/>
                          </w:rPr>
                        </w:pPr>
                        <w:r w:rsidRPr="00ED1C7D">
                          <w:rPr>
                            <w:rStyle w:val="CS-Keyword"/>
                          </w:rPr>
                          <w:t>MCP specification revision enforced</w:t>
                        </w:r>
                      </w:p>
                    </w:tc>
                  </w:sdtContent>
                </w:sdt>
                <w:sdt>
                  <w:sdtPr>
                    <w:tag w:val="goog_rdk_29"/>
                    <w:id w:val="174304046"/>
                  </w:sdtPr>
                  <w:sdtContent>
                    <w:tc>
                      <w:tcPr>
                        <w:tcW w:w="7635" w:type="dxa"/>
                      </w:tcPr>
                      <w:p w14:paraId="362E1107" w14:textId="77777777" w:rsidR="002533C8" w:rsidRPr="00ED1C7D" w:rsidRDefault="00000000" w:rsidP="00ED1C7D">
                        <w:pPr>
                          <w:pStyle w:val="T0-Table"/>
                        </w:pPr>
                        <w:r w:rsidRPr="00ED1C7D">
                          <w:t>Deployment-approved dated MCP revision; accepted fallback revisions must be explicitly listed and governed through ASCR-10</w:t>
                        </w:r>
                      </w:p>
                    </w:tc>
                  </w:sdtContent>
                </w:sdt>
              </w:tr>
            </w:sdtContent>
          </w:sdt>
          <w:sdt>
            <w:sdtPr>
              <w:rPr>
                <w:rStyle w:val="CS-Keyword"/>
              </w:rPr>
              <w:tag w:val="goog_rdk_30"/>
              <w:id w:val="-505856716"/>
            </w:sdtPr>
            <w:sdtEndPr>
              <w:rPr>
                <w:rStyle w:val="DefaultParagraphFont"/>
                <w:b w:val="0"/>
              </w:rPr>
            </w:sdtEndPr>
            <w:sdtContent>
              <w:tr w:rsidR="002533C8" w:rsidRPr="00ED1C7D" w14:paraId="3E5B4739" w14:textId="77777777" w:rsidTr="00ED1C7D">
                <w:sdt>
                  <w:sdtPr>
                    <w:rPr>
                      <w:rStyle w:val="CS-Keyword"/>
                    </w:rPr>
                    <w:tag w:val="goog_rdk_31"/>
                    <w:id w:val="-1731813176"/>
                  </w:sdtPr>
                  <w:sdtContent>
                    <w:tc>
                      <w:tcPr>
                        <w:tcW w:w="1725" w:type="dxa"/>
                      </w:tcPr>
                      <w:p w14:paraId="39D695DA" w14:textId="77777777" w:rsidR="002533C8" w:rsidRPr="00ED1C7D" w:rsidRDefault="00000000" w:rsidP="00ED1C7D">
                        <w:pPr>
                          <w:pStyle w:val="T0-Table"/>
                          <w:rPr>
                            <w:rStyle w:val="CS-Keyword"/>
                          </w:rPr>
                        </w:pPr>
                        <w:r w:rsidRPr="00ED1C7D">
                          <w:rPr>
                            <w:rStyle w:val="CS-Keyword"/>
                          </w:rPr>
                          <w:t>Version</w:t>
                        </w:r>
                      </w:p>
                    </w:tc>
                  </w:sdtContent>
                </w:sdt>
                <w:sdt>
                  <w:sdtPr>
                    <w:tag w:val="goog_rdk_32"/>
                    <w:id w:val="-1904949952"/>
                  </w:sdtPr>
                  <w:sdtContent>
                    <w:tc>
                      <w:tcPr>
                        <w:tcW w:w="7635" w:type="dxa"/>
                      </w:tcPr>
                      <w:p w14:paraId="783FB04C" w14:textId="77777777" w:rsidR="002533C8" w:rsidRPr="00ED1C7D" w:rsidRDefault="00000000" w:rsidP="00ED1C7D">
                        <w:pPr>
                          <w:pStyle w:val="T0-Table"/>
                        </w:pPr>
                        <w:r w:rsidRPr="00ED1C7D">
                          <w:t>1.0 — June 2026</w:t>
                        </w:r>
                      </w:p>
                    </w:tc>
                  </w:sdtContent>
                </w:sdt>
              </w:tr>
            </w:sdtContent>
          </w:sdt>
        </w:tbl>
      </w:sdtContent>
    </w:sdt>
    <w:p w14:paraId="0012267E" w14:textId="77777777" w:rsidR="002533C8" w:rsidRPr="00A559C5" w:rsidRDefault="002533C8" w:rsidP="00522059">
      <w:pPr>
        <w:pStyle w:val="P0-Paragraph"/>
      </w:pPr>
    </w:p>
    <w:p w14:paraId="535B65CC" w14:textId="77777777" w:rsidR="002533C8" w:rsidRPr="00317D6F" w:rsidRDefault="00000000" w:rsidP="00ED1C7D">
      <w:pPr>
        <w:pStyle w:val="HS-Heading2"/>
      </w:pPr>
      <w:r w:rsidRPr="00317D6F">
        <w:t>Normative language</w:t>
      </w:r>
    </w:p>
    <w:p w14:paraId="32F5D80B" w14:textId="2E4BED67" w:rsidR="002533C8" w:rsidRPr="00317D6F" w:rsidRDefault="00000000" w:rsidP="00A559C5">
      <w:pPr>
        <w:pStyle w:val="P0-Paragraph"/>
      </w:pPr>
      <w:r w:rsidRPr="00317D6F">
        <w:t>In this artifact and its OE01 companion, MUST and MUST NOT identify mandatory requirements; SHOULD identifies a recommendation; and MAY identifies a permitted option. Where legacy prose uses “shall,” it has the same mandatory force as MUST.</w:t>
      </w:r>
    </w:p>
    <w:p w14:paraId="1C6DFB49" w14:textId="77777777" w:rsidR="002533C8" w:rsidRPr="00317D6F" w:rsidRDefault="00000000" w:rsidP="00ED1C7D">
      <w:pPr>
        <w:pStyle w:val="HS-Heading2"/>
      </w:pPr>
      <w:r w:rsidRPr="00317D6F">
        <w:t>Blueprint execution boundary</w:t>
      </w:r>
    </w:p>
    <w:p w14:paraId="424DD877" w14:textId="77777777" w:rsidR="002533C8" w:rsidRPr="00317D6F" w:rsidRDefault="00000000" w:rsidP="00A559C5">
      <w:pPr>
        <w:pStyle w:val="P0-Paragraph"/>
      </w:pPr>
      <w:r w:rsidRPr="00317D6F">
        <w:t>ASCR-04 and ASCR-04-OE01 are reusable Blueprint configuration and governance specifications. The files do not themselves authenticate or attest workloads, evaluate authorization, enforce or block tool calls, monitor runtime state, actuate Safe-State, perform a functional-safety or machine-safety control function, or establish or prove compliance. Those behaviors are performed by the deployed gateway, verifier, evidence pipeline, and independent safety/control mechanisms configured and operated to conform to these requirements. References in this artifact to ASCR-04 materializing, validating, enforcing, holding, blocking, recording, or issuing a handoff describe the responsibility of an ASCR-04-conforming implementation, not execution by the document or workbook itself.</w:t>
      </w:r>
    </w:p>
    <w:p w14:paraId="3F7628DE" w14:textId="77777777" w:rsidR="002533C8" w:rsidRPr="00317D6F" w:rsidRDefault="00000000" w:rsidP="00ED1C7D">
      <w:pPr>
        <w:pStyle w:val="HS-Heading1"/>
        <w:rPr>
          <w:rFonts w:eastAsia="Arial"/>
        </w:rPr>
      </w:pPr>
      <w:bookmarkStart w:id="0" w:name="_heading=h.io7ach26xhx8" w:colFirst="0" w:colLast="0"/>
      <w:bookmarkEnd w:id="0"/>
      <w:r w:rsidRPr="00317D6F">
        <w:rPr>
          <w:rFonts w:eastAsia="Arial"/>
        </w:rPr>
        <w:t>ASCR-04 operational toolkit: supporting specifications and operational extensions</w:t>
      </w:r>
    </w:p>
    <w:p w14:paraId="330AAC1C" w14:textId="77777777" w:rsidR="002533C8" w:rsidRPr="00317D6F" w:rsidRDefault="00000000" w:rsidP="00ED1C7D">
      <w:pPr>
        <w:pStyle w:val="HS-Heading2"/>
      </w:pPr>
      <w:bookmarkStart w:id="1" w:name="_heading=h.gdd3cppfsfaf" w:colFirst="0" w:colLast="0"/>
      <w:bookmarkEnd w:id="1"/>
      <w:r w:rsidRPr="00317D6F">
        <w:rPr>
          <w:rFonts w:eastAsia="Arial"/>
        </w:rPr>
        <w:t>Purpose and scope</w:t>
      </w:r>
    </w:p>
    <w:p w14:paraId="3B797162" w14:textId="77777777" w:rsidR="002533C8" w:rsidRPr="00317D6F" w:rsidRDefault="00000000" w:rsidP="00A559C5">
      <w:pPr>
        <w:pStyle w:val="P0-Paragraph"/>
      </w:pPr>
      <w:r w:rsidRPr="00317D6F">
        <w:t>The Model Context Protocol gateway is the primary enforcement boundary between agent planning and physical execution in a cyber-physical deployment. In Blueprint-governed deployments, every authorized tool invocation within the ASCR-04 governed scope MUST pass through the gateway, whether it reads a sensor, moves a joint, opens a valve, or routes a package. The gateway enforces security controls that allow the organization to verify identities, authorities, and physical constraints. These controls also produce the forensic records required to reconstruct every authorized or rejected action.</w:t>
      </w:r>
    </w:p>
    <w:p w14:paraId="3CFF93D2" w14:textId="77777777" w:rsidR="002533C8" w:rsidRPr="00317D6F" w:rsidRDefault="00000000" w:rsidP="00A559C5">
      <w:pPr>
        <w:pStyle w:val="P0-Paragraph"/>
      </w:pPr>
      <w:r w:rsidRPr="00317D6F">
        <w:rPr>
          <w:rFonts w:eastAsia="Arial"/>
        </w:rPr>
        <w:t>ASCR-04 specifies three functions the MCP gateway must perform in every Blueprint-governed deployment.</w:t>
      </w:r>
    </w:p>
    <w:p w14:paraId="33D6A340" w14:textId="39E764CA" w:rsidR="002533C8" w:rsidRPr="00317D6F" w:rsidRDefault="00000000" w:rsidP="00A559C5">
      <w:pPr>
        <w:pStyle w:val="L1-Bullet"/>
      </w:pPr>
      <w:r w:rsidRPr="00317D6F">
        <w:rPr>
          <w:rFonts w:eastAsia="Arial"/>
        </w:rPr>
        <w:lastRenderedPageBreak/>
        <w:t>Identity enforcement: every tool call is authenticated against a cryptographically verifiable workload identity issued through a SPIFFE-compatible trust infrastructure. Unauthenticated calls are rejected before any downstream processing occurs.</w:t>
      </w:r>
    </w:p>
    <w:p w14:paraId="4C419E6C" w14:textId="7D127312" w:rsidR="002533C8" w:rsidRPr="00317D6F" w:rsidRDefault="00000000" w:rsidP="00A559C5">
      <w:pPr>
        <w:pStyle w:val="L1-Bullet"/>
      </w:pPr>
      <w:r w:rsidRPr="00317D6F">
        <w:rPr>
          <w:rFonts w:eastAsia="Arial"/>
        </w:rPr>
        <w:t>Least-privilege authorization and cumulative-authority enforcement: every tool call is evaluated against the deployment-approved authorization context and the current effective authority state. The gateway verifies that the requested tool and parameters are authorized, computes effective authority from the workload's base authorized scope plus all active, valid, unrevoked, unexpired, context-applicable delegation extensions, and rejects the invocation if effective authority exceeds the ASCR-03 governed cumulative authority ceiling.</w:t>
      </w:r>
    </w:p>
    <w:p w14:paraId="0C677CB7" w14:textId="47D563A3" w:rsidR="002533C8" w:rsidRPr="00317D6F" w:rsidRDefault="00000000" w:rsidP="00A559C5">
      <w:pPr>
        <w:pStyle w:val="L1-Bullet"/>
      </w:pPr>
      <w:r w:rsidRPr="00317D6F">
        <w:rPr>
          <w:rFonts w:eastAsia="Arial"/>
        </w:rPr>
        <w:t>Physical impact gate integration: tool calls targeting physical actuation endpoints are held pending a PASS verdict from the ASCR-06 digital twin step-ahead verifier. Any active circuit-breaker hold overrides the call regardless of identity and authorization status.</w:t>
      </w:r>
    </w:p>
    <w:p w14:paraId="79282609" w14:textId="77777777" w:rsidR="002533C8" w:rsidRPr="00317D6F" w:rsidRDefault="00000000" w:rsidP="00A559C5">
      <w:pPr>
        <w:pStyle w:val="P0-Paragraph"/>
      </w:pPr>
      <w:r w:rsidRPr="00317D6F">
        <w:rPr>
          <w:rFonts w:eastAsia="Arial"/>
        </w:rPr>
        <w:t>These three functions are not sufficient on their own. ASCR-04 also specifies four supporting requirements that close the enforcement architecture: hardware-anchored attestation using the deployment-approved attestation profile; parameter bounds validation against a registered tool manifest for every invocation; W3C Trace Context propagation for cross-system causal chain reconstruction; and a complete ASCR-07-compatible evidence record for every invocation regardless of verdict.</w:t>
      </w:r>
    </w:p>
    <w:p w14:paraId="144811E5" w14:textId="77777777" w:rsidR="002533C8" w:rsidRPr="00317D6F" w:rsidRDefault="00000000" w:rsidP="00522059">
      <w:pPr>
        <w:pStyle w:val="P0-Paragraph"/>
      </w:pPr>
      <w:r w:rsidRPr="00317D6F">
        <w:rPr>
          <w:rFonts w:eastAsia="Arial"/>
        </w:rPr>
        <w:t>The enforcement architecture depends on three prerequisite systems.</w:t>
      </w:r>
    </w:p>
    <w:p w14:paraId="2BE343F4" w14:textId="7EEF79A4" w:rsidR="002533C8" w:rsidRPr="00317D6F" w:rsidRDefault="00000000" w:rsidP="00A559C5">
      <w:pPr>
        <w:pStyle w:val="L1-Bullet"/>
      </w:pPr>
      <w:r w:rsidRPr="00317D6F">
        <w:rPr>
          <w:rFonts w:eastAsia="Arial"/>
        </w:rPr>
        <w:t>ASCR-03 must be operational because Layer 6 enforcement references the decision authority and Safe-State definitions defined in Sections 4 and 6.</w:t>
      </w:r>
    </w:p>
    <w:p w14:paraId="48B29F3D" w14:textId="441A85EF" w:rsidR="002533C8" w:rsidRPr="00317D6F" w:rsidRDefault="00000000" w:rsidP="00A559C5">
      <w:pPr>
        <w:pStyle w:val="L1-Bullet"/>
      </w:pPr>
      <w:r w:rsidRPr="00317D6F">
        <w:rPr>
          <w:rFonts w:eastAsia="Arial"/>
        </w:rPr>
        <w:t>ASCR-06 must already produce step-ahead verification decisions before Layer 6 enforcement can operate.</w:t>
      </w:r>
    </w:p>
    <w:p w14:paraId="0793B876" w14:textId="4890F751" w:rsidR="002533C8" w:rsidRPr="00317D6F" w:rsidRDefault="00000000" w:rsidP="00A559C5">
      <w:pPr>
        <w:pStyle w:val="L1-Bullet"/>
      </w:pPr>
      <w:r w:rsidRPr="00317D6F">
        <w:rPr>
          <w:rFonts w:eastAsia="Arial"/>
        </w:rPr>
        <w:t>ASCR-07 must receive and store invocation records because the gateway and decision log jointly produce the forensic evidence chain.</w:t>
      </w:r>
    </w:p>
    <w:p w14:paraId="41F8EE57" w14:textId="605C45D8" w:rsidR="002533C8" w:rsidRPr="00A559C5" w:rsidRDefault="00000000" w:rsidP="00A559C5">
      <w:pPr>
        <w:pStyle w:val="P0-Paragraph"/>
      </w:pPr>
      <w:r w:rsidRPr="00317D6F">
        <w:rPr>
          <w:rFonts w:eastAsia="Arial"/>
        </w:rPr>
        <w:t>The evidence architecture is co-produced by the gateway and the decision log, and neither is complete without the other.</w:t>
      </w:r>
    </w:p>
    <w:p w14:paraId="05DC497D" w14:textId="77777777" w:rsidR="002533C8" w:rsidRPr="00317D6F" w:rsidRDefault="00000000" w:rsidP="00A559C5">
      <w:pPr>
        <w:pStyle w:val="HS-Heading2"/>
      </w:pPr>
      <w:r w:rsidRPr="00317D6F">
        <w:t>Threat basis and external implementation references</w:t>
      </w:r>
    </w:p>
    <w:p w14:paraId="6EFBF7A1" w14:textId="77777777" w:rsidR="002533C8" w:rsidRPr="00317D6F" w:rsidRDefault="00000000" w:rsidP="00A559C5">
      <w:pPr>
        <w:pStyle w:val="P0-Paragraph"/>
      </w:pPr>
      <w:r w:rsidRPr="00317D6F">
        <w:t>ASCR-04 is informed by published MCP security research and implementation guidance documenting tool poisoning and tool-description manipulation, indirect prompt injection through tool metadata and tool output, post-approval tool drift and rug-pull behavior, exposure to unauthorized or untrusted MCP servers, confused-deputy and token-misuse conditions, excessive delegated authority, and replay or integrity failures in tool-invocation paths. These attack patterns become materially more consequential when an MCP-connected agent can invoke tools that alter cyber-physical state.</w:t>
      </w:r>
    </w:p>
    <w:p w14:paraId="5357D6AB" w14:textId="77777777" w:rsidR="002533C8" w:rsidRPr="00317D6F" w:rsidRDefault="00000000" w:rsidP="00A559C5">
      <w:pPr>
        <w:pStyle w:val="P0-Paragraph"/>
      </w:pPr>
      <w:r w:rsidRPr="00317D6F">
        <w:t>Implementation teams must use the MCP specification revision approved for the deployment, including its applicable authorization and security guidance, together with the OWASP GenAI Security Project's A Practical Guide for Secure MCP Server Development, as external implementation baselines. Deployments that permit third-party MCP servers should also apply current OWASP guidance for securing third-party MCP server use. Published MCP threat research and security guidance should be reviewed during ASCR-10 change assessment when MCP protocol revisions, server implementations, tool definitions, or trust relationships materially change.</w:t>
      </w:r>
    </w:p>
    <w:p w14:paraId="6BD34FA3" w14:textId="77777777" w:rsidR="002533C8" w:rsidRPr="00317D6F" w:rsidRDefault="00000000" w:rsidP="00A559C5">
      <w:pPr>
        <w:pStyle w:val="P0-Paragraph"/>
      </w:pPr>
      <w:r w:rsidRPr="00317D6F">
        <w:lastRenderedPageBreak/>
        <w:t>ASCR-04 extends these protocol and implementation baselines for cyber-physical execution through cryptographically verified workload identity, least-privilege tool authorization and cumulative-authority enforcement, registered tool and version enforcement, parameter constraints, hardware-backed attestation for actuation-capable workloads, ASCR-06 physical-impact gating, circuit-breaker and Kinetic Quarantine Protocol response, and ASCR-07-compatible evidence production for every invocation verdict.</w:t>
      </w:r>
    </w:p>
    <w:p w14:paraId="24A3012D" w14:textId="77777777" w:rsidR="002533C8" w:rsidRPr="00317D6F" w:rsidRDefault="00000000" w:rsidP="00A559C5">
      <w:pPr>
        <w:pStyle w:val="P0-Paragraph"/>
      </w:pPr>
      <w:r w:rsidRPr="00317D6F">
        <w:t>ASCR-04 does not attempt to semantically neutralize all malicious tool content, prompt injection, or poisoned context. Those threats may originate before the gateway evaluates an invocation. ASCR-04 instead constrains the execution authority and physical consequences available after reasoning or context has been influenced, and preserves the evidence required to reconstruct the resulting execution path.</w:t>
      </w:r>
    </w:p>
    <w:p w14:paraId="1C70D0A0" w14:textId="77777777" w:rsidR="002533C8" w:rsidRPr="00317D6F" w:rsidRDefault="00000000" w:rsidP="00A559C5">
      <w:pPr>
        <w:pStyle w:val="HS-Heading2"/>
      </w:pPr>
      <w:r w:rsidRPr="00317D6F">
        <w:t>MCP protocol baseline</w:t>
      </w:r>
    </w:p>
    <w:p w14:paraId="2F004339" w14:textId="77777777" w:rsidR="002533C8" w:rsidRPr="00317D6F" w:rsidRDefault="00000000" w:rsidP="00A559C5">
      <w:pPr>
        <w:pStyle w:val="P0-Paragraph"/>
      </w:pPr>
      <w:r w:rsidRPr="00317D6F">
        <w:t>Each deployment must record the exact dated Model Context Protocol specification revision enforced by the gateway. The approved MCP revision is a governed configuration item under ASCR-10. A change to the approved revision or transport profile requires revalidation of transport handling, request framing, authorization, capability metadata, enforcement-layer inspection, and evidence production.</w:t>
      </w:r>
    </w:p>
    <w:p w14:paraId="381FA4EB" w14:textId="77777777" w:rsidR="002533C8" w:rsidRPr="00317D6F" w:rsidRDefault="00000000" w:rsidP="00A559C5">
      <w:pPr>
        <w:pStyle w:val="P0-Paragraph"/>
      </w:pPr>
      <w:r w:rsidRPr="00317D6F">
        <w:t>For each approved MCP revision, the gateway configuration must record and enforce the permitted MCP transport or transports; the request and response framing required by that revision; the protocol-version and capability metadata required by that revision; the applicable authorization profile; and the MCP request elements evaluated by each ASCR-04 enforcement layer.</w:t>
      </w:r>
    </w:p>
    <w:p w14:paraId="66983ED0" w14:textId="125E8A1F" w:rsidR="002533C8" w:rsidRPr="00317D6F" w:rsidRDefault="00000000" w:rsidP="00A559C5">
      <w:pPr>
        <w:pStyle w:val="P0-Paragraph"/>
      </w:pPr>
      <w:r w:rsidRPr="00317D6F">
        <w:t>For HTTP-based MCP authorization, the protected MCP endpoint acts as the resource server and must enforce the authorization requirements applicable to the approved MCP revision, including protected-resource metadata, resource and audience binding, and prohibition of client-token passthrough to downstream resources. STDIO deployments do not apply the HTTP OAuth authorization flow and must use the deployment-approved local workload/process authorization context. The Invocation Schema therefore records a transport-neutral authorization_context rather than assuming that every transport uses a JWT.</w:t>
      </w:r>
    </w:p>
    <w:p w14:paraId="79AEA819" w14:textId="77777777" w:rsidR="002533C8" w:rsidRPr="00317D6F" w:rsidRDefault="00000000" w:rsidP="00A559C5">
      <w:pPr>
        <w:pStyle w:val="HS-Heading2"/>
      </w:pPr>
      <w:bookmarkStart w:id="2" w:name="_heading=h.qwk4ynmhieq6" w:colFirst="0" w:colLast="0"/>
      <w:bookmarkEnd w:id="2"/>
      <w:r w:rsidRPr="00317D6F">
        <w:t>Before you operationalize this instrument</w:t>
      </w:r>
    </w:p>
    <w:p w14:paraId="3C73AE8F" w14:textId="77777777" w:rsidR="002533C8" w:rsidRPr="00317D6F" w:rsidRDefault="00000000" w:rsidP="00A559C5">
      <w:pPr>
        <w:pStyle w:val="P0-Paragraph"/>
      </w:pPr>
      <w:r w:rsidRPr="00317D6F">
        <w:t>This instrument is a jurisdiction-neutral starting template, current as of the version date above. Regulatory citations, numeric thresholds, and defaults reflect the law and standards in force at time of writing and must be re-verified before reliance — see Chapter 10 for the full Point-in-Time and Jurisdictional Scope Statement and Localization Methodology.</w:t>
      </w:r>
    </w:p>
    <w:p w14:paraId="3CFC77F2" w14:textId="77777777" w:rsidR="002533C8" w:rsidRPr="00A559C5" w:rsidRDefault="00000000" w:rsidP="00A559C5">
      <w:pPr>
        <w:pStyle w:val="P0-Paragraph"/>
        <w:rPr>
          <w:rStyle w:val="CS-Keyword"/>
        </w:rPr>
      </w:pPr>
      <w:r w:rsidRPr="00A559C5">
        <w:rPr>
          <w:rStyle w:val="CS-Keyword"/>
        </w:rPr>
        <w:t>Specific to ASCR-04:</w:t>
      </w:r>
    </w:p>
    <w:p w14:paraId="3C924A25" w14:textId="77777777" w:rsidR="002533C8" w:rsidRPr="00317D6F" w:rsidRDefault="00000000" w:rsidP="00A559C5">
      <w:pPr>
        <w:pStyle w:val="L1-Bullet"/>
      </w:pPr>
      <w:r w:rsidRPr="00317D6F">
        <w:rPr>
          <w:b/>
          <w:bCs/>
        </w:rPr>
        <w:t>Retention periods in Section 6.1 are ASCR evidence-governance baselines, not statutory RPLD limitation periods.</w:t>
      </w:r>
      <w:r w:rsidRPr="00317D6F">
        <w:t xml:space="preserve"> Directive (EU) 2024/2853 Article 16 establishes a three-year limitation period, while Article 17 establishes a 10-year expiry period and extends that expiry to 25 years in the latent-personal-injury circumstances specified in Article 17(2). Record the selected deployment evidence-retention treatment in EVIDENCE-RETENTION-PROFILE and apply the ASCR evidence-retention baseline together with applicable national implementation, legal-hold, contractual, and deployment-specific evidence-preservation requirements, extending retention where the governing requirements or exposure require it.</w:t>
      </w:r>
    </w:p>
    <w:p w14:paraId="53332F01" w14:textId="77777777" w:rsidR="002533C8" w:rsidRPr="00317D6F" w:rsidRDefault="00000000" w:rsidP="00A559C5">
      <w:pPr>
        <w:pStyle w:val="L1-Bullet"/>
      </w:pPr>
      <w:r w:rsidRPr="00A559C5">
        <w:rPr>
          <w:rStyle w:val="CS-Keyword"/>
        </w:rPr>
        <w:t>RPLD disclosure and burden-of-proof rules are EU-law-dependent</w:t>
      </w:r>
      <w:r w:rsidRPr="00317D6F">
        <w:t xml:space="preserve">. Article 10(2)(a) does not make an evidentiary gap an automatic breach or automatic presumption. It requires Member States to </w:t>
      </w:r>
      <w:r w:rsidRPr="00317D6F">
        <w:lastRenderedPageBreak/>
        <w:t>provide a rebuttable presumption of product defectiveness when a defendant fails to disclose relevant evidence pursuant to an Article 9(1) disclosure obligation. A gateway evidence gap may therefore increase litigation risk if it prevents compliance with a qualifying disclosure obligation. Confirm the applicable national transposition and legal interpretation with counsel before reliance.</w:t>
      </w:r>
    </w:p>
    <w:p w14:paraId="6D9F10BA" w14:textId="77777777" w:rsidR="002533C8" w:rsidRPr="00317D6F" w:rsidRDefault="00000000" w:rsidP="00A559C5">
      <w:pPr>
        <w:pStyle w:val="L1-Bullet"/>
      </w:pPr>
      <w:r w:rsidRPr="00A559C5">
        <w:rPr>
          <w:rStyle w:val="CS-Keyword"/>
        </w:rPr>
        <w:t>RPLD timing and national transposition</w:t>
      </w:r>
      <w:r w:rsidRPr="00317D6F">
        <w:t>: Member States must transpose Directive (EU) 2024/2853 by 9 December 2026. Under the consolidated text as corrected in May 2026, the Directive applies to products placed on the market or put into service after 8 December 2026. Verify the applicable national implementing law and transition rules before relying on an RPLD mapping.</w:t>
      </w:r>
    </w:p>
    <w:p w14:paraId="0A51A7D5" w14:textId="77777777" w:rsidR="002533C8" w:rsidRPr="00317D6F" w:rsidRDefault="00000000" w:rsidP="00A559C5">
      <w:pPr>
        <w:pStyle w:val="L1-Bullet"/>
      </w:pPr>
      <w:r w:rsidRPr="00317D6F">
        <w:rPr>
          <w:b/>
          <w:bCs/>
        </w:rPr>
        <w:t>EU AI Act application timing.</w:t>
      </w:r>
      <w:r w:rsidRPr="00317D6F">
        <w:t xml:space="preserve"> Under the consolidated Regulation as amended, Chapter III Sections 1, 2, and 3, except Article 6(5), apply from 2 December 2027 to systems classified as high-risk under Article 6(2) and Annex III, and from 2 August 2028 to systems classified as high-risk under Article 6(1) and Annex I. Other cited AI Act provisions may have different application dates. Determine the deployment classification, applicable provisions, and effective dates before relying on an ASCR-04 AI Act mapping.</w:t>
      </w:r>
    </w:p>
    <w:p w14:paraId="79A05E62" w14:textId="77777777" w:rsidR="002533C8" w:rsidRPr="00317D6F" w:rsidRDefault="00000000" w:rsidP="00A559C5">
      <w:pPr>
        <w:pStyle w:val="L1-Bullet"/>
      </w:pPr>
      <w:r w:rsidRPr="00317D6F">
        <w:rPr>
          <w:b/>
          <w:bCs/>
        </w:rPr>
        <w:t>Verify all regulatory citation mappings before reliance.</w:t>
      </w:r>
      <w:r w:rsidRPr="00317D6F">
        <w:t xml:space="preserve"> The Definition block and per-field mappings in the Invocation Schema and Evidence Records tables cite EU AI Act, NIS2, RPLD, IEC 62443, and NIST SP 800-53 Rev 5. All citations must be re-verified against the consolidated texts in force at time of use.</w:t>
      </w:r>
    </w:p>
    <w:p w14:paraId="1851C4CC" w14:textId="77777777" w:rsidR="002533C8" w:rsidRPr="00317D6F" w:rsidRDefault="00000000" w:rsidP="00A559C5">
      <w:pPr>
        <w:pStyle w:val="L1-Bullet"/>
      </w:pPr>
      <w:r w:rsidRPr="00317D6F">
        <w:rPr>
          <w:b/>
          <w:bCs/>
        </w:rPr>
        <w:t>TKQ thresholds require commissioning-derived population.</w:t>
      </w:r>
      <w:r w:rsidRPr="00317D6F">
        <w:t xml:space="preserve"> Section 3.6.5 uses deployment-approved P99.9 TKQ thresholds and, for High or Critical physical-consequence deployments, P99.99 TKQ thresholds. Establish those values from ASCR-10 commissioning evidence using the statistical validation method required by ASCR-11 Section 11.3.1.1. Lower-percentile P95 or P99 measurements may be retained for observability but do not satisfy the contractual TKQ obligation. These values are not certified safety values under IEC 62061 or ISO 13849.</w:t>
      </w:r>
    </w:p>
    <w:p w14:paraId="13F78EDE" w14:textId="77777777" w:rsidR="002533C8" w:rsidRPr="00317D6F" w:rsidRDefault="00000000" w:rsidP="00A559C5">
      <w:pPr>
        <w:pStyle w:val="L1-Bullet"/>
      </w:pPr>
      <w:r w:rsidRPr="00317D6F">
        <w:rPr>
          <w:b/>
          <w:bCs/>
        </w:rPr>
        <w:t>Physical Impact Gate endpoint patterns must be replaced.</w:t>
      </w:r>
      <w:r w:rsidRPr="00317D6F">
        <w:t xml:space="preserve"> The actuation endpoint patterns in Section 4.2 are illustrative examples. Replace them with the actual tool names registered in your ASCR-10 manifest before deployment.</w:t>
      </w:r>
    </w:p>
    <w:p w14:paraId="1B309C70" w14:textId="77777777" w:rsidR="002533C8" w:rsidRPr="00317D6F" w:rsidRDefault="00000000" w:rsidP="00A559C5">
      <w:pPr>
        <w:pStyle w:val="L1-Bullet"/>
      </w:pPr>
      <w:r w:rsidRPr="00317D6F">
        <w:rPr>
          <w:b/>
          <w:bCs/>
        </w:rPr>
        <w:t>Schedule ASCR-09-KQ-01 correctly.</w:t>
      </w:r>
      <w:r w:rsidRPr="00317D6F">
        <w:t xml:space="preserve"> Section 3.6.6 requires ASCR-09-KQ-01 at least quarterly in an approved staging or digital-twin environment using the production-equivalent proxy configuration. Production execution is by exception only and requires the ASCR-09 Section 7.3 prerequisites, technical safety controls, and written authorization for that specific test.</w:t>
      </w:r>
    </w:p>
    <w:p w14:paraId="784AC51D" w14:textId="5B89225B" w:rsidR="002533C8" w:rsidRPr="00A559C5" w:rsidRDefault="00000000" w:rsidP="00A559C5">
      <w:pPr>
        <w:pStyle w:val="L1-Bullet"/>
      </w:pPr>
      <w:r w:rsidRPr="00317D6F">
        <w:rPr>
          <w:b/>
          <w:bCs/>
        </w:rPr>
        <w:t>Identify the artifact that performs the Physical BOM function.</w:t>
      </w:r>
      <w:r w:rsidRPr="00317D6F">
        <w:t xml:space="preserve"> Sections 3.6.5 and 3.6.6 reference the Physical BOM as the store for TKQ baseline measurements and asset fail-safe behaviors. Identify which artifact in your governance stack performs this function and confirm it is populated before commissioning.</w:t>
      </w:r>
      <w:bookmarkStart w:id="3" w:name="_heading=h.u93aqojmyjec" w:colFirst="0" w:colLast="0"/>
      <w:bookmarkEnd w:id="3"/>
    </w:p>
    <w:p w14:paraId="6778D8F4" w14:textId="77777777" w:rsidR="002533C8" w:rsidRPr="00317D6F" w:rsidRDefault="00000000" w:rsidP="00A559C5">
      <w:pPr>
        <w:pStyle w:val="HS-Heading2"/>
      </w:pPr>
      <w:bookmarkStart w:id="4" w:name="_heading=h.840o3lw0kbc5" w:colFirst="0" w:colLast="0"/>
      <w:bookmarkEnd w:id="4"/>
      <w:r w:rsidRPr="00317D6F">
        <w:t>Artifact structure and usage</w:t>
      </w:r>
    </w:p>
    <w:p w14:paraId="6FBDD3A1" w14:textId="160CB828" w:rsidR="002533C8" w:rsidRPr="00317D6F" w:rsidRDefault="00000000" w:rsidP="00522059">
      <w:pPr>
        <w:pStyle w:val="P0-Paragraph"/>
      </w:pPr>
      <w:r w:rsidRPr="00317D6F">
        <w:t>ASCR-04-OE01-MCP-Gateway-Reference-Tables.xlsx is the operational form of this artifact. It contains the complete field-, layer-, code-, and threshold-level detail that Sections 2 through 7 describe in prose, structured for direct use in gateway configuration, deployment sign-off, and post-incident forensic reconstruction. It does not replace this document; it operationalizes it.</w:t>
      </w:r>
    </w:p>
    <w:p w14:paraId="606CB0C3" w14:textId="77777777" w:rsidR="002533C8" w:rsidRPr="00317D6F" w:rsidRDefault="00000000" w:rsidP="00A559C5">
      <w:pPr>
        <w:pStyle w:val="P0-Paragraph"/>
      </w:pPr>
      <w:r w:rsidRPr="00317D6F">
        <w:t>The workbook opens with Read Me and Instructions, followed by ten operational data sheets in this order:</w:t>
      </w:r>
    </w:p>
    <w:p w14:paraId="44C60A9F" w14:textId="5E7FCB30" w:rsidR="002533C8" w:rsidRPr="00317D6F" w:rsidRDefault="00000000" w:rsidP="00A559C5">
      <w:pPr>
        <w:pStyle w:val="L1-Bullet"/>
      </w:pPr>
      <w:r w:rsidRPr="00317D6F">
        <w:lastRenderedPageBreak/>
        <w:t>Invocation Schema — the 19-field gateway invocation record (Section 2.1): field name, type/format, description, assignment source (caller vs. gateway), and per-field regulatory relevance. Normative for exact field names, types, and which party populates each field.</w:t>
      </w:r>
    </w:p>
    <w:p w14:paraId="7C92512C" w14:textId="67A2DAFC" w:rsidR="002533C8" w:rsidRPr="00317D6F" w:rsidRDefault="00000000" w:rsidP="00A559C5">
      <w:pPr>
        <w:pStyle w:val="L1-Bullet"/>
      </w:pPr>
      <w:r w:rsidRPr="00317D6F">
        <w:t>Enforcement Layers — the seven-layer verdict logic (Section 3.2): per-layer mechanism, rejection/hold trigger condition, verdict code, and evidence record produced. This is the row-by-row specification behind the Section 3.1 design narrative.</w:t>
      </w:r>
    </w:p>
    <w:p w14:paraId="1440F5E8" w14:textId="6DB7DA9F" w:rsidR="002533C8" w:rsidRPr="00317D6F" w:rsidRDefault="00000000" w:rsidP="00A559C5">
      <w:pPr>
        <w:pStyle w:val="L1-Bullet"/>
      </w:pPr>
      <w:r w:rsidRPr="00317D6F">
        <w:t>Rejection Codes — the full verdict code reference (Section 3.3): every REJECT/HOLD code, its layer, trigger condition, ASCR-08 classification candidates, and required operator action.</w:t>
      </w:r>
    </w:p>
    <w:p w14:paraId="1B266E92" w14:textId="414B073D" w:rsidR="002533C8" w:rsidRPr="00317D6F" w:rsidRDefault="00000000" w:rsidP="00A559C5">
      <w:pPr>
        <w:pStyle w:val="L1-Bullet"/>
      </w:pPr>
      <w:r w:rsidRPr="00317D6F">
        <w:t>Physical Impact Gate — per-physical-system Layer 6 configuration (Section 4.2): actuation endpoint pattern, ASCR-06 integration trigger, circuit-breaker hold condition, and Safe-State default. Includes an operator-defined template row — every deployment must add a row per physical system class before commissioning; it is not a default configuration.</w:t>
      </w:r>
    </w:p>
    <w:p w14:paraId="2C6C8DBD" w14:textId="76618433" w:rsidR="002533C8" w:rsidRPr="00317D6F" w:rsidRDefault="00000000" w:rsidP="00A559C5">
      <w:pPr>
        <w:pStyle w:val="L1-Bullet"/>
      </w:pPr>
      <w:r w:rsidRPr="00317D6F">
        <w:t>KQP Safe-State Commands — Phase 2 safe-state command implementation by asset class (Section 3.6.3), including which native stop mechanisms are not inherently guaranteed brakes and require platform-specific verification before reliance.</w:t>
      </w:r>
    </w:p>
    <w:p w14:paraId="5B865610" w14:textId="16199EF4" w:rsidR="002533C8" w:rsidRPr="00317D6F" w:rsidRDefault="00000000" w:rsidP="00A559C5">
      <w:pPr>
        <w:pStyle w:val="L1-Bullet"/>
      </w:pPr>
      <w:r w:rsidRPr="00317D6F">
        <w:t>KQP TKQ Thresholds — deployment-approved P99.9 Time-to-Kinetic-Quarantine thresholds by asset class, with P99.99 thresholds required for High or Critical physical-consequence deployments where applicable (Section 3.6.5). Values must be populated from ASCR-10 commissioning evidence using the statistical validation method required by ASCR-11 Section 11.3.1.1 before operational reliance.</w:t>
      </w:r>
    </w:p>
    <w:p w14:paraId="4BA08BD0" w14:textId="6FF3A505" w:rsidR="002533C8" w:rsidRPr="00317D6F" w:rsidRDefault="00000000" w:rsidP="00A559C5">
      <w:pPr>
        <w:pStyle w:val="L1-Bullet"/>
      </w:pPr>
      <w:r w:rsidRPr="00317D6F">
        <w:t>Performance Requirements — latency, manifest-sync, attestation-freshness, hold-propagation, log-completeness, and availability requirements (Section 5.1), each mapped to its governing reference and measurement method.</w:t>
      </w:r>
    </w:p>
    <w:p w14:paraId="692088E5" w14:textId="710E9B5D" w:rsidR="002533C8" w:rsidRPr="00317D6F" w:rsidRDefault="00000000" w:rsidP="00A559C5">
      <w:pPr>
        <w:pStyle w:val="L1-Bullet"/>
      </w:pPr>
      <w:r w:rsidRPr="00317D6F">
        <w:t>Evidence Records — the evidence-record-to-regulatory-citation mapping (Section 6.1): record contents, retention period, and regulatory relevance / evidence supported across the EU AI Act, NIS2, RPLD, IEC 62443, and NIST mappings.</w:t>
      </w:r>
    </w:p>
    <w:p w14:paraId="2030AD55" w14:textId="586B2403" w:rsidR="002533C8" w:rsidRPr="00317D6F" w:rsidRDefault="00000000" w:rsidP="00A559C5">
      <w:pPr>
        <w:pStyle w:val="L1-Bullet"/>
      </w:pPr>
      <w:r w:rsidRPr="00317D6F">
        <w:t>Deployment Checklist — 17-item deployment verification and sign-off sequence.</w:t>
      </w:r>
    </w:p>
    <w:p w14:paraId="060815C8" w14:textId="0FD577B6" w:rsidR="002533C8" w:rsidRPr="00317D6F" w:rsidRDefault="00000000" w:rsidP="00A559C5">
      <w:pPr>
        <w:pStyle w:val="L1-Bullet"/>
      </w:pPr>
      <w:r w:rsidRPr="00317D6F">
        <w:t>Deployment Parameters — deployment-specific governed configuration register for the values referenced throughout this artifact.</w:t>
      </w:r>
    </w:p>
    <w:p w14:paraId="7F3851ED" w14:textId="77777777" w:rsidR="002533C8" w:rsidRPr="00317D6F" w:rsidRDefault="00000000" w:rsidP="00A559C5">
      <w:pPr>
        <w:pStyle w:val="P0-Paragraph"/>
      </w:pPr>
      <w:r w:rsidRPr="00317D6F">
        <w:t>Read Me carries the canonical OE metadata, worksheet inventory, scope, precedence, lockstep/change-control statement, and operationalization note. Instructions covers scope, sheet-to-section mapping, precedence, version and change control, and jurisdiction/currency warnings, including RPLD evidence-retention guidance, EU AI Act application timing, commissioning-populated TKQ placeholders, and illustrative Physical Impact Gate examples.</w:t>
      </w:r>
    </w:p>
    <w:p w14:paraId="11F3AFB9" w14:textId="3EE94845" w:rsidR="002533C8" w:rsidRPr="00317D6F" w:rsidRDefault="00000000" w:rsidP="00A559C5">
      <w:pPr>
        <w:pStyle w:val="P0-Paragraph"/>
      </w:pPr>
      <w:r w:rsidRPr="00317D6F">
        <w:t>The workbook is normative for row-level field names, codes, thresholds, and sign-off assignments; this document is normative for enforcement logic, control rationale, and update governance. The two files version in lockstep — both must carry the same version string (currently 1.0 — June 2026), and the workbook's Instructions sheet records its scope, precedence, version, and change control.</w:t>
      </w:r>
    </w:p>
    <w:p w14:paraId="4CA919FB" w14:textId="77777777" w:rsidR="002533C8" w:rsidRPr="00317D6F" w:rsidRDefault="00000000" w:rsidP="00A559C5">
      <w:pPr>
        <w:pStyle w:val="HS-Heading2"/>
      </w:pPr>
      <w:r w:rsidRPr="00317D6F">
        <w:rPr>
          <w:rFonts w:eastAsia="Aptos"/>
        </w:rPr>
        <w:t>Runtime policy and configuration layer</w:t>
      </w:r>
    </w:p>
    <w:p w14:paraId="0E56A0DB" w14:textId="77777777" w:rsidR="002533C8" w:rsidRPr="00317D6F" w:rsidRDefault="00000000" w:rsidP="00A559C5">
      <w:pPr>
        <w:pStyle w:val="P0-Paragraph"/>
      </w:pPr>
      <w:r w:rsidRPr="00317D6F">
        <w:rPr>
          <w:rFonts w:eastAsia="Aptos"/>
        </w:rPr>
        <w:t xml:space="preserve">The MCP gateway does not query ASCR-11 Schedule A as a runtime service. ASCR-11 remains the authoritative, governed source of approved threshold values and associated policy requirements. Before those values can be used by the enforcement path, the ASCR-04-conforming gateway implementation must materialize them as an </w:t>
      </w:r>
      <w:r w:rsidRPr="00317D6F">
        <w:rPr>
          <w:rFonts w:eastAsia="Aptos"/>
        </w:rPr>
        <w:lastRenderedPageBreak/>
        <w:t>effective runtime configuration and validate that configuration for integrity, version, freshness, and availability. Only a validated runtime configuration may govern enforcement decisions.</w:t>
      </w:r>
    </w:p>
    <w:p w14:paraId="2C65AFE7" w14:textId="77777777" w:rsidR="002533C8" w:rsidRPr="00317D6F" w:rsidRDefault="00000000" w:rsidP="00A559C5">
      <w:pPr>
        <w:pStyle w:val="P0-Paragraph"/>
      </w:pPr>
      <w:r w:rsidRPr="00317D6F">
        <w:rPr>
          <w:rFonts w:eastAsia="Aptos"/>
        </w:rPr>
        <w:t>The following architecture shows how the MCP gateway applies governed runtime configuration at the enforcement boundary. ASCR-11 remains the authoritative source for governed threshold values; the ASCR-04-conforming gateway materializes and validates the enforcement configuration used at runtime. ASCR-06 performs step-ahead verification, while the ASCR-04-conforming gateway's Layer 6 enforces the resulting verdict. ASCR-07 records the invocation, decision, and configuration identity required to reconstruct the enforcement path.</w:t>
      </w:r>
    </w:p>
    <w:p w14:paraId="5419E930" w14:textId="77777777" w:rsidR="002533C8" w:rsidRPr="00317D6F" w:rsidRDefault="00000000" w:rsidP="00A559C5">
      <w:pPr>
        <w:pStyle w:val="F0-Figure"/>
      </w:pPr>
      <w:r w:rsidRPr="00317D6F">
        <w:rPr>
          <w:noProof/>
        </w:rPr>
        <w:drawing>
          <wp:inline distT="0" distB="0" distL="114300" distR="114300" wp14:anchorId="1CDA486A" wp14:editId="7D18BDFB">
            <wp:extent cx="5943600" cy="3200400"/>
            <wp:effectExtent l="0" t="0" r="0" b="0"/>
            <wp:docPr id="930434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200400"/>
                    </a:xfrm>
                    <a:prstGeom prst="rect">
                      <a:avLst/>
                    </a:prstGeom>
                    <a:ln/>
                  </pic:spPr>
                </pic:pic>
              </a:graphicData>
            </a:graphic>
          </wp:inline>
        </w:drawing>
      </w:r>
    </w:p>
    <w:p w14:paraId="6DBCEA2D" w14:textId="0B7C6988" w:rsidR="002533C8" w:rsidRPr="00A559C5" w:rsidRDefault="00000000" w:rsidP="00A559C5">
      <w:pPr>
        <w:pStyle w:val="F0-FigureCaption"/>
        <w:rPr>
          <w:rFonts w:ascii="Arial" w:eastAsia="Arial" w:hAnsi="Arial" w:cs="Arial"/>
          <w:sz w:val="16"/>
        </w:rPr>
      </w:pPr>
      <w:r w:rsidRPr="00317D6F">
        <w:rPr>
          <w:rFonts w:eastAsia="Aptos"/>
        </w:rPr>
        <w:t>Figure 1 — ASCR-04 MCP Gateway Enforcement Architecture</w:t>
      </w:r>
    </w:p>
    <w:p w14:paraId="0370A68E" w14:textId="77777777" w:rsidR="002533C8" w:rsidRPr="00317D6F" w:rsidRDefault="00000000" w:rsidP="00A559C5">
      <w:pPr>
        <w:pStyle w:val="P0-Paragraph"/>
      </w:pPr>
      <w:r w:rsidRPr="00317D6F">
        <w:rPr>
          <w:rFonts w:eastAsia="Aptos"/>
        </w:rPr>
        <w:t>The architecture establishes the enforcement boundary used throughout ASCR-04: governed configuration is materialized and validated before enforcement, ASCR-06 verifies the proposed physical action, the ASCR-04-conforming gateway's Layer 6 enforces the resulting verdict, and ASCR-07 preserves the evidence and runtime configuration identity required to reconstruct the decision.</w:t>
      </w:r>
    </w:p>
    <w:p w14:paraId="13B24B50" w14:textId="77777777" w:rsidR="002533C8" w:rsidRPr="00317D6F" w:rsidRDefault="00000000" w:rsidP="00A559C5">
      <w:pPr>
        <w:pStyle w:val="HS-Heading2"/>
      </w:pPr>
      <w:r w:rsidRPr="00317D6F">
        <w:rPr>
          <w:rFonts w:eastAsia="Aptos"/>
        </w:rPr>
        <w:t>Runtime configuration requirements</w:t>
      </w:r>
    </w:p>
    <w:p w14:paraId="39FFF89B" w14:textId="77777777" w:rsidR="002533C8" w:rsidRPr="00317D6F" w:rsidRDefault="00000000" w:rsidP="00A559C5">
      <w:pPr>
        <w:pStyle w:val="P0-Paragraph"/>
      </w:pPr>
      <w:r w:rsidRPr="00317D6F">
        <w:rPr>
          <w:rFonts w:eastAsia="Aptos"/>
        </w:rPr>
        <w:t>The ASCR-04-conforming gateway implementation shall maintain an effective runtime configuration derived from the authoritative values approved through ASCR-11. The effective runtime configuration shall:</w:t>
      </w:r>
    </w:p>
    <w:p w14:paraId="2BF12328" w14:textId="529AB5F1" w:rsidR="002533C8" w:rsidRPr="00317D6F" w:rsidRDefault="00A559C5" w:rsidP="00A559C5">
      <w:pPr>
        <w:pStyle w:val="L1-Bullet"/>
      </w:pPr>
      <w:r w:rsidRPr="00317D6F">
        <w:rPr>
          <w:rFonts w:eastAsia="Aptos"/>
        </w:rPr>
        <w:t xml:space="preserve">Derive </w:t>
      </w:r>
      <w:r w:rsidR="00000000" w:rsidRPr="00317D6F">
        <w:rPr>
          <w:rFonts w:eastAsia="Aptos"/>
        </w:rPr>
        <w:t>its governed threshold values from the currently approved ASCR-11 configuration;</w:t>
      </w:r>
    </w:p>
    <w:p w14:paraId="5CDE8EFF" w14:textId="5DE25A63" w:rsidR="002533C8" w:rsidRPr="00317D6F" w:rsidRDefault="00A559C5" w:rsidP="00A559C5">
      <w:pPr>
        <w:pStyle w:val="L1-Bullet"/>
      </w:pPr>
      <w:r w:rsidRPr="00317D6F">
        <w:rPr>
          <w:rFonts w:eastAsia="Aptos"/>
        </w:rPr>
        <w:t xml:space="preserve">Not </w:t>
      </w:r>
      <w:r w:rsidR="00000000" w:rsidRPr="00317D6F">
        <w:rPr>
          <w:rFonts w:eastAsia="Aptos"/>
        </w:rPr>
        <w:t>query ASCR-11 Schedule A directly during runtime enforcement;</w:t>
      </w:r>
    </w:p>
    <w:p w14:paraId="6120A1D4" w14:textId="0A78A0D6" w:rsidR="002533C8" w:rsidRPr="00317D6F" w:rsidRDefault="00A559C5" w:rsidP="00A559C5">
      <w:pPr>
        <w:pStyle w:val="L1-Bullet"/>
      </w:pPr>
      <w:r w:rsidRPr="00317D6F">
        <w:rPr>
          <w:rFonts w:eastAsia="Aptos"/>
        </w:rPr>
        <w:t xml:space="preserve">Carry </w:t>
      </w:r>
      <w:r w:rsidR="00000000" w:rsidRPr="00317D6F">
        <w:rPr>
          <w:rFonts w:eastAsia="Aptos"/>
        </w:rPr>
        <w:t>a unique configuration identity and version sufficient to identify the exact configuration used for an enforcement decision;</w:t>
      </w:r>
    </w:p>
    <w:p w14:paraId="3BED3003" w14:textId="4912C87F" w:rsidR="002533C8" w:rsidRPr="00317D6F" w:rsidRDefault="00A559C5" w:rsidP="00A559C5">
      <w:pPr>
        <w:pStyle w:val="L1-Bullet"/>
      </w:pPr>
      <w:r w:rsidRPr="00317D6F">
        <w:rPr>
          <w:rFonts w:eastAsia="Aptos"/>
        </w:rPr>
        <w:t xml:space="preserve">Include </w:t>
      </w:r>
      <w:r w:rsidR="00000000" w:rsidRPr="00317D6F">
        <w:rPr>
          <w:rFonts w:eastAsia="Aptos"/>
        </w:rPr>
        <w:t>integrity protection sufficient to detect unauthorized or corrupted modification;</w:t>
      </w:r>
    </w:p>
    <w:p w14:paraId="1557AF72" w14:textId="247D658C" w:rsidR="002533C8" w:rsidRPr="00317D6F" w:rsidRDefault="00A559C5" w:rsidP="00A559C5">
      <w:pPr>
        <w:pStyle w:val="L1-Bullet"/>
      </w:pPr>
      <w:r w:rsidRPr="00317D6F">
        <w:rPr>
          <w:rFonts w:eastAsia="Aptos"/>
        </w:rPr>
        <w:t xml:space="preserve">Be </w:t>
      </w:r>
      <w:r w:rsidR="00000000" w:rsidRPr="00317D6F">
        <w:rPr>
          <w:rFonts w:eastAsia="Aptos"/>
        </w:rPr>
        <w:t>validated before admission to the enforcement path;</w:t>
      </w:r>
    </w:p>
    <w:p w14:paraId="5FF25F69" w14:textId="10C0F7C6" w:rsidR="002533C8" w:rsidRPr="00317D6F" w:rsidRDefault="00A559C5" w:rsidP="00A559C5">
      <w:pPr>
        <w:pStyle w:val="L1-Bullet"/>
      </w:pPr>
      <w:r w:rsidRPr="00317D6F">
        <w:rPr>
          <w:rFonts w:eastAsia="Aptos"/>
        </w:rPr>
        <w:t xml:space="preserve">Satisfy </w:t>
      </w:r>
      <w:r w:rsidR="00000000" w:rsidRPr="00317D6F">
        <w:rPr>
          <w:rFonts w:eastAsia="Aptos"/>
        </w:rPr>
        <w:t>the applicable freshness and validity requirements before use;</w:t>
      </w:r>
    </w:p>
    <w:p w14:paraId="7043256B" w14:textId="28CE6C98" w:rsidR="002533C8" w:rsidRPr="00317D6F" w:rsidRDefault="00A559C5" w:rsidP="00A559C5">
      <w:pPr>
        <w:pStyle w:val="L1-Bullet"/>
      </w:pPr>
      <w:r w:rsidRPr="00317D6F">
        <w:rPr>
          <w:rFonts w:eastAsia="Aptos"/>
        </w:rPr>
        <w:lastRenderedPageBreak/>
        <w:t xml:space="preserve">Remain </w:t>
      </w:r>
      <w:r w:rsidR="00000000" w:rsidRPr="00317D6F">
        <w:rPr>
          <w:rFonts w:eastAsia="Aptos"/>
        </w:rPr>
        <w:t>available to the enforcement path within the applicable enforcement latency budget; and</w:t>
      </w:r>
    </w:p>
    <w:p w14:paraId="5AFF77C0" w14:textId="440EA19F" w:rsidR="002533C8" w:rsidRPr="00317D6F" w:rsidRDefault="00A559C5" w:rsidP="00A559C5">
      <w:pPr>
        <w:pStyle w:val="L1-Bullet"/>
      </w:pPr>
      <w:r w:rsidRPr="00317D6F">
        <w:rPr>
          <w:rFonts w:eastAsia="Aptos"/>
        </w:rPr>
        <w:t xml:space="preserve">Fail </w:t>
      </w:r>
      <w:r w:rsidR="00000000" w:rsidRPr="00317D6F">
        <w:rPr>
          <w:rFonts w:eastAsia="Aptos"/>
        </w:rPr>
        <w:t>closed for any affected enforcement decision when the configuration is invalid, stale, unverified, corrupted, or unavailable.</w:t>
      </w:r>
    </w:p>
    <w:p w14:paraId="15A1E096" w14:textId="77777777" w:rsidR="002533C8" w:rsidRPr="00317D6F" w:rsidRDefault="00000000" w:rsidP="00A559C5">
      <w:pPr>
        <w:pStyle w:val="P0-Paragraph"/>
      </w:pPr>
      <w:r w:rsidRPr="00317D6F">
        <w:t>For workloads holding physical-actuation scope, the runtime configuration must also contain physical_attestation_cycle and physical_attestation_max_age. Both values are deployment-specific governed parameters and must be populated before production. An actuation request whose attestation age exceeds the configured maximum fails closed.</w:t>
      </w:r>
    </w:p>
    <w:p w14:paraId="7E319A2E" w14:textId="77777777" w:rsidR="002533C8" w:rsidRPr="00317D6F" w:rsidRDefault="00000000" w:rsidP="00A559C5">
      <w:pPr>
        <w:pStyle w:val="P0-Paragraph"/>
      </w:pPr>
      <w:r w:rsidRPr="00317D6F">
        <w:rPr>
          <w:rFonts w:ascii="Aptos" w:eastAsia="Aptos" w:hAnsi="Aptos" w:cs="Aptos"/>
          <w:sz w:val="20"/>
          <w:szCs w:val="20"/>
        </w:rPr>
        <w:t>A configuration validation failure is an enforcement-integrity failure, not merely a configuration-management error. When the gateway cannot establish that the effective runtime configuration is valid and current, Layer 6 cannot safely evaluate the affected Physical Consequence Action. The gateway therefore shall prevent the affected action from proceeding and enforce the applicable ASCR-04 HOLD/BLOCK behavior. Where a physical safety response is required, the ASCR-04-conforming gateway implementation issues or maintains the governed handoff to the deployment-approved functional-safety or machine-safety mechanism defined for the affected asset under ASCR-03.</w:t>
      </w:r>
    </w:p>
    <w:p w14:paraId="4FF4BFAF" w14:textId="77777777" w:rsidR="002533C8" w:rsidRPr="00317D6F" w:rsidRDefault="00000000" w:rsidP="00A559C5">
      <w:pPr>
        <w:pStyle w:val="P0-Paragraph"/>
      </w:pPr>
      <w:r w:rsidRPr="00317D6F">
        <w:rPr>
          <w:rFonts w:ascii="Aptos" w:eastAsia="Aptos" w:hAnsi="Aptos" w:cs="Aptos"/>
          <w:sz w:val="20"/>
          <w:szCs w:val="20"/>
        </w:rPr>
        <w:t>ASCR-07 shall record the runtime configuration identity and version associated with each enforcement decision, including configuration-validation failures. The evidence record shall permit subsequent reconstruction of which governed runtime configuration was in force when the decision was made.</w:t>
      </w:r>
    </w:p>
    <w:p w14:paraId="7B6A88D8" w14:textId="77777777" w:rsidR="002533C8" w:rsidRPr="00317D6F" w:rsidRDefault="00000000" w:rsidP="00A559C5">
      <w:pPr>
        <w:pStyle w:val="P0-Paragraph"/>
      </w:pPr>
      <w:r w:rsidRPr="00317D6F">
        <w:rPr>
          <w:rFonts w:ascii="Aptos" w:eastAsia="Aptos" w:hAnsi="Aptos" w:cs="Aptos"/>
          <w:sz w:val="20"/>
          <w:szCs w:val="20"/>
        </w:rPr>
        <w:t>The architecture establishes a cross-ASCR semantic distinction that applies throughout the Blueprint:</w:t>
      </w:r>
    </w:p>
    <w:p w14:paraId="4110B25E" w14:textId="77777777" w:rsidR="002533C8" w:rsidRPr="00317D6F" w:rsidRDefault="00000000" w:rsidP="00A559C5">
      <w:pPr>
        <w:pStyle w:val="P0-Paragraph"/>
      </w:pPr>
      <w:r w:rsidRPr="00317D6F">
        <w:rPr>
          <w:rFonts w:ascii="Aptos" w:eastAsia="Aptos" w:hAnsi="Aptos" w:cs="Aptos"/>
          <w:sz w:val="20"/>
          <w:szCs w:val="20"/>
        </w:rPr>
        <w:t>Governance artifacts define approved policy; enforcement artifacts materialize and apply that policy; verification artifacts evaluate the proposed action; forensic artifacts record the resulting decision and its governing configuration.</w:t>
      </w:r>
    </w:p>
    <w:p w14:paraId="38978934" w14:textId="77777777" w:rsidR="002533C8" w:rsidRPr="00317D6F" w:rsidRDefault="00000000" w:rsidP="00A559C5">
      <w:pPr>
        <w:pStyle w:val="P0-Paragraph"/>
      </w:pPr>
      <w:r w:rsidRPr="00317D6F">
        <w:rPr>
          <w:rFonts w:ascii="Aptos" w:eastAsia="Aptos" w:hAnsi="Aptos" w:cs="Aptos"/>
          <w:sz w:val="20"/>
          <w:szCs w:val="20"/>
        </w:rPr>
        <w:t>For the enforcement path defined by ASCR-04, ASCR-11 governs the approved values; ASCR-04 defines the requirements by which the conforming gateway materializes and applies the effective runtime configuration; ASCR-06 verifies the proposed physical action; the ASCR-04-conforming gateway enforces the resulting verdict; and ASCR-07 records the decision and its governing configuration identity.</w:t>
      </w:r>
    </w:p>
    <w:p w14:paraId="28776D8E" w14:textId="77777777" w:rsidR="002533C8" w:rsidRPr="00317D6F" w:rsidRDefault="00000000" w:rsidP="00A559C5">
      <w:pPr>
        <w:pStyle w:val="HS-Heading2"/>
      </w:pPr>
      <w:r w:rsidRPr="00317D6F">
        <w:t>Gateway availability and bypass prevention</w:t>
      </w:r>
    </w:p>
    <w:p w14:paraId="4631B81F" w14:textId="005B32FF" w:rsidR="002533C8" w:rsidRPr="00A559C5" w:rsidRDefault="00000000" w:rsidP="00A559C5">
      <w:pPr>
        <w:pStyle w:val="P0-Paragraph"/>
      </w:pPr>
      <w:r w:rsidRPr="00317D6F">
        <w:t>Gateway unavailability must fail closed for all agent-initiated physical-actuation invocations. Agent workloads must not have a network, identity, or application path that permits direct access to governed actuation endpoints while bypassing the MCP gateway. Network and workload-identity policy must restrict governed actuation endpoints to the approved gateway identity and independently authorized safety or recovery paths. Pre-deployment verification must include an attempted direct actuation request from a non-gateway workload and confirm that the request is refused.</w:t>
      </w:r>
    </w:p>
    <w:p w14:paraId="7C715E97" w14:textId="77777777" w:rsidR="002533C8" w:rsidRPr="00317D6F" w:rsidRDefault="00000000" w:rsidP="00A559C5">
      <w:pPr>
        <w:pStyle w:val="HS-Heading1"/>
      </w:pPr>
      <w:r w:rsidRPr="00317D6F">
        <w:rPr>
          <w:rFonts w:eastAsia="Arial"/>
        </w:rPr>
        <w:t>Section 1 — Gateway architecture and control plane role</w:t>
      </w:r>
    </w:p>
    <w:p w14:paraId="2446C530" w14:textId="77777777" w:rsidR="002533C8" w:rsidRPr="00317D6F" w:rsidRDefault="00000000" w:rsidP="00A559C5">
      <w:pPr>
        <w:pStyle w:val="HS-Heading2"/>
      </w:pPr>
      <w:r w:rsidRPr="00317D6F">
        <w:rPr>
          <w:rFonts w:eastAsia="Arial"/>
        </w:rPr>
        <w:t>1.1 The MCP gateway as control plane</w:t>
      </w:r>
    </w:p>
    <w:p w14:paraId="4A077F81" w14:textId="77777777" w:rsidR="002533C8" w:rsidRPr="00317D6F" w:rsidRDefault="00000000" w:rsidP="00314B7A">
      <w:pPr>
        <w:pStyle w:val="P0-Paragraph"/>
      </w:pPr>
      <w:r w:rsidRPr="00317D6F">
        <w:rPr>
          <w:rFonts w:eastAsia="Arial"/>
        </w:rPr>
        <w:t>In deployments where agentic AI systems operate as orchestrators within a cyber-physical environment, the Model Context Protocol defines the interface between AI planning and external tool execution. The MCP gateway sits at this interface. It is the point at which an agent's intent, expressed as a tool invocation request, is evaluated against the organization's access control policy before execution is permitted to proceed.</w:t>
      </w:r>
    </w:p>
    <w:p w14:paraId="1CB35321" w14:textId="77777777" w:rsidR="002533C8" w:rsidRPr="00317D6F" w:rsidRDefault="00000000" w:rsidP="00314B7A">
      <w:pPr>
        <w:pStyle w:val="P0-Paragraph"/>
      </w:pPr>
      <w:r w:rsidRPr="00317D6F">
        <w:lastRenderedPageBreak/>
        <w:t>Imagine that an autonomous warehouse orchestration agent issues a route update to 142 mobile robots after receiving an incorrect inventory congestion signal. This is an illustrative scenario used here to show the scale of a gateway enforcement failure. Without gateway enforcement, the routing command may propagate directly to the fleet controller without identity validation, parameter bounds checks, or physical-state verification. The gateway exists to stop that transition from planning error to physical consequence.</w:t>
      </w:r>
    </w:p>
    <w:p w14:paraId="2688D59B" w14:textId="77777777" w:rsidR="002533C8" w:rsidRPr="00317D6F" w:rsidRDefault="00000000" w:rsidP="00314B7A">
      <w:pPr>
        <w:pStyle w:val="P0-Paragraph"/>
      </w:pPr>
      <w:r w:rsidRPr="00317D6F">
        <w:rPr>
          <w:rFonts w:eastAsia="Arial"/>
        </w:rPr>
        <w:t>The architectural consequence of this placement is immediate: a tool invocation that reaches physical actuation infrastructure without passing through a correctly configured gateway is ungoverned. There is no identity record, no authorization record, no parameter bounds check, no physical constraint evaluation, and no evidence record. Physical Consequence Attribution proceedings require a complete forensic chain from the Intelligence Layer to the Physical Layer. Without gateway enforcement, that chain is broken at its most consequential link.</w:t>
      </w:r>
    </w:p>
    <w:p w14:paraId="038867F9" w14:textId="58CFA264" w:rsidR="002533C8" w:rsidRPr="00314B7A" w:rsidRDefault="00000000" w:rsidP="00314B7A">
      <w:pPr>
        <w:pStyle w:val="P0-Paragraph"/>
        <w:rPr>
          <w:rFonts w:eastAsia="Arial"/>
        </w:rPr>
      </w:pPr>
      <w:r w:rsidRPr="00317D6F">
        <w:rPr>
          <w:rFonts w:eastAsia="Arial"/>
        </w:rPr>
        <w:t>The gateway is a control plane, not a data plane. It does not process the content of what agents think or plan. It enforces who is permitted to act, what they are permitted to do, against what constraints, and with what evidence. That distinction governs every configuration decision in this artifact: authorization and evidence production, not cognitive evaluation.</w:t>
      </w:r>
    </w:p>
    <w:p w14:paraId="23096AAA" w14:textId="77777777" w:rsidR="002533C8" w:rsidRPr="00317D6F" w:rsidRDefault="00000000" w:rsidP="00314B7A">
      <w:pPr>
        <w:pStyle w:val="HS-Heading2"/>
      </w:pPr>
      <w:r w:rsidRPr="00317D6F">
        <w:rPr>
          <w:rFonts w:eastAsia="Arial"/>
        </w:rPr>
        <w:t>1.2 MCP as an expanding attack surface</w:t>
      </w:r>
    </w:p>
    <w:p w14:paraId="3B4DBFDE" w14:textId="77777777" w:rsidR="002533C8" w:rsidRPr="00317D6F" w:rsidRDefault="00000000" w:rsidP="00314B7A">
      <w:pPr>
        <w:pStyle w:val="P0-Paragraph"/>
      </w:pPr>
      <w:r w:rsidRPr="00317D6F">
        <w:rPr>
          <w:rFonts w:eastAsia="Arial"/>
        </w:rPr>
        <w:t>The Model Context Protocol was designed to standardize tool access for AI assistants. Early MCP deployments primarily exposed informational tools, including web search, file retrieval, and database query functions. In those environments, an unauthorized or malformed tool call could return incorrect data or expose sensitive records. The physical consequences of a misconfigured gateway were therefore relatively bounded.</w:t>
      </w:r>
    </w:p>
    <w:p w14:paraId="30C685C2" w14:textId="77777777" w:rsidR="002533C8" w:rsidRPr="00317D6F" w:rsidRDefault="00000000" w:rsidP="00314B7A">
      <w:pPr>
        <w:pStyle w:val="P0-Paragraph"/>
      </w:pPr>
      <w:r w:rsidRPr="00317D6F">
        <w:t>Agentic supply chain deployments change this risk profile fundamentally. When MCP tools include actuation endpoints, including commands that move physical systems, alter environmental conditions, control power distribution, or route physical goods, the attack surface extends into the physical domain. A tool invocation that bypasses identity verification and reaches an industrial robot's velocity control endpoint is not merely an information security incident. It is a cyber-physical action with direct physical impact. The MCP gateway configuration is, in this context, a safety-relevant system component.</w:t>
      </w:r>
    </w:p>
    <w:p w14:paraId="4B0642B6" w14:textId="77777777" w:rsidR="002533C8" w:rsidRPr="00317D6F" w:rsidRDefault="00000000" w:rsidP="00314B7A">
      <w:pPr>
        <w:pStyle w:val="P0-Paragraph"/>
      </w:pPr>
      <w:r w:rsidRPr="00317D6F">
        <w:t>ASCR-15 campaign mappings relevant to the ASCR-04 enforcement boundary include agent goal hijack and tool misuse, malicious or compromised MCP services and unauthorized tool registration, context poisoning, and AI or software supply-chain compromise. Applicable framework mappings include OWASP Agentic ASI01, ASI02, and ASI04; MITRE ATLAS AML.T0010, AML.T0080, AML.T0099, and AML.T0110; and MITRE ATT&amp;CK Enterprise T1195 where applicable. ASCR-15 provides the campaign and threat-model context; ASCR-04 provides the governed runtime enforcement pattern at the MCP and execution boundary.</w:t>
      </w:r>
    </w:p>
    <w:p w14:paraId="4A3A14C9" w14:textId="77777777" w:rsidR="002533C8" w:rsidRPr="00317D6F" w:rsidRDefault="00000000" w:rsidP="00314B7A">
      <w:pPr>
        <w:pStyle w:val="HS-Heading2"/>
      </w:pPr>
      <w:r w:rsidRPr="00317D6F">
        <w:rPr>
          <w:rFonts w:eastAsia="Arial"/>
        </w:rPr>
        <w:t>1.3 Relationship to adjacent ASCR artifacts</w:t>
      </w:r>
    </w:p>
    <w:p w14:paraId="313C469A" w14:textId="77777777" w:rsidR="002533C8" w:rsidRPr="00317D6F" w:rsidRDefault="00000000" w:rsidP="00314B7A">
      <w:pPr>
        <w:pStyle w:val="P0-Paragraph"/>
      </w:pPr>
      <w:r w:rsidRPr="00317D6F">
        <w:rPr>
          <w:rFonts w:eastAsia="Arial"/>
        </w:rPr>
        <w:t>The MCP gateway does not operate as an isolated control. Its enforcement actions depend on inputs from ASCR-06 (step-ahead verification verdicts) and ASCR-03 (Safe-State definitions and circuit-breaker release authority). Its evidence outputs are consumed by ASCR-07 (decision log records) and ASCR-08 (incident response and evidence-based Intent-Locus-Authority classification). Its authorized tool manifest is governed by ASCR-10 (change and logic-intercept protocol). Its governing performance and enforcement threshold values are established in the applicable ASCR-11 schedules and materialized into the validated runtime configuration used by ASCR-04.</w:t>
      </w:r>
    </w:p>
    <w:p w14:paraId="2AF48765" w14:textId="3095AC1F" w:rsidR="002533C8" w:rsidRPr="00317D6F" w:rsidRDefault="00000000" w:rsidP="00314B7A">
      <w:pPr>
        <w:pStyle w:val="P0-Paragraph"/>
      </w:pPr>
      <w:r w:rsidRPr="00317D6F">
        <w:rPr>
          <w:rFonts w:eastAsia="Arial"/>
        </w:rPr>
        <w:lastRenderedPageBreak/>
        <w:t>This dependency structure means ASCR-04 cannot operate correctly without its prerequisite artifacts. Missing integrations create explicit enforcement gaps. A gateway without ASCR-06 integration cannot enforce physical constraints. A gateway without ASCR-07 integration cannot produce the complete decision-lineage and gateway evidence chain required by the Blueprint and may create an evidentiary gap that impairs preservation or production of relevant evidence needed to satisfy a qualifying RPLD Article 9(1) disclosure obligation. A gateway without ASCR-10 manifest governance cannot prevent unauthorized tool additions from entering the approved inventory. The deployment checklist in Section 7 makes all prerequisite verifications explicit.</w:t>
      </w:r>
    </w:p>
    <w:p w14:paraId="01FB0656" w14:textId="77777777" w:rsidR="002533C8" w:rsidRPr="00317D6F" w:rsidRDefault="00000000" w:rsidP="00314B7A">
      <w:pPr>
        <w:pStyle w:val="HS-Heading1"/>
      </w:pPr>
      <w:r w:rsidRPr="00317D6F">
        <w:rPr>
          <w:rFonts w:eastAsia="Arial"/>
        </w:rPr>
        <w:t>Section 2 — Invocation field schema</w:t>
      </w:r>
    </w:p>
    <w:p w14:paraId="162EC026" w14:textId="77777777" w:rsidR="002533C8" w:rsidRPr="00317D6F" w:rsidRDefault="00000000" w:rsidP="00712050">
      <w:pPr>
        <w:pStyle w:val="HS-Heading2"/>
      </w:pPr>
      <w:r w:rsidRPr="00317D6F">
        <w:rPr>
          <w:rFonts w:eastAsia="Arial"/>
        </w:rPr>
        <w:t>2.1 Schema overview</w:t>
      </w:r>
    </w:p>
    <w:p w14:paraId="1A8E4069" w14:textId="77777777" w:rsidR="002533C8" w:rsidRPr="00317D6F" w:rsidRDefault="00000000" w:rsidP="00712050">
      <w:pPr>
        <w:pStyle w:val="P0-Paragraph"/>
      </w:pPr>
      <w:r w:rsidRPr="00317D6F">
        <w:rPr>
          <w:rFonts w:eastAsia="Arial"/>
        </w:rPr>
        <w:t>Every tool invocation evaluated by the MCP gateway must produce a complete record across the nineteen fields defined in this section. These fields are co-produced by the gateway and the calling agent workload — some fields are supplied by the caller, some are gateway-assigned, and some are gateway-validated. The complete ASCR-04 gateway invocation record is delivered to the ASCR-07 evidence pipeline and linked to the associated ASCR-07 planning-cycle record through ascr07_record_id.</w:t>
      </w:r>
    </w:p>
    <w:p w14:paraId="5E49B503" w14:textId="77777777" w:rsidR="002533C8" w:rsidRPr="00317D6F" w:rsidRDefault="00000000" w:rsidP="00712050">
      <w:pPr>
        <w:pStyle w:val="P0-Paragraph"/>
      </w:pPr>
      <w:r w:rsidRPr="00317D6F">
        <w:t>The nineteen-field schema is the minimum gateway invocation record required by ASCR-04 for Physical Consequence Attribution. Every invocation record MUST contain all nineteen structural fields. A conditionally populated field may be null or empty only where its field definition expressly permits that state for the applicable verdict or invocation scope. A record is incomplete when a structural field is absent or when a conditionally required value is missing in a condition where that value is required. An evidentiary gap may impair the organization's ability to satisfy a qualifying RPLD Article 9(1) disclosure obligation. If a defendant fails to disclose relevant evidence pursuant to that obligation, Article 10(2)(a) provides for a rebuttable presumption of product defectiveness.</w:t>
      </w:r>
    </w:p>
    <w:p w14:paraId="6AC69BD7" w14:textId="1A0F8D31" w:rsidR="002533C8" w:rsidRPr="00712050" w:rsidRDefault="00000000" w:rsidP="00712050">
      <w:pPr>
        <w:pStyle w:val="P0-Paragraph"/>
        <w:rPr>
          <w:rFonts w:eastAsia="Arial"/>
        </w:rPr>
      </w:pPr>
      <w:r w:rsidRPr="00317D6F">
        <w:rPr>
          <w:rFonts w:eastAsia="Arial"/>
          <w:b/>
          <w:bCs/>
        </w:rPr>
        <w:t xml:space="preserve">Full table in Excel companion file: </w:t>
      </w:r>
      <w:r w:rsidRPr="00317D6F">
        <w:rPr>
          <w:rFonts w:eastAsia="Arial"/>
        </w:rPr>
        <w:t>ASCR-04-OE01-MCP-Gateway-Reference-Tables.xlsx — tab "Invocation Schema"</w:t>
      </w:r>
    </w:p>
    <w:p w14:paraId="6055704E" w14:textId="33B5EEAE" w:rsidR="002533C8" w:rsidRPr="00317D6F" w:rsidRDefault="00000000" w:rsidP="00712050">
      <w:pPr>
        <w:pStyle w:val="HS-Heading2"/>
      </w:pPr>
      <w:r w:rsidRPr="00317D6F">
        <w:rPr>
          <w:rFonts w:eastAsia="Arial"/>
        </w:rPr>
        <w:t xml:space="preserve">2.2 </w:t>
      </w:r>
      <w:r w:rsidR="00712050">
        <w:rPr>
          <w:rFonts w:eastAsia="Arial"/>
        </w:rPr>
        <w:t>ASCR</w:t>
      </w:r>
      <w:r w:rsidRPr="00317D6F">
        <w:rPr>
          <w:rFonts w:eastAsia="Arial"/>
        </w:rPr>
        <w:t>07_record_id linkage requirement</w:t>
      </w:r>
    </w:p>
    <w:p w14:paraId="48C23B13" w14:textId="77777777" w:rsidR="002533C8" w:rsidRPr="00317D6F" w:rsidRDefault="00000000" w:rsidP="00712050">
      <w:pPr>
        <w:pStyle w:val="P0-Paragraph"/>
      </w:pPr>
      <w:r w:rsidRPr="00317D6F">
        <w:rPr>
          <w:rFonts w:eastAsia="Arial"/>
        </w:rPr>
        <w:t>The ascr07_record_id field is the forensic bridge between the gateway invocation record and the ASCR-07 planning cycle decision record that authorized the tool call. Every Physical Consequence Action traceable to a specific planning cycle depends on this linkage being present and accurate.</w:t>
      </w:r>
    </w:p>
    <w:p w14:paraId="5E612077" w14:textId="77777777" w:rsidR="002533C8" w:rsidRPr="00317D6F" w:rsidRDefault="00000000" w:rsidP="00712050">
      <w:pPr>
        <w:pStyle w:val="P0-Paragraph"/>
      </w:pPr>
      <w:r w:rsidRPr="00317D6F">
        <w:rPr>
          <w:rFonts w:eastAsia="Arial"/>
        </w:rPr>
        <w:t>The linkage supports forward and backward forensic traversal:</w:t>
      </w:r>
    </w:p>
    <w:p w14:paraId="4F2769E5" w14:textId="19E19C03" w:rsidR="002533C8" w:rsidRPr="00317D6F" w:rsidRDefault="00000000" w:rsidP="00712050">
      <w:pPr>
        <w:pStyle w:val="L1-Bullet"/>
      </w:pPr>
      <w:r w:rsidRPr="00317D6F">
        <w:rPr>
          <w:rFonts w:eastAsia="Arial"/>
        </w:rPr>
        <w:t>Forward: starts with an ASCR-07 planning cycle record and identifies every gateway invocation generated from that cycle.</w:t>
      </w:r>
    </w:p>
    <w:p w14:paraId="361648EA" w14:textId="7F2AE49F" w:rsidR="002533C8" w:rsidRPr="00317D6F" w:rsidRDefault="00000000" w:rsidP="00712050">
      <w:pPr>
        <w:pStyle w:val="L1-Bullet"/>
      </w:pPr>
      <w:r w:rsidRPr="00317D6F">
        <w:rPr>
          <w:rFonts w:eastAsia="Arial"/>
        </w:rPr>
        <w:t>Backward: begins with a Physical Consequence Action and reconstructs the planning cycle that authorized it.</w:t>
      </w:r>
    </w:p>
    <w:p w14:paraId="0FF800DE" w14:textId="2B91972F" w:rsidR="002533C8" w:rsidRPr="00317D6F" w:rsidRDefault="00000000" w:rsidP="00712050">
      <w:pPr>
        <w:pStyle w:val="L1-Bullet"/>
      </w:pPr>
      <w:r w:rsidRPr="00317D6F">
        <w:t xml:space="preserve">Failure Consequence of One-Direction Breakage: A broken forward link occurs when the ascr07_record_id is not populated or points to a non-existent record. In this case, all Physical Consequence Actions produced by a given planning cycle cannot be identified. A broken backward link occurs when a Physical Consequence Action gateway record has no resolvable ascr07_record_id. This results in an ungoverned actuation, where a Physical Consequence Action has no traceable planning cycle authority. Either failure mode creates an evidentiary gap that may </w:t>
      </w:r>
      <w:r w:rsidRPr="00317D6F">
        <w:lastRenderedPageBreak/>
        <w:t>impair compliance with a qualifying Article 9(1) disclosure obligation; the gap does not independently trigger Article 10(2)(a).</w:t>
      </w:r>
    </w:p>
    <w:p w14:paraId="3845FF8B" w14:textId="77777777" w:rsidR="002533C8" w:rsidRPr="00317D6F" w:rsidRDefault="00000000" w:rsidP="00712050">
      <w:pPr>
        <w:pStyle w:val="P0-Paragraph"/>
      </w:pPr>
      <w:r w:rsidRPr="00317D6F">
        <w:rPr>
          <w:rFonts w:eastAsia="Arial"/>
        </w:rPr>
        <w:t>The ascr07_record_id field must be populated by the gateway from the ASCR-07 integration layer. It must not be caller-supplied. A gateway that accepts ascr07_record_id from the calling agent rather than populating it from its own ASCR-07 integration has a falsifiable evidence chain that may impair the organization's ability to satisfy a qualifying RPLD Article 9(1) disclosure obligation or rebut an applicable Article 10 presumption.</w:t>
      </w:r>
    </w:p>
    <w:p w14:paraId="120EF12D" w14:textId="0B619D73" w:rsidR="002533C8" w:rsidRPr="00317D6F" w:rsidRDefault="00000000" w:rsidP="00712050">
      <w:pPr>
        <w:pStyle w:val="P0-Paragraph"/>
      </w:pPr>
      <w:r w:rsidRPr="00317D6F">
        <w:t>Where the associated ASCR-07 record carries the signed traceparent evidence extension, the gateway-record traceparent and the ASCR-07 traceparent MUST identify the same W3C Trace Context trace. A missing or mismatched required trace reference is an evidentiary correlation gap and MUST be surfaced to the evidence and incident-response paths. Downstream components MUST NOT silently substitute or regenerate a different trace identifier.</w:t>
      </w:r>
    </w:p>
    <w:p w14:paraId="6247184C" w14:textId="77777777" w:rsidR="002533C8" w:rsidRPr="00317D6F" w:rsidRDefault="00000000" w:rsidP="00712050">
      <w:pPr>
        <w:pStyle w:val="HS-Heading2"/>
      </w:pPr>
      <w:r w:rsidRPr="00317D6F">
        <w:t>2.3 Consequential invocation request integrity, freshness, idempotency, and anti-replay</w:t>
      </w:r>
    </w:p>
    <w:p w14:paraId="5C7C0A5A" w14:textId="77777777" w:rsidR="002533C8" w:rsidRPr="00317D6F" w:rsidRDefault="00000000" w:rsidP="00712050">
      <w:pPr>
        <w:pStyle w:val="P0-Paragraph"/>
      </w:pPr>
      <w:r w:rsidRPr="00317D6F">
        <w:t>Governed physical-actuation invocations MUST be evaluated under a deployment-approved REQUEST-INTEGRITY-PROFILE before execution. The profile defines the request-binding, freshness, idempotency, and anti-replay controls applicable to each permitted MCP transport.</w:t>
      </w:r>
    </w:p>
    <w:p w14:paraId="1DA60A5F" w14:textId="77777777" w:rsidR="002533C8" w:rsidRPr="00317D6F" w:rsidRDefault="00000000" w:rsidP="00522059">
      <w:pPr>
        <w:pStyle w:val="P0-Paragraph"/>
      </w:pPr>
      <w:r w:rsidRPr="00712050">
        <w:rPr>
          <w:rStyle w:val="CS-Keyword"/>
        </w:rPr>
        <w:t>Request binding.</w:t>
      </w:r>
      <w:r w:rsidRPr="00317D6F">
        <w:t xml:space="preserve"> The gateway MUST establish that the invocation is bound to the planning-cycle and policy evidence that authorized it. At minimum, the gateway MUST resolve ascr07_record_id; confirm that the linked signed ASCR-07 record identifies the applicable invoked tool; recompute the canonical hash of tool_parameters and require it to match the signed ASCR-07 tool_invocation_args_hash for the linked invocation; preserve linkage to the signed ASCR-07 goal_hash and policy_version; and evaluate the request under the current authority_state_ref, tool_definition_hash, mcp_server_id, mcp_protocol_version, and applicable traceparent. A binding mismatch MUST fail closed with REQUEST_BINDING_INVALID.</w:t>
      </w:r>
    </w:p>
    <w:p w14:paraId="05E892AA" w14:textId="77777777" w:rsidR="002533C8" w:rsidRPr="00317D6F" w:rsidRDefault="00000000" w:rsidP="00522059">
      <w:pPr>
        <w:pStyle w:val="P0-Paragraph"/>
      </w:pPr>
      <w:r w:rsidRPr="00712050">
        <w:rPr>
          <w:rStyle w:val="CS-Keyword"/>
        </w:rPr>
        <w:t>Freshness.</w:t>
      </w:r>
      <w:r w:rsidRPr="00317D6F">
        <w:t xml:space="preserve"> The REQUEST-INTEGRITY-PROFILE MUST identify the authoritative freshness signal or one-time-use condition for each permitted transport and the maximum acceptable freshness window where a time-based window applies. Authorization-token validity alone MUST NOT be treated as complete anti-replay protection. If a permitted transport cannot provide a deployment-approved freshness or one-time-use mechanism sufficient for the consequence of the governed action, physical-actuation scope MUST NOT be enabled under that profile. Missing, expired, or otherwise invalid required freshness evidence MUST fail closed with REQUEST_FRESHNESS_INVALID.</w:t>
      </w:r>
    </w:p>
    <w:p w14:paraId="464F476B" w14:textId="77777777" w:rsidR="002533C8" w:rsidRPr="00317D6F" w:rsidRDefault="00000000" w:rsidP="00522059">
      <w:pPr>
        <w:pStyle w:val="P0-Paragraph"/>
      </w:pPr>
      <w:r w:rsidRPr="00712050">
        <w:rPr>
          <w:rStyle w:val="CS-Keyword"/>
        </w:rPr>
        <w:t>Idempotency and anti-replay.</w:t>
      </w:r>
      <w:r w:rsidRPr="00317D6F">
        <w:t xml:space="preserve"> The gateway MUST maintain replay state for governed physical-actuation requests using a deterministic request-binding key defined by the REQUEST-INTEGRITY-PROFILE. The key MUST be scoped so that request identifiers cannot collide across unrelated authenticated workloads or MCP servers and MUST incorporate sufficient request identity to distinguish the authorized invocation, including the authenticated workload, destination MCP server, linked ASCR-07 planning-cycle evidence, tool invocation, canonical argument commitment, and request/trace identity. Replay-state checking and consumption MUST be atomic. A request whose binding key has already been successfully consumed MUST NOT execute again and MUST be rejected with REQUEST_REPLAY_DETECTED. Failed validation attempts MUST NOT consume an otherwise unused binding key. Replay state MUST be retained for the full replay-relevance period defined by the approved profile and never for less than the profile's accepted freshness window.</w:t>
      </w:r>
    </w:p>
    <w:p w14:paraId="72FB8F5D" w14:textId="2466B3C4" w:rsidR="002533C8" w:rsidRPr="00317D6F" w:rsidRDefault="00000000" w:rsidP="00522059">
      <w:pPr>
        <w:pStyle w:val="P0-Paragraph"/>
      </w:pPr>
      <w:r w:rsidRPr="00317D6F">
        <w:lastRenderedPageBreak/>
        <w:t>These controls do not add a twentieth ASCR-04 gateway invocation field. They define validation semantics over the existing ASCR-04 fields, the linked signed ASCR-07 evidence, and deployment-governed gateway state. The resulting PASS or rejection remains recorded through the existing nineteen-field ASCR-04 invocation record</w:t>
      </w:r>
      <w:r w:rsidR="00712050">
        <w:t>.</w:t>
      </w:r>
    </w:p>
    <w:p w14:paraId="37B7DB92" w14:textId="77777777" w:rsidR="002533C8" w:rsidRPr="00317D6F" w:rsidRDefault="00000000" w:rsidP="00712050">
      <w:pPr>
        <w:pStyle w:val="HS-Heading1"/>
      </w:pPr>
      <w:r w:rsidRPr="00317D6F">
        <w:rPr>
          <w:rFonts w:eastAsia="Arial"/>
        </w:rPr>
        <w:t>Section 3 — Seven-layer enforcement architecture</w:t>
      </w:r>
    </w:p>
    <w:p w14:paraId="236F4263" w14:textId="77777777" w:rsidR="002533C8" w:rsidRPr="00317D6F" w:rsidRDefault="00000000" w:rsidP="00712050">
      <w:pPr>
        <w:pStyle w:val="HS-Heading2"/>
      </w:pPr>
      <w:r w:rsidRPr="00317D6F">
        <w:rPr>
          <w:rFonts w:eastAsia="Arial"/>
        </w:rPr>
        <w:t>3.1 Enforcement layer design principles</w:t>
      </w:r>
    </w:p>
    <w:p w14:paraId="7E529B57" w14:textId="77777777" w:rsidR="002533C8" w:rsidRPr="00317D6F" w:rsidRDefault="00000000" w:rsidP="00522059">
      <w:pPr>
        <w:pStyle w:val="P0-Paragraph"/>
      </w:pPr>
      <w:r w:rsidRPr="00317D6F">
        <w:rPr>
          <w:rFonts w:eastAsia="Arial"/>
        </w:rPr>
        <w:t>The seven-layer enforcement architecture is ordered by dependency and consequence. Layers 1 through 3 establish who is calling and whether the calling workload is trusted. Layers 4 and 5 establish what is being called and whether the call is within authorized scope and parameter constraints. Layer 6 establishes whether the physical consequence of the call is permissible at this moment. Layer 7 records and preserves the correlation and evidence required to maintain a traceable causal chain across verdicts when the implementing evidence path is operating as specified.</w:t>
      </w:r>
    </w:p>
    <w:p w14:paraId="421E4E78" w14:textId="77777777" w:rsidR="002533C8" w:rsidRPr="00317D6F" w:rsidRDefault="00000000" w:rsidP="00522059">
      <w:pPr>
        <w:pStyle w:val="P0-Paragraph"/>
      </w:pPr>
      <w:r w:rsidRPr="00317D6F">
        <w:rPr>
          <w:rFonts w:eastAsia="Arial"/>
        </w:rPr>
        <w:t>Each layer produces its own evidence record component. A call rejected at Layer 1 still produces a record — a REJECT record with code ID_UNVERIFIED is itself forensically significant. It indicates that an unauthenticated entity attempted a tool invocation. ASCR-04 REJECT and HOLD records provide enforcement-layer evidence for MCP scope, tool-registration, request-integrity, and invocation-policy violations. Campaign detection and investigation should correlate those records with the applicable MCP behavioral telemetry, ASCR-07 decision-lineage and context evidence, and other deployment-specific telemetry identified through ASCR-15.</w:t>
      </w:r>
    </w:p>
    <w:p w14:paraId="1FB520CC" w14:textId="77777777" w:rsidR="002533C8" w:rsidRPr="00317D6F" w:rsidRDefault="00000000" w:rsidP="00522059">
      <w:pPr>
        <w:pStyle w:val="P0-Paragraph"/>
      </w:pPr>
      <w:r w:rsidRPr="00317D6F">
        <w:t>The gateway evaluates the layers sequentially. A REJECT at any layer terminates evaluation and produces the appropriate REJECT record. A STEP_AHEAD_FAIL condition (ASCR-06 FAIL or TIMEOUT) at Layer 6 produces a per-invocation HOLD. A per-invocation HOLD does not, by itself, create a latched circuit-breaker state. A latched circuit-breaker state is represented by CIRCUIT_BREAKER_ACTIVE and is governed by the release authority defined in ASCR-03 Section 4.2. Only a full sequential PASS through all seven layers results in tool execution.</w:t>
      </w:r>
    </w:p>
    <w:p w14:paraId="02B7E55D" w14:textId="77777777" w:rsidR="002533C8" w:rsidRPr="00317D6F" w:rsidRDefault="00000000" w:rsidP="00712050">
      <w:pPr>
        <w:pStyle w:val="HS-Heading2"/>
      </w:pPr>
      <w:r w:rsidRPr="00317D6F">
        <w:rPr>
          <w:rFonts w:eastAsia="Arial"/>
        </w:rPr>
        <w:t>3.2 Enforcement layer specifications</w:t>
      </w:r>
    </w:p>
    <w:p w14:paraId="2ACE4FFB" w14:textId="714E8296"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"Enforcement Layers"</w:t>
      </w:r>
    </w:p>
    <w:p w14:paraId="47DF0DED" w14:textId="77777777" w:rsidR="002533C8" w:rsidRPr="00317D6F" w:rsidRDefault="00000000" w:rsidP="00712050">
      <w:pPr>
        <w:pStyle w:val="HS-Heading3"/>
      </w:pPr>
      <w:r w:rsidRPr="00317D6F">
        <w:t>Tool-definition integrity requirement</w:t>
      </w:r>
    </w:p>
    <w:p w14:paraId="7567DC95" w14:textId="1DCABB6D" w:rsidR="002533C8" w:rsidRPr="00317D6F" w:rsidRDefault="00000000" w:rsidP="00522059">
      <w:pPr>
        <w:pStyle w:val="P0-Paragraph"/>
      </w:pPr>
      <w:r w:rsidRPr="00317D6F">
        <w:t>At ASCR-10 authorization, the complete approved tool definition must be canonicalized and cryptographically hashed, including its name, version, description, annotations, and input schema. The approved hash becomes part of the governed tool manifest. Layer 4 must verify the definition hash whenever the server tool catalog is refreshed and before permitting invocation under a changed catalog. A mismatch is rejected as TOOL_DEFINITION_DRIFT and recorded in ASCR-07.</w:t>
      </w:r>
    </w:p>
    <w:p w14:paraId="2C8641AE" w14:textId="77777777" w:rsidR="002533C8" w:rsidRPr="00317D6F" w:rsidRDefault="00000000" w:rsidP="00712050">
      <w:pPr>
        <w:pStyle w:val="HS-Heading3"/>
      </w:pPr>
      <w:r w:rsidRPr="00317D6F">
        <w:t>Cumulative authority enforcement requirement</w:t>
      </w:r>
    </w:p>
    <w:p w14:paraId="35928C4C" w14:textId="77777777" w:rsidR="002533C8" w:rsidRPr="00317D6F" w:rsidRDefault="00000000" w:rsidP="00522059">
      <w:pPr>
        <w:pStyle w:val="P0-Paragraph"/>
      </w:pPr>
      <w:r w:rsidRPr="00317D6F">
        <w:t>Layer 2 MUST calculate the current effective authority for each invocation from the workload's base authorized scope plus all active, valid, unrevoked, unexpired, context-applicable delegation extensions. The gateway MUST compare that effective authority with the ASCR-03 governed cumulative authority ceiling. If effective authority exceeds the governed ceiling, or if the authority state cannot be established from a current governed snapshot, the gateway rejects the invocation with AUTHORITY_ACCUMULATION_ANOMALY and records authority_state_ref for the exact authority-state snapshot evaluated.</w:t>
      </w:r>
    </w:p>
    <w:p w14:paraId="258C7BF0" w14:textId="05850D82" w:rsidR="002533C8" w:rsidRPr="00712050" w:rsidRDefault="00000000" w:rsidP="00522059">
      <w:pPr>
        <w:pStyle w:val="P0-Paragraph"/>
        <w:rPr>
          <w:rFonts w:asciiTheme="minorHAnsi" w:eastAsiaTheme="minorHAnsi" w:hAnsiTheme="minorHAnsi" w:cstheme="minorBidi"/>
          <w:sz w:val="24"/>
        </w:rPr>
      </w:pPr>
      <w:r w:rsidRPr="00317D6F">
        <w:lastRenderedPageBreak/>
        <w:t>ASCR-03 governs the cumulative authority ceiling; ASCR-04 defines the requirement for the conforming gateway to materialize and enforce that ceiling; and ASCR-07 records or references the authority state used for the enforcement decision. ASCR-04 does not redefine the authority ceiling.</w:t>
      </w:r>
    </w:p>
    <w:p w14:paraId="197B7B62" w14:textId="77777777" w:rsidR="002533C8" w:rsidRPr="00317D6F" w:rsidRDefault="00000000" w:rsidP="00712050">
      <w:pPr>
        <w:pStyle w:val="HS-Heading2"/>
      </w:pPr>
      <w:r w:rsidRPr="00317D6F">
        <w:rPr>
          <w:rFonts w:eastAsia="Arial"/>
        </w:rPr>
        <w:t>3.3 Rejection code reference</w:t>
      </w:r>
    </w:p>
    <w:p w14:paraId="787C9825" w14:textId="7C4110F7"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"Rejection Codes"</w:t>
      </w:r>
    </w:p>
    <w:p w14:paraId="5EE5C72A" w14:textId="77777777" w:rsidR="002533C8" w:rsidRPr="00317D6F" w:rsidRDefault="00000000" w:rsidP="00712050">
      <w:pPr>
        <w:pStyle w:val="HS-Heading2"/>
      </w:pPr>
      <w:r w:rsidRPr="00317D6F">
        <w:rPr>
          <w:rFonts w:eastAsia="Arial"/>
        </w:rPr>
        <w:t>3.4 SPIFFE/SPIRE identity infrastructure requirements</w:t>
      </w:r>
    </w:p>
    <w:p w14:paraId="30167CB0" w14:textId="77777777" w:rsidR="002533C8" w:rsidRPr="00317D6F" w:rsidRDefault="00000000" w:rsidP="00522059">
      <w:pPr>
        <w:pStyle w:val="P0-Paragraph"/>
      </w:pPr>
      <w:r w:rsidRPr="00317D6F">
        <w:rPr>
          <w:rFonts w:eastAsia="Arial"/>
        </w:rPr>
        <w:t>Layer 1 enforcement depends on a correctly deployed SPIFFE/SPIRE identity infrastructure. In a SPIFFE/SPIRE deployment, the authoritative SPIFFE trust-domain bundle and its signing key material provide the cryptographic trust anchor for SVID validation. The SPIRE Server is the identity issuance and control-plane dependency that manages workload registration and SVID issuance under the applicable trust domain and participates in trust-bundle and credential-lifecycle management. Its configuration therefore affects which workloads are eligible to receive SVIDs, which trust domains are accepted by the deployment, and how SVID issuance and renewal are managed.</w:t>
      </w:r>
    </w:p>
    <w:p w14:paraId="69BA2B06" w14:textId="77777777" w:rsidR="002533C8" w:rsidRPr="00317D6F" w:rsidRDefault="00000000" w:rsidP="00522059">
      <w:pPr>
        <w:pStyle w:val="P0-Paragraph"/>
      </w:pPr>
      <w:r w:rsidRPr="00317D6F">
        <w:rPr>
          <w:rFonts w:eastAsia="Arial"/>
        </w:rPr>
        <w:t>Three SPIRE configuration requirements apply to all deployments governed by this artifact:</w:t>
      </w:r>
    </w:p>
    <w:p w14:paraId="26118323" w14:textId="23ED7FA2" w:rsidR="002533C8" w:rsidRPr="00317D6F" w:rsidRDefault="00000000" w:rsidP="00712050">
      <w:pPr>
        <w:pStyle w:val="L1-Bullet"/>
      </w:pPr>
      <w:r w:rsidRPr="00317D6F">
        <w:rPr>
          <w:rFonts w:eastAsia="Arial"/>
        </w:rPr>
        <w:t>Trust domain scope: The trust domain must be scoped to the deployment boundary defined in ASCR-03 Section 2. Layer 1 trust domain configuration in ASCR-04 must align with the ASCR-05 Section 2 architectural boundary specification. Cross-trust-domain identity assertions from outside the authorized deployment are rejected at Layer 1.</w:t>
      </w:r>
    </w:p>
    <w:p w14:paraId="08E09628" w14:textId="69462A4A" w:rsidR="002533C8" w:rsidRPr="00317D6F" w:rsidRDefault="00000000" w:rsidP="00712050">
      <w:pPr>
        <w:pStyle w:val="L1-Bullet"/>
      </w:pPr>
      <w:r w:rsidRPr="00317D6F">
        <w:rPr>
          <w:rFonts w:eastAsia="Arial"/>
        </w:rPr>
        <w:t>SVID lifetime: The deployment must use the approved SVID lifetime recorded in the Deployment Parameters register. The value must be calibrated to the workload's authority, the credential issuance and renewal path, degraded-mode behavior, and the applicable physical-response window. A one-hour lifetime may be used as an initial engineering reference where validated for the deployment, but it is not a universal maximum.</w:t>
      </w:r>
    </w:p>
    <w:p w14:paraId="2AED381A" w14:textId="43D13AD0" w:rsidR="002533C8" w:rsidRPr="00317D6F" w:rsidRDefault="00000000" w:rsidP="00712050">
      <w:pPr>
        <w:pStyle w:val="L1-Bullet"/>
      </w:pPr>
      <w:r w:rsidRPr="00317D6F">
        <w:rPr>
          <w:rFonts w:eastAsia="Arial"/>
        </w:rPr>
        <w:t>SPIRE server availability: SPIRE deployment architecture must maintain continuous SVID renewal capability during normal operational conditions. A SPIRE outage that causes SVID expiry during active operations triggers mass REJECT at Layer 1, making SPIRE availability an upstream dependency of ASCR-04 gateway availability and fail-closed operation.</w:t>
      </w:r>
    </w:p>
    <w:p w14:paraId="698E006E" w14:textId="77777777" w:rsidR="002533C8" w:rsidRPr="00317D6F" w:rsidRDefault="00000000" w:rsidP="00522059">
      <w:pPr>
        <w:pStyle w:val="P0-Paragraph"/>
      </w:pPr>
      <w:r w:rsidRPr="00317D6F">
        <w:rPr>
          <w:rFonts w:eastAsia="Arial"/>
        </w:rPr>
        <w:t>Workload attestation for workloads holding physical-actuation scope must use a hardware-anchored method under the deployment-approved attestation profile. The profile defines the evidence type, verifier or trust anchors, measurement/reference identifiers, freshness requirements, and expected claims for the platform in use. TPM measured boot/PCRs, Intel TDX, AMD SEV-SNP, Arm TrustZone/vendor-backed secure-boot evidence, or another approved hardware-backed profile may be used where appropriate. Software-only attestation is permissible only for workloads that do not invoke physical-actuation endpoints and where the deployment's governed risk decision allows it.</w:t>
      </w:r>
    </w:p>
    <w:p w14:paraId="07B364A4" w14:textId="77777777" w:rsidR="002533C8" w:rsidRPr="00317D6F" w:rsidRDefault="00000000" w:rsidP="00712050">
      <w:pPr>
        <w:pStyle w:val="HS-Heading2"/>
      </w:pPr>
      <w:r w:rsidRPr="00317D6F">
        <w:rPr>
          <w:rFonts w:eastAsia="Arial"/>
        </w:rPr>
        <w:t>3.5 Attestation infrastructure requirements</w:t>
      </w:r>
    </w:p>
    <w:p w14:paraId="0828918B" w14:textId="77777777" w:rsidR="002533C8" w:rsidRPr="00317D6F" w:rsidRDefault="00000000" w:rsidP="00522059">
      <w:pPr>
        <w:pStyle w:val="P0-Paragraph"/>
      </w:pPr>
      <w:r w:rsidRPr="00317D6F">
        <w:rPr>
          <w:rFonts w:eastAsia="Arial"/>
        </w:rPr>
        <w:t xml:space="preserve">Layer 3 enforcement depends on attestation evidence verifiable by the gateway under the deployment-approved attestation_profile. The profile must identify the accepted evidence type, verifier or trust anchors, approved measurement/reference values, freshness requirements, and required claims. The approved reference must be established before deployment and updated for every ASCR-10 authorized change that </w:t>
      </w:r>
      <w:r w:rsidRPr="00317D6F">
        <w:rPr>
          <w:rFonts w:eastAsia="Arial"/>
        </w:rPr>
        <w:lastRenderedPageBreak/>
        <w:t>affects measured runtime or platform state. A measurement/reference deviation, stale evidence condition, or verifier/trust-anchor failure not explained by an authorized change triggers REJECT with code ATTESTATION_FAIL. PCR-specific terminology applies only when TPM measured boot/PCRs are part of the approved profile.</w:t>
      </w:r>
    </w:p>
    <w:p w14:paraId="17642A2F" w14:textId="77777777" w:rsidR="002533C8" w:rsidRPr="00317D6F" w:rsidRDefault="00000000" w:rsidP="00522059">
      <w:pPr>
        <w:pStyle w:val="P0-Paragraph"/>
      </w:pPr>
      <w:r w:rsidRPr="00317D6F">
        <w:t>The attestation infrastructure must complete verification within the Layer 3 P95/P99 latency allocation defined in the Performance Requirements table. An attestation path that exceeds the Layer 3 allocation can cause the gateway to exceed the deployment-approved ASCR-04 end-to-end gateway enforcement latency budget recorded through GATEWAY-E2E-LATENCY-PROFILE in Deployment Parameters. Resulting performance or control-integrity exceptions are reported through the applicable ASCR-12 governance process.</w:t>
      </w:r>
    </w:p>
    <w:p w14:paraId="78B318C0" w14:textId="77777777" w:rsidR="002533C8" w:rsidRPr="00317D6F" w:rsidRDefault="00000000" w:rsidP="00712050">
      <w:pPr>
        <w:pStyle w:val="HS-Heading2"/>
      </w:pPr>
      <w:r w:rsidRPr="00317D6F">
        <w:rPr>
          <w:rFonts w:eastAsia="Arial"/>
        </w:rPr>
        <w:t>3.6 Kinetic Quarantine Protocol (KQP)</w:t>
      </w:r>
    </w:p>
    <w:p w14:paraId="09C96920" w14:textId="77777777" w:rsidR="002533C8" w:rsidRPr="00317D6F" w:rsidRDefault="00000000" w:rsidP="00522059">
      <w:pPr>
        <w:pStyle w:val="P0-Paragraph"/>
      </w:pPr>
      <w:r w:rsidRPr="00317D6F">
        <w:rPr>
          <w:rFonts w:eastAsia="Arial"/>
        </w:rPr>
        <w:t>Layers 1 through 5 establish workload identity, authorization scope, attestation integrity, tool registration, and parameter safety. Those controls determine whether a command should be trusted. They do not address what happens when trust fails while physical assets are still moving.</w:t>
      </w:r>
    </w:p>
    <w:p w14:paraId="439D77B8" w14:textId="6F1D3F38" w:rsidR="002533C8" w:rsidRPr="00317D6F" w:rsidRDefault="00000000" w:rsidP="00522059">
      <w:pPr>
        <w:pStyle w:val="P0-Paragraph"/>
      </w:pPr>
      <w:r w:rsidRPr="00317D6F">
        <w:t>The Kinetic Quarantine Protocol (KQP) defines the edge proxy response sequence for identity, attestation, authorization, or command-integrity failures detected during active physical operation. The protocol prioritizes physical Safe-State transition, or verified takeover by the deployment-approved independent safety/control function, before cryptographic isolation. This ordering is designed to reduce the risk that security enforcement actions create uncontrolled kinetic conditions in cyber-physical environments.</w:t>
      </w:r>
    </w:p>
    <w:p w14:paraId="5CD0EF46" w14:textId="2D36EA4B" w:rsidR="002533C8" w:rsidRPr="00522059" w:rsidRDefault="00000000" w:rsidP="00522059">
      <w:pPr>
        <w:pStyle w:val="P0-Paragraph"/>
        <w:rPr>
          <w:b/>
          <w:bCs/>
        </w:rPr>
      </w:pPr>
      <w:r w:rsidRPr="00317D6F">
        <w:rPr>
          <w:b/>
          <w:bCs/>
        </w:rPr>
        <w:t>Book interpretation note</w:t>
      </w:r>
      <w:r w:rsidR="00712050">
        <w:rPr>
          <w:b/>
          <w:bCs/>
        </w:rPr>
        <w:t xml:space="preserve">: </w:t>
      </w:r>
      <w:r w:rsidRPr="00317D6F">
        <w:t>Chapter 7 uses TPM/PCR attestation, physical-tamper circuitry, and motor-controller-enable grounding to illustrate one possible command-authentication-proxy implementation. Those examples do not establish universal KQP hardware requirements. In this Version 1.0 artifact, attestation is governed by the deployment-approved measurement/reference profile, and TPM/PCR evidence is used only where that profile selects it. The physical tamper response, Safe-State demand or handoff interface, and independent safety/control function are likewise deployment-specific and must be established through the applicable hazard analysis, safety engineering, and commissioning evidence. References in the book to physical Safe-State occurring before cryptographic isolation describe the normal KQP sequence. Where the Section 3.6.4 overlap exception is explicitly approved, cryptographic isolation may begin after positive independent safety/control handoff confirmation while physical-state monitoring continues. KQP completion and TKQ measurement still continue until physical Safe-State is confirmed.</w:t>
      </w:r>
    </w:p>
    <w:p w14:paraId="56782D0A" w14:textId="77777777" w:rsidR="002533C8" w:rsidRPr="00317D6F" w:rsidRDefault="00000000" w:rsidP="00712050">
      <w:pPr>
        <w:pStyle w:val="HS-Heading3"/>
      </w:pPr>
      <w:r w:rsidRPr="00317D6F">
        <w:rPr>
          <w:rFonts w:eastAsia="Arial"/>
        </w:rPr>
        <w:t>3.6.1 Purpose and scope</w:t>
      </w:r>
    </w:p>
    <w:p w14:paraId="5B64C5F4" w14:textId="77777777" w:rsidR="002533C8" w:rsidRPr="00317D6F" w:rsidRDefault="00000000" w:rsidP="00522059">
      <w:pPr>
        <w:pStyle w:val="P0-Paragraph"/>
      </w:pPr>
      <w:r w:rsidRPr="00317D6F">
        <w:rPr>
          <w:rFonts w:eastAsia="Arial"/>
        </w:rPr>
        <w:t>The Kinetic Quarantine Protocol (KQP) defines the mandatory response sequence that the ASCR-04 edge enforcement proxy executes when a disqualifying attestation or authorization event is detected during active physical operation. Its purpose is to resolve the binary failure mode that conventional IT security responses impose on cyber-physical systems: in standard IT environments, session termination is an appropriate response to an identity or integrity failure; in a CPS, applying immediate session termination to a moving physical asset without managing its kinetic state produces an uncontrolled physical condition that may be more dangerous than the triggering security event.</w:t>
      </w:r>
    </w:p>
    <w:p w14:paraId="440AFC01" w14:textId="77777777" w:rsidR="002533C8" w:rsidRPr="00317D6F" w:rsidRDefault="00000000" w:rsidP="00522059">
      <w:pPr>
        <w:pStyle w:val="P0-Paragraph"/>
      </w:pPr>
      <w:r w:rsidRPr="00712050">
        <w:rPr>
          <w:rStyle w:val="CS-Keyword"/>
        </w:rPr>
        <w:t>Component model.</w:t>
      </w:r>
      <w:r w:rsidRPr="00317D6F">
        <w:t xml:space="preserve"> In this section, edge enforcement proxy means the ASCR-04-conforming runtime enforcement component positioned at the cyber-physical execution boundary. It may be co-located with the MCP gateway or implemented as a gateway-controlled edge function, but it performs the local KQP queue-control, command-authentication, telemetry-verification, and safety/control-handoff responsibilities defined </w:t>
      </w:r>
      <w:r w:rsidRPr="00317D6F">
        <w:lastRenderedPageBreak/>
        <w:t>here. Translation layer means the downstream protocol-adaptation component that converts accepted commands to asset-native control protocols and returns telemetry required for verification; it is not the independent safety/control function. Agentic Security Operations Center (ASOC) means the operational monitoring and incident-response capability that receives KQP alerts and status.</w:t>
      </w:r>
    </w:p>
    <w:p w14:paraId="74728E73" w14:textId="77777777" w:rsidR="002533C8" w:rsidRPr="00317D6F" w:rsidRDefault="00000000" w:rsidP="00522059">
      <w:pPr>
        <w:pStyle w:val="P0-Paragraph"/>
      </w:pPr>
      <w:r w:rsidRPr="00317D6F">
        <w:t>The KQP has two ordered stages implemented through four phases. The four-phase sequence in Section 3.6.3 is authoritative:</w:t>
      </w:r>
    </w:p>
    <w:p w14:paraId="69CFB4AE" w14:textId="624D8AA8" w:rsidR="002533C8" w:rsidRPr="00317D6F" w:rsidRDefault="00000000" w:rsidP="00712050">
      <w:pPr>
        <w:pStyle w:val="L1-Bullet"/>
      </w:pPr>
      <w:r w:rsidRPr="00317D6F">
        <w:t>Stage 1 - Kinetic Resolution: Phases 1 through 3 drive all affected assets toward verified physical Safe-State. Physical Safe-State confirmation is the normal completion condition. Where the deployment safety analysis explicitly permits it, a confirmed handoff to the independent safety/control function may permit Phase 4 to begin while Phase 3 physical-state monitoring continues; Stage 1 is not complete until physical Safe-State is confirmed.</w:t>
      </w:r>
    </w:p>
    <w:p w14:paraId="60536E6C" w14:textId="53CD4471" w:rsidR="002533C8" w:rsidRPr="00317D6F" w:rsidRDefault="00000000" w:rsidP="00712050">
      <w:pPr>
        <w:pStyle w:val="L1-Bullet"/>
      </w:pPr>
      <w:r w:rsidRPr="00317D6F">
        <w:t>Stage 2 - Cryptographic Isolation: Phase 4 performs the cryptographic session purge and isolates the node from the control plane after physical Safe-State confirmation, or after a deployment-approved and positively confirmed independent safety-function handoff that permits isolation before final physical Safe-State confirmation. KQP completion remains pending until physical Safe-State is confirmed.</w:t>
      </w:r>
    </w:p>
    <w:p w14:paraId="7BBFFEB2" w14:textId="77777777" w:rsidR="002533C8" w:rsidRPr="00317D6F" w:rsidRDefault="00000000" w:rsidP="00522059">
      <w:pPr>
        <w:pStyle w:val="P0-Paragraph"/>
      </w:pPr>
      <w:r w:rsidRPr="00317D6F">
        <w:rPr>
          <w:rFonts w:eastAsia="Arial"/>
        </w:rPr>
        <w:t>The KQP does not replace or modify hardwired safety systems. Emergency Stop functions implemented using IEC 60204-1 stop category 0 or 1, as applicable to the machine safety design and functional safety systems compliant with IEC 62061 (SIL 2/3) or ISO 13849 Performance Level d/e (PL d/e) remain independent of and take precedence over the KQP at all times. The KQP is a graceful deceleration sequence for security-triggered events; it is not a certified safety function.</w:t>
      </w:r>
    </w:p>
    <w:p w14:paraId="0F9AEE39" w14:textId="77777777" w:rsidR="002533C8" w:rsidRPr="00317D6F" w:rsidRDefault="00000000" w:rsidP="00712050">
      <w:pPr>
        <w:pStyle w:val="HS-Heading3"/>
      </w:pPr>
      <w:r w:rsidRPr="00317D6F">
        <w:rPr>
          <w:rFonts w:eastAsia="Arial"/>
        </w:rPr>
        <w:t>3.6.2 Trigger conditions</w:t>
      </w:r>
    </w:p>
    <w:p w14:paraId="45B1C86A" w14:textId="77777777" w:rsidR="002533C8" w:rsidRPr="00317D6F" w:rsidRDefault="00000000" w:rsidP="00522059">
      <w:pPr>
        <w:pStyle w:val="P0-Paragraph"/>
      </w:pPr>
      <w:r w:rsidRPr="00317D6F">
        <w:rPr>
          <w:rFonts w:eastAsia="Arial"/>
        </w:rPr>
        <w:t>The KQP is initiated by the edge proxy when any of the following conditions are detected during active physical operation, defined as any planning cycle in which at least one asset under the proxy's authority is in a non-zero kinetic state or an actuator is in a non-default position:</w:t>
      </w:r>
    </w:p>
    <w:p w14:paraId="50625DD4" w14:textId="77777777" w:rsidR="002533C8" w:rsidRPr="00712050" w:rsidRDefault="00000000" w:rsidP="00522059">
      <w:pPr>
        <w:pStyle w:val="P0-Paragraph"/>
        <w:rPr>
          <w:rStyle w:val="CS-Keyword"/>
        </w:rPr>
      </w:pPr>
      <w:r w:rsidRPr="00712050">
        <w:rPr>
          <w:rStyle w:val="CS-Keyword"/>
        </w:rPr>
        <w:t>Type K-1 — Hardware Attestation Failure</w:t>
      </w:r>
    </w:p>
    <w:p w14:paraId="68B66741" w14:textId="1C00B1B1" w:rsidR="002533C8" w:rsidRPr="00317D6F" w:rsidRDefault="00000000" w:rsidP="00712050">
      <w:pPr>
        <w:pStyle w:val="L1-Bullet"/>
      </w:pPr>
      <w:r w:rsidRPr="00317D6F">
        <w:rPr>
          <w:rFonts w:eastAsia="Arial"/>
        </w:rPr>
        <w:t>Attestation evidence no longer matches the ASCR-10-registered approved measurement/reference baseline during the configured physical_attestation_cycle</w:t>
      </w:r>
    </w:p>
    <w:p w14:paraId="38A40F44" w14:textId="61AD87C0" w:rsidR="002533C8" w:rsidRPr="00317D6F" w:rsidRDefault="00000000" w:rsidP="00712050">
      <w:pPr>
        <w:pStyle w:val="L1-Bullet"/>
      </w:pPr>
      <w:r w:rsidRPr="00317D6F">
        <w:rPr>
          <w:rFonts w:eastAsia="Arial"/>
        </w:rPr>
        <w:t>Attestation evidence signature, nonce/freshness, verifier, or trust-anchor validation fails under the approved attestation_profile</w:t>
      </w:r>
    </w:p>
    <w:p w14:paraId="08EA77B4" w14:textId="593DB048" w:rsidR="002533C8" w:rsidRPr="00317D6F" w:rsidRDefault="00000000" w:rsidP="00712050">
      <w:pPr>
        <w:pStyle w:val="L1-Bullet"/>
      </w:pPr>
      <w:r w:rsidRPr="00317D6F">
        <w:rPr>
          <w:rFonts w:eastAsia="Arial"/>
        </w:rPr>
        <w:t>HSM integrity check fails during command authentication envelope verification</w:t>
      </w:r>
    </w:p>
    <w:p w14:paraId="25FED942" w14:textId="77777777" w:rsidR="002533C8" w:rsidRPr="00712050" w:rsidRDefault="00000000" w:rsidP="00522059">
      <w:pPr>
        <w:pStyle w:val="P0-Paragraph"/>
        <w:rPr>
          <w:rStyle w:val="CS-Keyword"/>
        </w:rPr>
      </w:pPr>
      <w:r w:rsidRPr="00712050">
        <w:rPr>
          <w:rStyle w:val="CS-Keyword"/>
        </w:rPr>
        <w:t>Type K-2 — Workload Identity Failure</w:t>
      </w:r>
    </w:p>
    <w:p w14:paraId="3CE17A8A" w14:textId="6AC457F5" w:rsidR="002533C8" w:rsidRPr="00317D6F" w:rsidRDefault="00000000" w:rsidP="00712050">
      <w:pPr>
        <w:pStyle w:val="L1-Bullet"/>
      </w:pPr>
      <w:r w:rsidRPr="00317D6F">
        <w:rPr>
          <w:rFonts w:eastAsia="Arial"/>
        </w:rPr>
        <w:t>SVID renewal or replacement fails and the current SVID expires before a valid replacement credential is delivered to the workload</w:t>
      </w:r>
    </w:p>
    <w:p w14:paraId="3126D780" w14:textId="096F4506" w:rsidR="002533C8" w:rsidRPr="00317D6F" w:rsidRDefault="00000000" w:rsidP="00712050">
      <w:pPr>
        <w:pStyle w:val="L1-Bullet"/>
      </w:pPr>
      <w:r w:rsidRPr="00317D6F">
        <w:rPr>
          <w:rFonts w:eastAsia="Arial"/>
        </w:rPr>
        <w:t>Upstream SPIRE Server revokes the proxy's node SVID outside the normal rotation schedule</w:t>
      </w:r>
    </w:p>
    <w:p w14:paraId="3A261B66" w14:textId="0CB7A3C4" w:rsidR="002533C8" w:rsidRPr="00317D6F" w:rsidRDefault="00000000" w:rsidP="00712050">
      <w:pPr>
        <w:pStyle w:val="L1-Bullet"/>
      </w:pPr>
      <w:r w:rsidRPr="00317D6F">
        <w:rPr>
          <w:rFonts w:eastAsia="Arial"/>
        </w:rPr>
        <w:t xml:space="preserve">SPIRE Agent loses contact with all configured SPIRE Server endpoints for a duration exceeding the SVID's remaining lifetime minus the deployment-approved rotation buffer recorded in the Deployment Parameters register. The rotation buffer must exceed the deployment-approved high-percentile end-to-end rotation latency plus the approved safety margin and must satisfy 0 &lt; rotation_buffer_seconds &lt; SVID lifetime. Do not derive the buffer from a fixed percentage of SVID </w:t>
      </w:r>
      <w:r w:rsidRPr="00317D6F">
        <w:rPr>
          <w:rFonts w:eastAsia="Arial"/>
        </w:rPr>
        <w:lastRenderedPageBreak/>
        <w:t>lifetime unless deployment testing for the deployed identity-service architecture establishes that basis.</w:t>
      </w:r>
    </w:p>
    <w:p w14:paraId="62F5DFFC" w14:textId="77777777" w:rsidR="002533C8" w:rsidRPr="00712050" w:rsidRDefault="00000000" w:rsidP="00522059">
      <w:pPr>
        <w:pStyle w:val="P0-Paragraph"/>
        <w:rPr>
          <w:rStyle w:val="CS-Keyword"/>
        </w:rPr>
      </w:pPr>
      <w:r w:rsidRPr="00712050">
        <w:rPr>
          <w:rStyle w:val="CS-Keyword"/>
        </w:rPr>
        <w:t>Type K-3 — Authorization Boundary Violation</w:t>
      </w:r>
    </w:p>
    <w:p w14:paraId="0D9EAEC7" w14:textId="146EB109" w:rsidR="002533C8" w:rsidRPr="00317D6F" w:rsidRDefault="00000000" w:rsidP="00712050">
      <w:pPr>
        <w:pStyle w:val="L1-Bullet"/>
      </w:pPr>
      <w:r w:rsidRPr="00317D6F">
        <w:t>An AUTHORITY_ACCUMULATION_ANOMALY event is detected while assets are in active kinetic state and the deployment's governed KQP escalation policy, recorded as KQP-K3-ESCALATION-POLICY in Deployment Parameters, requires kinetic quarantine for that authority violation</w:t>
      </w:r>
    </w:p>
    <w:p w14:paraId="1BA3AECF" w14:textId="758A74B7" w:rsidR="002533C8" w:rsidRPr="00317D6F" w:rsidRDefault="00000000" w:rsidP="00712050">
      <w:pPr>
        <w:pStyle w:val="L1-Bullet"/>
      </w:pPr>
      <w:r w:rsidRPr="00317D6F">
        <w:rPr>
          <w:rFonts w:eastAsia="Arial"/>
        </w:rPr>
        <w:t>A tool invocation parameter fails validation bounds check for a parameter class with immediate physical consequence (velocity, force, spatial coordinate) — not applicable to parameters with deferred physical consequence, which follow standard REJECT logging without KQP</w:t>
      </w:r>
    </w:p>
    <w:p w14:paraId="7175FC9C" w14:textId="77777777" w:rsidR="002533C8" w:rsidRPr="00712050" w:rsidRDefault="00000000" w:rsidP="00522059">
      <w:pPr>
        <w:pStyle w:val="P0-Paragraph"/>
        <w:rPr>
          <w:rStyle w:val="CS-Keyword"/>
        </w:rPr>
      </w:pPr>
      <w:r w:rsidRPr="00712050">
        <w:rPr>
          <w:rStyle w:val="CS-Keyword"/>
        </w:rPr>
        <w:t>Type K-4 — Command Integrity Failure</w:t>
      </w:r>
    </w:p>
    <w:p w14:paraId="5668DC77" w14:textId="47C1BD11" w:rsidR="002533C8" w:rsidRPr="00317D6F" w:rsidRDefault="00000000" w:rsidP="00712050">
      <w:pPr>
        <w:pStyle w:val="L1-Bullet"/>
      </w:pPr>
      <w:r w:rsidRPr="00317D6F">
        <w:rPr>
          <w:rFonts w:eastAsia="Arial"/>
        </w:rPr>
        <w:t>A command arriving at the proxy fails Ed25519 signature verification against the translation layer's registered public key</w:t>
      </w:r>
    </w:p>
    <w:p w14:paraId="0FDE9B5F" w14:textId="6E7F1D40" w:rsidR="002533C8" w:rsidRPr="00317D6F" w:rsidRDefault="00000000" w:rsidP="00712050">
      <w:pPr>
        <w:pStyle w:val="L1-Bullet"/>
      </w:pPr>
      <w:r w:rsidRPr="00317D6F">
        <w:rPr>
          <w:rFonts w:eastAsia="Arial"/>
        </w:rPr>
        <w:t>A command's embedded ASCR-07 record identifier does not match any open planning cycle record in the proxy's local cache</w:t>
      </w:r>
    </w:p>
    <w:p w14:paraId="69FB52B1" w14:textId="1D92058E" w:rsidR="002533C8" w:rsidRPr="00317D6F" w:rsidRDefault="00000000" w:rsidP="00712050">
      <w:pPr>
        <w:pStyle w:val="L1-Bullet"/>
      </w:pPr>
      <w:r w:rsidRPr="00317D6F">
        <w:rPr>
          <w:rFonts w:eastAsia="Arial"/>
        </w:rPr>
        <w:t>Command replay detected: timestamp or nonce value in the authentication envelope falls outside the deployment-approved command-freshness and timing profile recorded in the Deployment Parameters register. The profile must define the replay-window duration, approved time authority or synchronization mechanism, and maximum permitted clock offset or timing uncertainty. These values must be validated against the deployed command path, expected network delay, command-freshness requirements, and applicable physical-response constraints. A ±5-second replay window or PTP/IEEE 1588 synchronization may be used where appropriate and validated, but neither is a universal ASCR requirement.</w:t>
      </w:r>
    </w:p>
    <w:p w14:paraId="69A03F91" w14:textId="77777777" w:rsidR="002533C8" w:rsidRPr="00317D6F" w:rsidRDefault="00000000" w:rsidP="00522059">
      <w:pPr>
        <w:pStyle w:val="P0-Paragraph"/>
      </w:pPr>
      <w:r w:rsidRPr="00317D6F">
        <w:rPr>
          <w:rFonts w:eastAsia="Arial"/>
        </w:rPr>
        <w:t>Non-triggering conditions: Standard planning cycle completion, graceful agent session termination, SVID rotation success, and parameter validation failures for non-kinetic-consequence parameters do not trigger the KQP. These follow standard ASCR-04 enforcement responses.</w:t>
      </w:r>
    </w:p>
    <w:p w14:paraId="43B393C3" w14:textId="77777777" w:rsidR="002533C8" w:rsidRPr="00317D6F" w:rsidRDefault="00000000" w:rsidP="00712050">
      <w:pPr>
        <w:pStyle w:val="HS-Heading3"/>
      </w:pPr>
      <w:r w:rsidRPr="00317D6F">
        <w:rPr>
          <w:rFonts w:eastAsia="Arial"/>
        </w:rPr>
        <w:t>3.6.3 The four-phase Kinetic Quarantine sequence</w:t>
      </w:r>
    </w:p>
    <w:p w14:paraId="5B3883DE" w14:textId="77777777" w:rsidR="002533C8" w:rsidRPr="00317D6F" w:rsidRDefault="00000000" w:rsidP="00522059">
      <w:pPr>
        <w:pStyle w:val="P0-Paragraph"/>
      </w:pPr>
      <w:r w:rsidRPr="00317D6F">
        <w:t>The KQP executes as an ordered, gated four-phase sequence. The default sequence is: Phase N+1 does not begin until Phase N's completion condition is verified. No phase may be skipped. The only permitted overlap is the controlled Phase 3/Phase 4 exception defined in Section 3.6.4, where a positively confirmed independent safety-function handoff and deployment safety analysis explicitly permit cryptographic isolation to begin before final physical Safe-State confirmation. In that exception, Phase 3 monitoring remains active until physical Safe-State is confirmed. TKQ is measured from trigger detection to physical Safe-State confirmation and does not stop at safety-function handoff.</w:t>
      </w:r>
    </w:p>
    <w:p w14:paraId="2227C84C" w14:textId="312E6354" w:rsidR="002533C8" w:rsidRPr="00317D6F" w:rsidRDefault="00712050" w:rsidP="00712050">
      <w:pPr>
        <w:pStyle w:val="I0-InfoBox"/>
      </w:pPr>
      <w:r w:rsidRPr="00712050">
        <w:t xml:space="preserve">The applicable TKQ threshold is the end-to-end time budget for Phases 1 through 3. For each asset class, the configured Phase 1 budget, Phase 2 command-delivery and acknowledgement budget, and Phase 3 physical-settling budget must satisfy: Phase 1 elapsed time + Phase 2 elapsed time + Phase 3 elapsed time ≤ the applicable TKQ threshold. The deployment-approved Phase 1 budget is recorded as KQP-PHASE1-BUDGET and may not exceed the ASCR engineering baseline of 200 ms. The Phase 2 budget is governed through KQP-PHASE2-RETRY-POLICY. The </w:t>
      </w:r>
      <w:r w:rsidRPr="00712050">
        <w:lastRenderedPageBreak/>
        <w:t>Phase 3 budget is recorded as KQP-PHASE3-SETTLING-BUDGET. Phase 2 and Phase 3 values must be established from commissioning measurements and linked to the asset’s TKQ baseline.</w:t>
      </w:r>
    </w:p>
    <w:p w14:paraId="6B3BCD9E" w14:textId="77777777" w:rsidR="002533C8" w:rsidRPr="00317D6F" w:rsidRDefault="00000000" w:rsidP="00712050">
      <w:pPr>
        <w:pStyle w:val="HS-Heading4"/>
      </w:pPr>
      <w:sdt>
        <w:sdtPr>
          <w:tag w:val="goog_rdk_35"/>
          <w:id w:val="361712493"/>
        </w:sdtPr>
        <w:sdtContent>
          <w:r w:rsidRPr="00317D6F">
            <w:rPr>
              <w:rFonts w:eastAsia="Arial Unicode MS"/>
            </w:rPr>
            <w:t>Phase 1 — Intercept and Isolate (Target: ≤ 200ms from trigger)</w:t>
          </w:r>
        </w:sdtContent>
      </w:sdt>
    </w:p>
    <w:p w14:paraId="704C2792" w14:textId="77777777" w:rsidR="002533C8" w:rsidRPr="00317D6F" w:rsidRDefault="00000000" w:rsidP="00522059">
      <w:pPr>
        <w:pStyle w:val="P0-Paragraph"/>
      </w:pPr>
      <w:r w:rsidRPr="00317D6F">
        <w:rPr>
          <w:rFonts w:eastAsia="Arial"/>
        </w:rPr>
        <w:t>The proxy immediately blocks all inbound command traffic from the agentic control plane. Specifically:</w:t>
      </w:r>
    </w:p>
    <w:p w14:paraId="349711F0" w14:textId="05EBE23F" w:rsidR="002533C8" w:rsidRPr="00317D6F" w:rsidRDefault="00000000" w:rsidP="00712050">
      <w:pPr>
        <w:pStyle w:val="L1-Bullet"/>
      </w:pPr>
      <w:r w:rsidRPr="00317D6F">
        <w:rPr>
          <w:rFonts w:eastAsia="Arial"/>
        </w:rPr>
        <w:t>All pending tool invocations in the proxy's command queue are discarded without forwarding to the physical layer.</w:t>
      </w:r>
    </w:p>
    <w:p w14:paraId="2297EE72" w14:textId="45532D34" w:rsidR="002533C8" w:rsidRPr="00317D6F" w:rsidRDefault="00000000" w:rsidP="00712050">
      <w:pPr>
        <w:pStyle w:val="L1-Bullet"/>
      </w:pPr>
      <w:r w:rsidRPr="00317D6F">
        <w:rPr>
          <w:rFonts w:eastAsia="Arial"/>
        </w:rPr>
        <w:t>The mTLS session(s) between the proxy and the translation layer are placed in receive-only mode: the proxy continues to receive telemetry from the translation layer but rejects all further command frames.</w:t>
      </w:r>
    </w:p>
    <w:p w14:paraId="39A33F1E" w14:textId="22FA0513" w:rsidR="002533C8" w:rsidRPr="00317D6F" w:rsidRDefault="00000000" w:rsidP="00712050">
      <w:pPr>
        <w:pStyle w:val="L1-Bullet"/>
      </w:pPr>
      <w:r w:rsidRPr="00317D6F">
        <w:rPr>
          <w:rFonts w:eastAsia="Arial"/>
        </w:rPr>
        <w:t>The ASCR-07 record for the triggering planning cycle receives a KQP_INITIATED event with the trigger type (K-1 through K-4), the trigger timestamp, and the proxy's current authority graph state (list of active assets and their kinetic states).</w:t>
      </w:r>
    </w:p>
    <w:p w14:paraId="46B9221D" w14:textId="6CA173EE" w:rsidR="002533C8" w:rsidRPr="00317D6F" w:rsidRDefault="00000000" w:rsidP="00712050">
      <w:pPr>
        <w:pStyle w:val="L1-Bullet"/>
      </w:pPr>
      <w:r w:rsidRPr="00317D6F">
        <w:rPr>
          <w:rFonts w:eastAsia="Arial"/>
        </w:rPr>
        <w:t>The ASOC receives an out-of-band KQP alert over the proxy's dedicated management channel (separate from the mTLS command channel) with the same fields. This alert must be delivered regardless of the state of the mTLS command channel — a K-2 trigger that has degraded the mTLS session cannot be allowed to suppress the ASOC notification.</w:t>
      </w:r>
    </w:p>
    <w:p w14:paraId="475E7F90" w14:textId="77777777" w:rsidR="002533C8" w:rsidRPr="00317D6F" w:rsidRDefault="00000000" w:rsidP="00522059">
      <w:pPr>
        <w:pStyle w:val="P0-Paragraph"/>
      </w:pPr>
      <w:r w:rsidRPr="00317D6F">
        <w:t>The proxy does not yet terminate any sessions during Phase 1. Session continuity through Phase 3 allows the proxy to receive telemetry confirming safe-state actuation.</w:t>
      </w:r>
    </w:p>
    <w:p w14:paraId="0F5086AA" w14:textId="77777777" w:rsidR="002533C8" w:rsidRPr="00317D6F" w:rsidRDefault="00000000" w:rsidP="00712050">
      <w:pPr>
        <w:pStyle w:val="HS-Heading4"/>
      </w:pPr>
      <w:sdt>
        <w:sdtPr>
          <w:tag w:val="goog_rdk_36"/>
          <w:id w:val="-998099671"/>
        </w:sdtPr>
        <w:sdtContent>
          <w:r w:rsidRPr="00317D6F">
            <w:rPr>
              <w:rFonts w:eastAsia="Arial Unicode MS"/>
            </w:rPr>
            <w:t>Phase 2 — Safe-State Command Delivery and Acknowledgement (Target: ≤ deployment-specific Phase 2 sub-budget)</w:t>
          </w:r>
        </w:sdtContent>
      </w:sdt>
    </w:p>
    <w:p w14:paraId="1F4AE8F3" w14:textId="77777777" w:rsidR="002533C8" w:rsidRPr="00317D6F" w:rsidRDefault="00000000" w:rsidP="00522059">
      <w:pPr>
        <w:pStyle w:val="P0-Paragraph"/>
      </w:pPr>
      <w:r w:rsidRPr="00317D6F">
        <w:rPr>
          <w:rFonts w:eastAsia="Arial"/>
        </w:rPr>
        <w:t>The proxy issues safe-state commands through each asset's native stop mechanism. The safe-state command bypasses the normal ASCR-04 authorization pipeline; it is not subject to scope checking, step-ahead verification, or parameter validation, because any of these pipeline stages may themselves be compromised if the KQP was triggered by a K-1 or K-2 event. The safe-state command definition and any cryptographic or authorization material required to issue it MUST be protected against unauthorized runtime modification using the deployment-approved hardware-backed or equivalent integrity mechanism. Where an HSM is used, keys and supported protected objects remain within the HSM security boundary; the HSM is not presumed to execute the physical safety/control action. The implementing proxy issues the commissioned safe-state command through the deployment-approved native control or safety path. Runtime generation or unauthorized modification of the KQP safe-state command definition is prohibited.</w:t>
      </w:r>
    </w:p>
    <w:p w14:paraId="17D766CE" w14:textId="5991109B"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"KQP Safe-State Commands"</w:t>
      </w:r>
    </w:p>
    <w:p w14:paraId="3D8FACFA" w14:textId="77777777" w:rsidR="002533C8" w:rsidRPr="00317D6F" w:rsidRDefault="00000000" w:rsidP="00522059">
      <w:pPr>
        <w:pStyle w:val="P0-Paragraph"/>
      </w:pPr>
      <w:r w:rsidRPr="00317D6F">
        <w:rPr>
          <w:rFonts w:eastAsia="Arial"/>
        </w:rPr>
        <w:t xml:space="preserve">Critical constraint: For asset classes where the safe-state command is delivered over the same network path as normal operational commands (for example, EtherCAT ring or PROFINET segment), the proxy must verify that the safe-state command was acknowledged by the device before the Phase 3 telemetry verification window opens. An unacknowledged safe-state command does not constitute Phase 2 completion. The proxy MUST apply the deployment-approved KQP-PHASE2-RETRY-POLICY recorded in Deployment Parameters. That policy must define the maximum retry count, acknowledgement criteria, and maximum elapsed Phase 2 delivery budget for the affected asset class. If acknowledgement is not established within the approved retry count or the approved Phase 2 time budget, whichever occurs first, the proxy MUST immediately invoke the </w:t>
      </w:r>
      <w:r w:rsidRPr="00317D6F">
        <w:rPr>
          <w:rFonts w:eastAsia="Arial"/>
        </w:rPr>
        <w:lastRenderedPageBreak/>
        <w:t>deployment-approved independent safety/control handoff described in Section 3.6.4. Retry behavior MUST NOT delay a required safety/control handoff beyond the deployment-approved physical-response window.</w:t>
      </w:r>
    </w:p>
    <w:p w14:paraId="4BEBB8E1" w14:textId="77777777" w:rsidR="002533C8" w:rsidRPr="00317D6F" w:rsidRDefault="00000000" w:rsidP="00712050">
      <w:pPr>
        <w:pStyle w:val="HS-Heading4"/>
      </w:pPr>
      <w:sdt>
        <w:sdtPr>
          <w:tag w:val="goog_rdk_37"/>
          <w:id w:val="-2143133020"/>
        </w:sdtPr>
        <w:sdtContent>
          <w:r w:rsidRPr="00317D6F">
            <w:rPr>
              <w:rFonts w:eastAsia="Arial Unicode MS"/>
            </w:rPr>
            <w:t>Phase 3 — Kinetic Verification (Target: ≤ deployment-specific physical-settling sub-budget)</w:t>
          </w:r>
        </w:sdtContent>
      </w:sdt>
    </w:p>
    <w:p w14:paraId="2D206336" w14:textId="77777777" w:rsidR="002533C8" w:rsidRPr="00317D6F" w:rsidRDefault="00000000" w:rsidP="00522059">
      <w:pPr>
        <w:pStyle w:val="P0-Paragraph"/>
      </w:pPr>
      <w:r w:rsidRPr="00317D6F">
        <w:rPr>
          <w:rFonts w:eastAsia="Arial"/>
        </w:rPr>
        <w:t>The proxy reads the physical state of all assets through the local telemetry feedback loop — independent of the agentic control plane — and confirms that each asset has reached the required safe state. Verification criteria:</w:t>
      </w:r>
    </w:p>
    <w:p w14:paraId="4E8ACF6E" w14:textId="77777777" w:rsidR="002533C8" w:rsidRPr="00317D6F" w:rsidRDefault="00000000" w:rsidP="00522059">
      <w:pPr>
        <w:pStyle w:val="P0-Paragraph"/>
      </w:pPr>
      <w:r w:rsidRPr="00712050">
        <w:rPr>
          <w:rStyle w:val="CS-Keyword"/>
        </w:rPr>
        <w:t>Deployment-specific confirmation rule:</w:t>
      </w:r>
      <w:r w:rsidRPr="00317D6F">
        <w:t xml:space="preserve"> Physical Safe-State acceptance criteria are deployment-specific and MUST be defined in ASCR-03 Section 6 for each governed asset or asset class, linked through the Physical BOM and KQP-SAFE-STATE-CRITERIA-REF, and validated during commissioning. The criteria below identify the categories of physical evidence that must be evaluated; they are not universal numeric safety limits.</w:t>
      </w:r>
    </w:p>
    <w:p w14:paraId="3E448D5F" w14:textId="474F99FB" w:rsidR="002533C8" w:rsidRPr="00317D6F" w:rsidRDefault="00000000" w:rsidP="00712050">
      <w:pPr>
        <w:pStyle w:val="L1-Bullet"/>
      </w:pPr>
      <w:r w:rsidRPr="00317D6F">
        <w:rPr>
          <w:rFonts w:eastAsia="Arial"/>
        </w:rPr>
        <w:t>Mobile assets (AMR, AGV): Confirm that velocity, local controller state, active-path state, and any additional required signals satisfy the deployment-approved Safe-State criteria defined in ASCR-03 Section 6.</w:t>
      </w:r>
    </w:p>
    <w:p w14:paraId="66F04A41" w14:textId="53D30DAC" w:rsidR="002533C8" w:rsidRPr="00317D6F" w:rsidRDefault="00000000" w:rsidP="00712050">
      <w:pPr>
        <w:pStyle w:val="L1-Bullet"/>
      </w:pPr>
      <w:r w:rsidRPr="00317D6F">
        <w:rPr>
          <w:rFonts w:eastAsia="Arial"/>
        </w:rPr>
        <w:t>Robotic arms and manipulators: Confirm that joint velocity, position, drive state, and any other required commissioned signals satisfy the deployment-approved Safe-State criteria defined in ASCR-03 Section 6.</w:t>
      </w:r>
    </w:p>
    <w:p w14:paraId="2B5D8A2A" w14:textId="62C05101" w:rsidR="002533C8" w:rsidRPr="00317D6F" w:rsidRDefault="00000000" w:rsidP="00712050">
      <w:pPr>
        <w:pStyle w:val="L1-Bullet"/>
      </w:pPr>
      <w:r w:rsidRPr="00317D6F">
        <w:rPr>
          <w:rFonts w:eastAsia="Arial"/>
        </w:rPr>
        <w:t>Payload handling systems (grippers, payload locks): Confirm that payload-lock, gripper, load, and other required physical-state signals satisfy the deployment-approved Safe-State criteria defined in ASCR-03 Section 6.</w:t>
      </w:r>
    </w:p>
    <w:p w14:paraId="3E8A2BF9" w14:textId="06F0852F" w:rsidR="002533C8" w:rsidRPr="00317D6F" w:rsidRDefault="00000000" w:rsidP="00712050">
      <w:pPr>
        <w:pStyle w:val="L1-Bullet"/>
      </w:pPr>
      <w:r w:rsidRPr="00317D6F">
        <w:rPr>
          <w:rFonts w:eastAsia="Arial"/>
        </w:rPr>
        <w:t>Conveyor and drive systems: Confirm that drive-output, brake or safety-function state, material-motion state, and any other required signals satisfy the deployment-approved Safe-State criteria defined in ASCR-03 Section 6.</w:t>
      </w:r>
    </w:p>
    <w:p w14:paraId="55C5CA92" w14:textId="77777777" w:rsidR="002533C8" w:rsidRPr="00317D6F" w:rsidRDefault="00000000" w:rsidP="00522059">
      <w:pPr>
        <w:pStyle w:val="P0-Paragraph"/>
      </w:pPr>
      <w:r w:rsidRPr="00317D6F">
        <w:t>Commissioning reference values may be retained in the Physical BOM for the applicable deployment, but no reference value in this artifact overrides the approved asset-specific Safe-State definition or applicable machine/functional-safety analysis.</w:t>
      </w:r>
    </w:p>
    <w:p w14:paraId="1FF91816" w14:textId="77777777" w:rsidR="002533C8" w:rsidRPr="00317D6F" w:rsidRDefault="00000000" w:rsidP="00522059">
      <w:pPr>
        <w:pStyle w:val="P0-Paragraph"/>
      </w:pPr>
      <w:r w:rsidRPr="00317D6F">
        <w:rPr>
          <w:rFonts w:eastAsia="Arial"/>
        </w:rPr>
        <w:t>If any asset fails kinetic verification within the Phase 3 window, the proxy invokes the deployment-approved independent safety/control function or safety handoff defined in Section 3.6.4 and records KQP_SAFETY_HANDOFF for the affected asset. A handoff demand or acceptance signal is not, by itself, evidence that the asset has reached Safe-State. Phase 4 normally waits for SAFE_STATE_CONFIRMED. Where the deployment safety analysis explicitly permits isolation after SAFETY_HANDOFF_CONFIRMED, Phase 4 may begin while Phase 3 physical-state monitoring continues.</w:t>
      </w:r>
    </w:p>
    <w:p w14:paraId="321DBDB0" w14:textId="77777777" w:rsidR="002533C8" w:rsidRPr="00712050" w:rsidRDefault="00000000" w:rsidP="00712050">
      <w:pPr>
        <w:pStyle w:val="HS-Heading4"/>
      </w:pPr>
      <w:r w:rsidRPr="00712050">
        <w:t>Phase 4 — Cryptographic Isolation (After Safe-State or Confirmed Safety Handoff)</w:t>
      </w:r>
    </w:p>
    <w:p w14:paraId="3A02DD88" w14:textId="77777777" w:rsidR="002533C8" w:rsidRPr="00317D6F" w:rsidRDefault="00000000" w:rsidP="00522059">
      <w:pPr>
        <w:pStyle w:val="P0-Paragraph"/>
      </w:pPr>
      <w:r w:rsidRPr="00317D6F">
        <w:rPr>
          <w:rFonts w:eastAsia="Arial"/>
        </w:rPr>
        <w:t>After all affected assets have reached SAFE_STATE_CONFIRMED, the proxy executes full cryptographic isolation. Where the deployment safety analysis explicitly permits isolation after verified independent safety takeover, Phase 4 may begin after each non-responding asset reaches SAFETY_HANDOFF_CONFIRMED. Any asset not yet at physical Safe-State remains under Phase 3 monitoring, and KQP_COMPLETE is not emitted until physical Safe-State is confirmed for all affected assets.</w:t>
      </w:r>
    </w:p>
    <w:p w14:paraId="1AF98705" w14:textId="31410A71" w:rsidR="002533C8" w:rsidRPr="00317D6F" w:rsidRDefault="00000000" w:rsidP="00712050">
      <w:pPr>
        <w:pStyle w:val="L1-Numbered"/>
      </w:pPr>
      <w:r w:rsidRPr="00317D6F">
        <w:rPr>
          <w:rFonts w:eastAsia="Arial"/>
        </w:rPr>
        <w:t>Drop all mTLS sessions with the translation layer and any peer agents.</w:t>
      </w:r>
    </w:p>
    <w:p w14:paraId="71BD91C5" w14:textId="273A644C" w:rsidR="002533C8" w:rsidRPr="00317D6F" w:rsidRDefault="00000000" w:rsidP="00712050">
      <w:pPr>
        <w:pStyle w:val="L1-Numbered"/>
      </w:pPr>
      <w:r w:rsidRPr="00317D6F">
        <w:rPr>
          <w:rFonts w:eastAsia="Arial"/>
        </w:rPr>
        <w:t>Purge all SVIDs from proxy memory — both the proxy's own node SVID and any cached SVIDs from agents whose commands the proxy has been forwarding.</w:t>
      </w:r>
    </w:p>
    <w:p w14:paraId="108E334C" w14:textId="062689E2" w:rsidR="002533C8" w:rsidRPr="00317D6F" w:rsidRDefault="00000000" w:rsidP="00712050">
      <w:pPr>
        <w:pStyle w:val="L1-Numbered"/>
      </w:pPr>
      <w:r w:rsidRPr="00317D6F">
        <w:rPr>
          <w:rFonts w:eastAsia="Arial"/>
        </w:rPr>
        <w:lastRenderedPageBreak/>
        <w:t>Purge the command authentication public key cache — the translation layer's public key used for Ed25519 verification is removed, preventing any further command authentication until re-provisioned through the ASCR-10 remediation workflow.</w:t>
      </w:r>
    </w:p>
    <w:p w14:paraId="3A52A07C" w14:textId="0F846784" w:rsidR="002533C8" w:rsidRPr="00317D6F" w:rsidRDefault="00000000" w:rsidP="00712050">
      <w:pPr>
        <w:pStyle w:val="L1-Numbered"/>
      </w:pPr>
      <w:r w:rsidRPr="00317D6F">
        <w:t>Write KQP_COMPLETE to ASCR-07 only after physical Safe-State is confirmed for all affected assets. The record includes full Phase 1-4 telemetry, any KQP_SAFETY_HANDOFF events, the physical Safe-State confirmation result for each asset, Phase 4 completion timestamp, and the computed TKQ value.</w:t>
      </w:r>
    </w:p>
    <w:p w14:paraId="0EE37F87" w14:textId="6583E035" w:rsidR="002533C8" w:rsidRPr="00317D6F" w:rsidRDefault="00000000" w:rsidP="00712050">
      <w:pPr>
        <w:pStyle w:val="L1-Numbered"/>
      </w:pPr>
      <w:r w:rsidRPr="00317D6F">
        <w:rPr>
          <w:rFonts w:eastAsia="Arial"/>
        </w:rPr>
        <w:t>Enter cryptographic holding state: the proxy enters a mode where it continues to monitor physical state through the telemetry loop and continues to transmit ASOC status updates over the management channel, but refuses all command traffic and all SVID presentation attempts until a human-authorized remediation sequence is initiated through the ASCR-10 workflow.</w:t>
      </w:r>
    </w:p>
    <w:p w14:paraId="48A026A6" w14:textId="77777777" w:rsidR="002533C8" w:rsidRPr="00317D6F" w:rsidRDefault="00000000" w:rsidP="00522059">
      <w:pPr>
        <w:pStyle w:val="P0-Paragraph"/>
      </w:pPr>
      <w:r w:rsidRPr="00317D6F">
        <w:rPr>
          <w:rFonts w:eastAsia="Arial"/>
        </w:rPr>
        <w:t>The cryptographic holding state is not self-clearing. Re-entry to operational state requires an ASCR-10 change management authorization record, successful re-attestation under the deployment-approved attestation_profile against the current authorized measurement/reference baseline, and a Tier 2 authorization from the ASCR-03 Section 4 authority structure.</w:t>
      </w:r>
    </w:p>
    <w:p w14:paraId="42F78885" w14:textId="77777777" w:rsidR="002533C8" w:rsidRPr="00317D6F" w:rsidRDefault="00000000" w:rsidP="00712050">
      <w:pPr>
        <w:pStyle w:val="HS-Heading3"/>
      </w:pPr>
      <w:r w:rsidRPr="00317D6F">
        <w:rPr>
          <w:rFonts w:eastAsia="Arial"/>
        </w:rPr>
        <w:t>3.6.4 Independent safety-function handoff and escalation</w:t>
      </w:r>
    </w:p>
    <w:p w14:paraId="2D3D2478" w14:textId="77777777" w:rsidR="002533C8" w:rsidRPr="00317D6F" w:rsidRDefault="00000000" w:rsidP="00522059">
      <w:pPr>
        <w:pStyle w:val="P0-Paragraph"/>
      </w:pPr>
      <w:r w:rsidRPr="00317D6F">
        <w:rPr>
          <w:rFonts w:eastAsia="Arial"/>
        </w:rPr>
        <w:t>The KQP's software-layer safe-state sequence operates in parallel with, and must not replace, applicable functional-safety or machine-safety controls. Each deployment must identify the independent safety/control function used when software safe-state actuation does not achieve the required physical state, together with its demand interface, acceptance/confirmation signal, and physical Safe-State confirmation source. These values are recorded in the Deployment Parameters sheet and aligned with ASCR-03 Section 6.</w:t>
      </w:r>
    </w:p>
    <w:p w14:paraId="1DACD461" w14:textId="77777777" w:rsidR="002533C8" w:rsidRPr="00317D6F" w:rsidRDefault="00000000" w:rsidP="00522059">
      <w:pPr>
        <w:pStyle w:val="P0-Paragraph"/>
      </w:pPr>
      <w:r w:rsidRPr="00317D6F">
        <w:rPr>
          <w:rFonts w:eastAsia="Arial"/>
        </w:rPr>
        <w:t>Deployment-approved safety interface: ASCR-04 may issue or assert only the supplementary demand or handoff signal that has been validated for the specific asset and safety architecture. ASCR-04 does not prescribe universal motor-power removal, grounding of enable lines, E-Stop wiring, PROFIsafe/FSoE hosting, or another certified safety implementation. The appropriate safety/control function and interface are determined by the deployment's hazard/risk analysis and safety engineering.</w:t>
      </w:r>
    </w:p>
    <w:p w14:paraId="0A5C5D57" w14:textId="77777777" w:rsidR="002533C8" w:rsidRPr="00317D6F" w:rsidRDefault="00000000" w:rsidP="00522059">
      <w:pPr>
        <w:pStyle w:val="P0-Paragraph"/>
      </w:pPr>
      <w:r w:rsidRPr="00317D6F">
        <w:rPr>
          <w:rFonts w:eastAsia="Arial"/>
        </w:rPr>
        <w:t>Physical tamper or proxy-loss response: Where tamper detection, proxy power loss, communication loss, or physical bypass is required to demand an independent safety response, the deployment must define the approved fail-safe interface and verify its behavior during commissioning. A tamper event or demand assertion is evidence that the safety/control function was requested; it is not, by itself, evidence that the asset has reached Safe-State.</w:t>
      </w:r>
    </w:p>
    <w:p w14:paraId="14758CC1" w14:textId="77777777" w:rsidR="002533C8" w:rsidRPr="00317D6F" w:rsidRDefault="00000000" w:rsidP="00522059">
      <w:pPr>
        <w:pStyle w:val="P0-Paragraph"/>
      </w:pPr>
      <w:r w:rsidRPr="00317D6F">
        <w:rPr>
          <w:rFonts w:eastAsia="Arial"/>
        </w:rPr>
        <w:t>Software-to-safety escalation: When Phase 3 kinetic verification does not confirm the required physical Safe-State within the configured window, the proxy must invoke the deployment-approved independent safety/control function or handoff for the affected asset. The resulting KQP_SAFETY_HANDOFF event records the demand, target asset, safety-function reference, handoff timestamp, and acceptance/confirmation signal.</w:t>
      </w:r>
    </w:p>
    <w:p w14:paraId="7CA579CA" w14:textId="77777777" w:rsidR="002533C8" w:rsidRPr="00317D6F" w:rsidRDefault="00000000" w:rsidP="00522059">
      <w:pPr>
        <w:pStyle w:val="P0-Paragraph"/>
      </w:pPr>
      <w:r w:rsidRPr="00317D6F">
        <w:rPr>
          <w:rFonts w:eastAsia="Arial"/>
        </w:rPr>
        <w:t xml:space="preserve">Confirmation and isolation rule: SAFE_STATE_CONFIRMED means the physical Safe-State criteria have been positively verified. SAFETY_HANDOFF_CONFIRMED means the independent safety/control function has positively accepted the demand, but final physical Safe-State confirmation is still pending. SAFE_STATE_UNCONFIRMED means neither condition is established. Phase 4 normally begins only after SAFE_STATE_CONFIRMED. It may begin after SAFETY_HANDOFF_CONFIRMED only when the deployment safety analysis explicitly permits cryptographic isolation after confirmed safety takeover; Phase 3 monitoring </w:t>
      </w:r>
      <w:r w:rsidRPr="00317D6F">
        <w:rPr>
          <w:rFonts w:eastAsia="Arial"/>
        </w:rPr>
        <w:lastRenderedPageBreak/>
        <w:t>then continues in parallel until physical Safe-State is confirmed. KQP_COMPLETE is not emitted, and TKQ does not stop, until SAFE_STATE_CONFIRMED.</w:t>
      </w:r>
    </w:p>
    <w:p w14:paraId="733E24A1" w14:textId="77777777" w:rsidR="002533C8" w:rsidRPr="00317D6F" w:rsidRDefault="00000000" w:rsidP="00522059">
      <w:pPr>
        <w:pStyle w:val="P0-Paragraph"/>
      </w:pPr>
      <w:r w:rsidRPr="00317D6F">
        <w:rPr>
          <w:rFonts w:eastAsia="Arial"/>
        </w:rPr>
        <w:t>Important: ASCR-04's demand or handoff signal is a security-layer mechanism and must not be represented as a certified safety function unless it is independently designed, validated, and certified as such. The applicable certified or otherwise governed safety/control function remains independent and takes precedence.</w:t>
      </w:r>
    </w:p>
    <w:p w14:paraId="32102435" w14:textId="77777777" w:rsidR="002533C8" w:rsidRPr="00317D6F" w:rsidRDefault="00000000">
      <w:pPr>
        <w:pStyle w:val="Heading3"/>
        <w:spacing w:before="180" w:after="60"/>
        <w:rPr>
          <w:color w:val="auto"/>
        </w:rPr>
      </w:pPr>
      <w:r w:rsidRPr="00317D6F">
        <w:rPr>
          <w:rFonts w:ascii="Arial" w:eastAsia="Arial" w:hAnsi="Arial" w:cs="Arial"/>
          <w:b/>
          <w:bCs/>
          <w:color w:val="auto"/>
          <w:sz w:val="20"/>
          <w:szCs w:val="20"/>
        </w:rPr>
        <w:t>3.6.5 TKQ metric definition and thresholds</w:t>
      </w:r>
    </w:p>
    <w:p w14:paraId="3049D880" w14:textId="77777777" w:rsidR="002533C8" w:rsidRPr="00317D6F" w:rsidRDefault="00000000" w:rsidP="00522059">
      <w:pPr>
        <w:pStyle w:val="P0-Paragraph"/>
      </w:pPr>
      <w:r w:rsidRPr="00317D6F">
        <w:t>Time-to-Kinetic-Quarantine (TKQ) is the elapsed time from trigger-event detection at Phase 1 start to physical Safe-State confirmation for all affected assets at Phase 3 completion. Under normal sequencing, Phase 4 begins after physical Safe-State confirmation and does not affect TKQ. Under the Section 3.6.4 overlap exception, Phase 4 may begin after SAFETY_HANDOFF_CONFIRMED while Phase 3 physical-state monitoring continues; TKQ continues until SAFE_STATE_CONFIRMED and excludes only Phase 4 duration occurring after physical Safe-State confirmation.</w:t>
      </w:r>
    </w:p>
    <w:p w14:paraId="1C0378C6" w14:textId="77777777" w:rsidR="002533C8" w:rsidRPr="00317D6F" w:rsidRDefault="00000000" w:rsidP="00522059">
      <w:pPr>
        <w:pStyle w:val="P0-Paragraph"/>
      </w:pPr>
      <w:r w:rsidRPr="00317D6F">
        <w:rPr>
          <w:rFonts w:eastAsia="Arial"/>
        </w:rPr>
        <w:t>TKQ is measured by the proxy's local monotonic clock, not by the ASOC's telemetry ingestion timestamp. Network latency between the proxy and the ASOC must not be included in the TKQ measurement — TKQ is a local physical safety metric, not a telemetry delivery metric.</w:t>
      </w:r>
    </w:p>
    <w:p w14:paraId="4C3D0857" w14:textId="686E0494"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"KQP TKQ Thresholds"</w:t>
      </w:r>
    </w:p>
    <w:p w14:paraId="5C75C539" w14:textId="77777777" w:rsidR="002533C8" w:rsidRPr="00317D6F" w:rsidRDefault="00000000" w:rsidP="00522059">
      <w:pPr>
        <w:pStyle w:val="P0-Paragraph"/>
      </w:pPr>
      <w:r w:rsidRPr="00317D6F">
        <w:rPr>
          <w:rFonts w:eastAsia="Arial"/>
        </w:rPr>
        <w:t>Deployments with mixed asset classes use the most stringent applicable deployment-approved P99.9 TKQ threshold as the deployment-wide TKQ obligation. Deployments classified as High or Critical physical consequence under the applicable ASCR-10 classification must also satisfy the most stringent applicable P99.99 TKQ threshold. Thresholds must be established from ASCR-10 commissioning evidence using the statistical validation method required by ASCR-11 Section 11.3.1.1. Lower-percentile P95 or P99 measurements may be retained for observability but do not satisfy the contractual TKQ obligation.</w:t>
      </w:r>
    </w:p>
    <w:p w14:paraId="2D1C10D2" w14:textId="77777777" w:rsidR="002533C8" w:rsidRPr="00317D6F" w:rsidRDefault="00000000" w:rsidP="00522059">
      <w:pPr>
        <w:pStyle w:val="P0-Paragraph"/>
      </w:pPr>
      <w:r w:rsidRPr="00317D6F">
        <w:rPr>
          <w:rFonts w:eastAsia="Arial"/>
        </w:rPr>
        <w:t>TKQ thresholds for vendor-supplied KQP hardware are governed through ASCR-11 Section 11.3, including Section 11.3.1.1 where TKQ capability is contractually in scope. Identity-service and credential-lifecycle effects associated with SPIRE or equivalent identity infrastructure are governed through the applicable ASCR-11 Section 11.3.3.2 obligations and identity-continuity service-level requirements, including Schedule D where used. ASCR-04 remains the runtime KQP specification.</w:t>
      </w:r>
    </w:p>
    <w:p w14:paraId="28BE1E75" w14:textId="77777777" w:rsidR="002533C8" w:rsidRPr="00317D6F" w:rsidRDefault="00000000" w:rsidP="00712050">
      <w:pPr>
        <w:pStyle w:val="HS-Heading3"/>
      </w:pPr>
      <w:r w:rsidRPr="00317D6F">
        <w:rPr>
          <w:rFonts w:eastAsia="Arial"/>
        </w:rPr>
        <w:t>3.6.6 Verification and testing requirements</w:t>
      </w:r>
    </w:p>
    <w:p w14:paraId="20A34400" w14:textId="77777777" w:rsidR="002533C8" w:rsidRPr="00317D6F" w:rsidRDefault="00000000" w:rsidP="00522059">
      <w:pPr>
        <w:pStyle w:val="P0-Paragraph"/>
      </w:pPr>
      <w:r w:rsidRPr="00317D6F">
        <w:rPr>
          <w:rFonts w:eastAsia="Arial"/>
        </w:rPr>
        <w:t>The KQP must be validated through four test categories before production deployment and re-validated after any change to the proxy hardware, firmware, or the physical assets it governs:</w:t>
      </w:r>
    </w:p>
    <w:p w14:paraId="32747125" w14:textId="3BC35515" w:rsidR="002533C8" w:rsidRPr="00317D6F" w:rsidRDefault="00000000" w:rsidP="00712050">
      <w:pPr>
        <w:pStyle w:val="L1-Bullet"/>
      </w:pPr>
      <w:r w:rsidRPr="00317D6F">
        <w:t>Functional validation (ASCR-10 shadow mode): Each trigger type (K-1 through K-4) must be exercised in shadow mode with assets in active kinetic state. For each trigger, the test confirms: Phase 1 completes within the deployment-approved KQP-PHASE1-BUDGET, which may not exceed the 200 ms ASCR engineering baseline, safe-state commands are issued to all active assets, Phase 3 telemetry confirms Safe-State, and TKQ is within the asset-class threshold. Where software safe-state actuation is intentionally failed, the test must confirm KQP_SAFETY_HANDOFF, positive acceptance/confirmation of the deployment-approved independent safety/control function, continued physical-state monitoring, and eventual physical Safe-State confirmation. TKQ measurements from shadow-mode testing become the registered baseline in the Physical BOM.</w:t>
      </w:r>
    </w:p>
    <w:p w14:paraId="3825544F" w14:textId="4FA3E869" w:rsidR="002533C8" w:rsidRPr="00317D6F" w:rsidRDefault="00000000" w:rsidP="00712050">
      <w:pPr>
        <w:pStyle w:val="L1-Bullet"/>
      </w:pPr>
      <w:r w:rsidRPr="00317D6F">
        <w:rPr>
          <w:rFonts w:ascii="Arial" w:eastAsia="Arial" w:hAnsi="Arial" w:cs="Arial"/>
          <w:sz w:val="18"/>
          <w:szCs w:val="18"/>
        </w:rPr>
        <w:lastRenderedPageBreak/>
        <w:t>Safety-function handoff validation: The deployment-approved independent safety/control interface must be physically tested using the configured failure modes, including tamper or proxy-loss conditions where applicable. The test must confirm the handoff demand, positive acceptance/confirmation from the safety/control function, continued physical-state monitoring, and eventual physical Safe-State confirmation. The ASCR-04 proxy must not be treated as a certified safety function unless it is independently designed, validated, and certified as such.</w:t>
      </w:r>
    </w:p>
    <w:p w14:paraId="0B203990" w14:textId="5E17DF8E" w:rsidR="002533C8" w:rsidRPr="00317D6F" w:rsidRDefault="00000000" w:rsidP="00712050">
      <w:pPr>
        <w:pStyle w:val="L1-Bullet"/>
      </w:pPr>
      <w:r w:rsidRPr="00317D6F">
        <w:t>ASCR-09-KQ-01 technical execution validation: Before production deployment, execute ASCR-09-KQ-01 against the production-equivalent proxy configuration. After go-live, execute ASCR-09-KQ-01 at least quarterly in an approved staging or digital-twin environment using the production-equivalent proxy configuration, and repeat it after the additional change triggers specified by ASCR-09. Production execution is by exception only and requires the ASCR-09 Section 7.3 production-execution prerequisites, technical safety controls, and written authorization for that specific test. The technical execution must confirm that KQP proceeds through physical Safe-State confirmation under translation-layer compromise and that a K-4 trigger cannot be suppressed by valid-format unauthorized commands.</w:t>
      </w:r>
    </w:p>
    <w:p w14:paraId="6E4CFB23" w14:textId="54E83B80" w:rsidR="002533C8" w:rsidRPr="00317D6F" w:rsidRDefault="00000000" w:rsidP="00712050">
      <w:pPr>
        <w:pStyle w:val="L1-Bullet"/>
      </w:pPr>
      <w:r w:rsidRPr="00317D6F">
        <w:t>ASCR-09-KQ-02 technical execution validation: Execute ASCR-09-KQ-02 annually and after any change to SPIRE Server infrastructure, SVID lifetime configuration, or rotation-buffer parameters, consistent with ASCR-09. The technical execution must confirm that KQP remains enabled and executes correctly on a K-2 trigger, including a trigger subsequently determined to be spurious, while the identity/infrastructure cause is investigated separately. If the applicable ASCR-11 spurious K-2 trigger-rate threshold is breached, re-run the ASCR-09-KQ-02 technical execution block after remediation.</w:t>
      </w:r>
    </w:p>
    <w:p w14:paraId="1A4B65E7" w14:textId="77777777" w:rsidR="002533C8" w:rsidRPr="00317D6F" w:rsidRDefault="00000000" w:rsidP="00712050">
      <w:pPr>
        <w:pStyle w:val="HS-Heading3"/>
      </w:pPr>
      <w:r w:rsidRPr="00317D6F">
        <w:rPr>
          <w:rFonts w:eastAsia="Arial"/>
        </w:rPr>
        <w:t>3.6.7 Exclusions and boundary conditions</w:t>
      </w:r>
    </w:p>
    <w:p w14:paraId="59910FE1" w14:textId="77777777" w:rsidR="002533C8" w:rsidRPr="00317D6F" w:rsidRDefault="00000000" w:rsidP="00522059">
      <w:pPr>
        <w:pStyle w:val="P0-Paragraph"/>
      </w:pPr>
      <w:r w:rsidRPr="00317D6F">
        <w:rPr>
          <w:rFonts w:eastAsia="Arial"/>
        </w:rPr>
        <w:t>The following conditions are explicitly outside KQP scope and must be handled by the asset's certified safety system rather than by the KQP:</w:t>
      </w:r>
    </w:p>
    <w:p w14:paraId="2D1B1716" w14:textId="6C3F936F" w:rsidR="002533C8" w:rsidRPr="00317D6F" w:rsidRDefault="00000000" w:rsidP="00712050">
      <w:pPr>
        <w:pStyle w:val="L1-Bullet"/>
      </w:pPr>
      <w:r w:rsidRPr="00317D6F">
        <w:rPr>
          <w:rFonts w:eastAsia="Arial"/>
        </w:rPr>
        <w:t>Mechanical failure during deceleration: If an asset's drivetrain, brake, or structural component fails during Phase 2 safe-state actuation, the KQP cannot guarantee safe-state completion. The certified safety system (E-Stop, safety relay, guard interlocks) is the control for this failure class.</w:t>
      </w:r>
    </w:p>
    <w:p w14:paraId="0351737F" w14:textId="5E0805C7" w:rsidR="002533C8" w:rsidRPr="00317D6F" w:rsidRDefault="00000000" w:rsidP="00712050">
      <w:pPr>
        <w:pStyle w:val="L1-Bullet"/>
      </w:pPr>
      <w:r w:rsidRPr="00317D6F">
        <w:rPr>
          <w:rFonts w:eastAsia="Arial"/>
        </w:rPr>
        <w:t>Network partition during Phase 2: If the network path between the proxy and the asset is severed during Phase 2, preventing safe-state command delivery, the proxy invokes the deployment-approved independent safety/control function or handoff immediately upon detecting the partition. The proxy cannot claim physical Safe-State until the configured confirmation source establishes it. The Physical BOM and Deployment Parameters sheet must document the response behavior, safety-function reference, handoff confirmation signal, and physical Safe-State confirmation source for each affected asset class.</w:t>
      </w:r>
    </w:p>
    <w:p w14:paraId="37E55494" w14:textId="08362270" w:rsidR="002533C8" w:rsidRPr="00317D6F" w:rsidRDefault="00000000" w:rsidP="00712050">
      <w:pPr>
        <w:pStyle w:val="L1-Bullet"/>
      </w:pPr>
      <w:r w:rsidRPr="00317D6F">
        <w:rPr>
          <w:rFonts w:eastAsia="Arial"/>
        </w:rPr>
        <w:t>Multiple simultaneous KQP triggers: If two or more proxies trigger KQP simultaneously, each proxy executes its KQP independently. The ASOC receives concurrent KQP alerts and initiates ASCR-08 incident classification. Treat a coordinated adversarial campaign as a Type-A candidate only where the available evidence supports adversarial Intent; otherwise follow the ASCR-08 Section 2.6 Indeterminate path until Intent, Locus, and Authority are resolved. The ASCR-03 Section 4 authority structure must pre-define the human escalation path for simultaneous multi-proxy KQP events.</w:t>
      </w:r>
    </w:p>
    <w:p w14:paraId="73EA7AAB" w14:textId="77777777" w:rsidR="002533C8" w:rsidRPr="00317D6F" w:rsidRDefault="00000000" w:rsidP="00712050">
      <w:pPr>
        <w:pStyle w:val="HS-Heading1"/>
      </w:pPr>
      <w:r w:rsidRPr="00317D6F">
        <w:rPr>
          <w:rFonts w:eastAsia="Arial"/>
        </w:rPr>
        <w:lastRenderedPageBreak/>
        <w:t>Section 4 — Physical Impact Gate configuration</w:t>
      </w:r>
    </w:p>
    <w:p w14:paraId="0570E836" w14:textId="77777777" w:rsidR="002533C8" w:rsidRPr="00317D6F" w:rsidRDefault="00000000" w:rsidP="00712050">
      <w:pPr>
        <w:pStyle w:val="HS-Heading2"/>
      </w:pPr>
      <w:r w:rsidRPr="00317D6F">
        <w:rPr>
          <w:rFonts w:eastAsia="Arial"/>
        </w:rPr>
        <w:t>4.1 Gate design rationale</w:t>
      </w:r>
    </w:p>
    <w:p w14:paraId="57891D48" w14:textId="77777777" w:rsidR="002533C8" w:rsidRPr="00317D6F" w:rsidRDefault="00000000" w:rsidP="00522059">
      <w:pPr>
        <w:pStyle w:val="P0-Paragraph"/>
      </w:pPr>
      <w:r w:rsidRPr="00317D6F">
        <w:rPr>
          <w:rFonts w:eastAsia="Arial"/>
        </w:rPr>
        <w:t>The physical impact gate at Layer 6 connects the MCP gateway to the ASCR-06 digital twin step-ahead verification system. Its function is categorical: no tool call targeting a physical actuation endpoint proceeds unless the ASCR-06 step-ahead verdict for the current planning cycle is PASS and no circuit-breaker hold is active. This is a mandatory enforcement condition with no override path below Tier 2 authorization — circuit-breaker hold release requires joint OT Engineering Lead and Security/IR Lead sign-off per ASCR-03 Section 4.2.</w:t>
      </w:r>
    </w:p>
    <w:p w14:paraId="42353FCD" w14:textId="77777777" w:rsidR="002533C8" w:rsidRPr="00317D6F" w:rsidRDefault="00000000" w:rsidP="00522059">
      <w:pPr>
        <w:pStyle w:val="P0-Paragraph"/>
      </w:pPr>
      <w:r w:rsidRPr="00317D6F">
        <w:rPr>
          <w:rFonts w:eastAsia="Arial"/>
        </w:rPr>
        <w:t>Consider a robotic arm instructed to enter a maintenance zone while a technician is still present inside the work envelope. Identity validation and authorization may both succeed because the request originated from an approved workload. The Layer 6 gate exists because authorization alone does not establish physical safety.</w:t>
      </w:r>
    </w:p>
    <w:p w14:paraId="0FDD83DA" w14:textId="77777777" w:rsidR="002533C8" w:rsidRPr="00317D6F" w:rsidRDefault="00000000" w:rsidP="00522059">
      <w:pPr>
        <w:pStyle w:val="P0-Paragraph"/>
      </w:pPr>
      <w:r w:rsidRPr="00317D6F">
        <w:rPr>
          <w:rFonts w:eastAsia="Arial"/>
        </w:rPr>
        <w:t>The gate design reflects the asymmetry between information-domain and physical-domain errors. A rejected information tool call is recoverable — the agent can retry, the planning cycle can continue, and no physical consequence has occurred. A Physical Consequence Action that proceeds through an incorrect step-ahead verdict may produce irreversible physical consequence.</w:t>
      </w:r>
    </w:p>
    <w:p w14:paraId="4017F6A5" w14:textId="77777777" w:rsidR="002533C8" w:rsidRPr="00317D6F" w:rsidRDefault="00000000" w:rsidP="00522059">
      <w:pPr>
        <w:pStyle w:val="P0-Paragraph"/>
      </w:pPr>
      <w:r w:rsidRPr="00317D6F">
        <w:t>The circuit-breaker hold exists because information-domain errors and physical-domain errors do not have equivalent consequences. Blocking a Physical Consequence Action that should have proceeded (a false positive) produces operational delay and throughput reduction. Permitting a Physical Consequence Action that should have been blocked (a false negative) may produce irreversible physical harm, regulatory notification obligations, and RPLD liability exposure. The gateway intentionally favors conservative blocking behavior over permissive execution. That calibration is the recommended engineering posture for physical actuation systems.</w:t>
      </w:r>
    </w:p>
    <w:p w14:paraId="725DF779" w14:textId="77777777" w:rsidR="002533C8" w:rsidRPr="00317D6F" w:rsidRDefault="00000000" w:rsidP="00712050">
      <w:pPr>
        <w:pStyle w:val="HS-Heading2"/>
      </w:pPr>
      <w:r w:rsidRPr="00317D6F">
        <w:rPr>
          <w:rFonts w:eastAsia="Arial"/>
        </w:rPr>
        <w:t>4.2 Physical system configuration</w:t>
      </w:r>
    </w:p>
    <w:p w14:paraId="19EBCD81" w14:textId="6033329E"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"Physical Impact Gate"</w:t>
      </w:r>
    </w:p>
    <w:p w14:paraId="06377AC0" w14:textId="77777777" w:rsidR="002533C8" w:rsidRPr="00317D6F" w:rsidRDefault="00000000" w:rsidP="00712050">
      <w:pPr>
        <w:pStyle w:val="HS-Heading2"/>
      </w:pPr>
      <w:r w:rsidRPr="00317D6F">
        <w:rPr>
          <w:rFonts w:eastAsia="Arial"/>
        </w:rPr>
        <w:t>4.3 Circuit-breaker hold protocol</w:t>
      </w:r>
    </w:p>
    <w:p w14:paraId="196CC3A9" w14:textId="77777777" w:rsidR="002533C8" w:rsidRPr="00317D6F" w:rsidRDefault="00000000" w:rsidP="00522059">
      <w:pPr>
        <w:pStyle w:val="P0-Paragraph"/>
      </w:pPr>
      <w:r w:rsidRPr="00317D6F">
        <w:t>A latched CIRCUIT_BREAKER_ACTIVE state initiates the circuit-breaker protocol. Within each regional control domain, the hold must propagate to all applicable gateway enforcement instances within the deployment-approved P99.9 maximum hold-propagation latency recorded as HOLD-IN-DOMAIN-BUDGET in the Deployment Parameters register. The approved value must be derived from the applicable physical-response window and enforcement architecture and validated before production use. A 50 ms target may be used as an engineering starting point where supported by deployment evidence, but it is not a universal ASCR threshold. Hold state persists until ASCR-03 Section 4.2 Tier 2 release authorization is received; no lower authority level can release a hold. An attempt to release a hold via insufficient authority is logged as a HOLD_RELEASE_UNAUTHORIZED gateway security event and routed to ASCR-08 for classification based on the investigated intent, locus, and authority. The event must not be pre-classified as authorized solely because a human initiated it.</w:t>
      </w:r>
    </w:p>
    <w:p w14:paraId="7C9AEECD" w14:textId="77777777" w:rsidR="002533C8" w:rsidRPr="00317D6F" w:rsidRDefault="00000000" w:rsidP="00522059">
      <w:pPr>
        <w:pStyle w:val="P0-Paragraph"/>
      </w:pPr>
      <w:r w:rsidRPr="00317D6F">
        <w:rPr>
          <w:rFonts w:eastAsia="Arial"/>
        </w:rPr>
        <w:t>During an active hold, the gateway continues to accept and evaluate invocations. Identity, authorization, attestation, tool registration, and parameter bounds evaluation proceed normally. Only Layer 6 evaluation changes — the verdict is HOLD for any invocation targeting the held physical actuation scope, regardless of the results of Layers 1 through 5. The hold does not, by itself, stop Layers 1 through 5 from continuing to produce gateway evidence during the hold period.</w:t>
      </w:r>
    </w:p>
    <w:p w14:paraId="5EC82874" w14:textId="77777777" w:rsidR="002533C8" w:rsidRPr="00317D6F" w:rsidRDefault="00000000" w:rsidP="00522059">
      <w:pPr>
        <w:pStyle w:val="P0-Paragraph"/>
      </w:pPr>
      <w:r w:rsidRPr="00317D6F">
        <w:lastRenderedPageBreak/>
        <w:t>The hold release authorization record is itself evidentiary. It documents who authorized the release, at what time, on what basis, and after what verification steps. Retained under the same applicable evidence-retention policy as other ASCR-07 gateway records, it supports reconstruction of the organization's evaluation of Physical Consequence Action risk before system resumption and may be relevant to a qualifying RPLD Article 9(1) disclosure obligation.</w:t>
      </w:r>
    </w:p>
    <w:p w14:paraId="3FC4DF41" w14:textId="77777777" w:rsidR="002533C8" w:rsidRPr="00317D6F" w:rsidRDefault="00000000" w:rsidP="00522059">
      <w:pPr>
        <w:pStyle w:val="P0-Paragraph"/>
      </w:pPr>
      <w:r w:rsidRPr="00317D6F">
        <w:t>Within a single regional control domain, hold propagation confirmation must be received from all participating gateway instances within the deployment-approved P99.9 in-domain budget recorded as HOLD-IN-DOMAIN-BUDGET. Geographically distributed control domains use a separately governed, deployment-specific cross-domain propagation budget and do not inherit the in-domain value. The propagation confirmation record in Section 6.1 must include participating instances and their individual confirmation timestamps. A control domain that cannot establish current hold state within its applicable budget MUST fail closed for affected physical-actuation invocations until hold-state continuity is restored, and ASOC must be notified.</w:t>
      </w:r>
    </w:p>
    <w:p w14:paraId="7EB596C7" w14:textId="77777777" w:rsidR="002533C8" w:rsidRPr="00317D6F" w:rsidRDefault="00000000" w:rsidP="00712050">
      <w:pPr>
        <w:pStyle w:val="HS-Heading2"/>
      </w:pPr>
      <w:r w:rsidRPr="00317D6F">
        <w:rPr>
          <w:rFonts w:eastAsia="Arial"/>
        </w:rPr>
        <w:t>4.4 Safe-State default enforcement</w:t>
      </w:r>
    </w:p>
    <w:p w14:paraId="17664C27" w14:textId="77777777" w:rsidR="002533C8" w:rsidRPr="00317D6F" w:rsidRDefault="00000000" w:rsidP="00522059">
      <w:pPr>
        <w:pStyle w:val="P0-Paragraph"/>
      </w:pPr>
      <w:r w:rsidRPr="00317D6F">
        <w:rPr>
          <w:rFonts w:eastAsia="Arial"/>
        </w:rPr>
        <w:t>When a circuit-breaker hold is activated, the physical system must transition to its Safe-State as defined in ASCR-03 Section 6 within the transition window specified for that system type. ASCR-06 supplies the step-ahead verification outcome; it does not directly actuate Safe-State. The ASCR-04-conforming gateway implementation enforces the applicable HOLD/BLOCK and, where configured, issues or maintains the governed Safe-State request or handoff through the deployment-approved control/safety interface. The applicable functional-safety or machine-safety control executes the physical safety response where such a function is required. The gateway also prevents further tool invocations that would interfere with or override the Safe-State transition sequence.</w:t>
      </w:r>
    </w:p>
    <w:p w14:paraId="4A843162" w14:textId="77777777" w:rsidR="002533C8" w:rsidRPr="00317D6F" w:rsidRDefault="00000000" w:rsidP="00522059">
      <w:pPr>
        <w:pStyle w:val="P0-Paragraph"/>
      </w:pPr>
      <w:r w:rsidRPr="00317D6F">
        <w:rPr>
          <w:rFonts w:eastAsia="Arial"/>
        </w:rPr>
        <w:t>A Safe-State transition attempted through an ordinary MCP tool invocation during an active hold, rather than through the deployment-approved safety/control interface or governed ASCR-04 handoff path, must be treated as an anomalous pattern. The ASOC Analyst must route the invocation through ASCR-08 Section 2.6 Indeterminate classification handling, with Intent, Locus, and Authority assigned only when supported by the available evidence, pending investigation of whether the invocation represents an attempt to manipulate the Safe-State transition sequence.</w:t>
      </w:r>
    </w:p>
    <w:p w14:paraId="4C6765CD" w14:textId="77777777" w:rsidR="002533C8" w:rsidRPr="00317D6F" w:rsidRDefault="002533C8" w:rsidP="00522059">
      <w:pPr>
        <w:pStyle w:val="P0-Paragraph"/>
      </w:pPr>
    </w:p>
    <w:p w14:paraId="35B94436" w14:textId="77777777" w:rsidR="002533C8" w:rsidRPr="00317D6F" w:rsidRDefault="00000000" w:rsidP="00712050">
      <w:pPr>
        <w:pStyle w:val="HS-Heading1"/>
      </w:pPr>
      <w:r w:rsidRPr="00317D6F">
        <w:rPr>
          <w:rFonts w:eastAsia="Arial"/>
        </w:rPr>
        <w:t>Section 5 — Operational performance requirements</w:t>
      </w:r>
    </w:p>
    <w:p w14:paraId="1F7AA42F" w14:textId="77777777" w:rsidR="002533C8" w:rsidRPr="00317D6F" w:rsidRDefault="00000000" w:rsidP="00712050">
      <w:pPr>
        <w:pStyle w:val="HS-Heading2"/>
      </w:pPr>
      <w:r w:rsidRPr="00317D6F">
        <w:rPr>
          <w:rFonts w:eastAsia="Arial"/>
        </w:rPr>
        <w:t>5.1 Latency and availability thresholds</w:t>
      </w:r>
    </w:p>
    <w:p w14:paraId="3EF96D60" w14:textId="77777777" w:rsidR="002533C8" w:rsidRPr="00317D6F" w:rsidRDefault="00000000" w:rsidP="00522059">
      <w:pPr>
        <w:pStyle w:val="P0-Paragraph"/>
      </w:pPr>
      <w:r w:rsidRPr="00317D6F">
        <w:rPr>
          <w:rFonts w:eastAsia="Arial"/>
        </w:rPr>
        <w:t>Gateway enforcement latency is governed by the ASCR-04 Performance Requirements table and the deployment-approved runtime configuration. Contractual identity-continuity values governed through ASCR-11 Schedule D remain separate obligations. Latency above the specified thresholds becomes an enforcement integrity problem, not merely a performance problem. Latency above the P99.9 circuit-breaker hold propagation threshold creates a window in which Physical Consequence Actions may proceed before a hold is active.</w:t>
      </w:r>
    </w:p>
    <w:p w14:paraId="01E5CE9A" w14:textId="77777777" w:rsidR="002533C8" w:rsidRPr="00317D6F" w:rsidRDefault="00000000" w:rsidP="00522059">
      <w:pPr>
        <w:pStyle w:val="P0-Paragraph"/>
      </w:pPr>
      <w:r w:rsidRPr="00712050">
        <w:rPr>
          <w:rStyle w:val="CS-Keyword"/>
        </w:rPr>
        <w:t>Performance-value classification:</w:t>
      </w:r>
      <w:r w:rsidRPr="00317D6F">
        <w:t xml:space="preserve"> Unless a row expressly states that its value is deployment-specific or derives from another governing source, numeric timing, cadence, freshness, and availability values in the ASCR-04 Performance Requirements table are ASCR engineering baselines. They are not statutory requirements or certified machine/functional-safety limits. They remain ASCR-04 conformance requirements unless the row </w:t>
      </w:r>
      <w:r w:rsidRPr="00317D6F">
        <w:lastRenderedPageBreak/>
        <w:t>expressly permits deployment-specific replacement. Deployments may adopt stricter values. Any approved deviation from an ASCR engineering baseline must proceed through ASCR-10 change authorization, include the applicable engineering and risk or safety justification, and must not weaken a stricter ASCR-03, ASCR-11, contractual, regulatory, or safety requirement.</w:t>
      </w:r>
    </w:p>
    <w:p w14:paraId="68338B70" w14:textId="6E3AA537"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"Performance Requirements"</w:t>
      </w:r>
    </w:p>
    <w:p w14:paraId="1C7928F3" w14:textId="77777777" w:rsidR="002533C8" w:rsidRPr="00317D6F" w:rsidRDefault="00000000" w:rsidP="00522059">
      <w:pPr>
        <w:pStyle w:val="P0-Paragraph"/>
      </w:pPr>
      <w:r w:rsidRPr="00317D6F">
        <w:rPr>
          <w:rFonts w:eastAsia="Arial"/>
        </w:rPr>
        <w:t>Notes:</w:t>
      </w:r>
    </w:p>
    <w:p w14:paraId="6F24B3E9" w14:textId="09617C35" w:rsidR="002533C8" w:rsidRPr="00317D6F" w:rsidRDefault="00000000" w:rsidP="00712050">
      <w:pPr>
        <w:pStyle w:val="L1-Bullet"/>
      </w:pPr>
      <w:r w:rsidRPr="00317D6F">
        <w:t>Deployments including high-velocity physical systems, including robotic arms operating above 1 m/s and AMRs in confined spaces, must verify that 500ms P95 enforcement latency is within the operational response window for those systems. OT Engineering Lead sign-off is required before accepting this default for high-velocity deployments, with the engineering analysis and sign-off reference recorded as HIGH-VELOCITY-LATENCY-SIGNOFF-REF in Deployment Parameters.</w:t>
      </w:r>
    </w:p>
    <w:p w14:paraId="01F55BD3" w14:textId="4A2AC538" w:rsidR="002533C8" w:rsidRPr="00317D6F" w:rsidRDefault="00000000" w:rsidP="00712050">
      <w:pPr>
        <w:pStyle w:val="L1-Bullet"/>
      </w:pPr>
      <w:r w:rsidRPr="00317D6F">
        <w:t>The ASCR-06 step-ahead verification call is the highest-latency component of Layer 6 evaluation. The ASCR-06 TIMEOUT behavior defined in ASCR-06 Section 2.2 must be configured within the Layer 6 step-ahead-verification allocation in the Performance Requirements table and within the end-to-end enforcement SLA. OT Engineering Lead must confirm the ASCR-06 timeout configuration is consistent with the gateway's P95 latency requirement before ASCR-10 Phase 3 production-gate authorization is issued.</w:t>
      </w:r>
    </w:p>
    <w:p w14:paraId="3CD056A3" w14:textId="77777777" w:rsidR="002533C8" w:rsidRPr="00317D6F" w:rsidRDefault="00000000" w:rsidP="00712050">
      <w:pPr>
        <w:pStyle w:val="HS-Heading1"/>
      </w:pPr>
      <w:r w:rsidRPr="00317D6F">
        <w:rPr>
          <w:rFonts w:eastAsia="Arial"/>
        </w:rPr>
        <w:t>Section 6 — Evidence architecture and retention</w:t>
      </w:r>
    </w:p>
    <w:p w14:paraId="1F9892C5" w14:textId="77777777" w:rsidR="002533C8" w:rsidRPr="00317D6F" w:rsidRDefault="00000000" w:rsidP="00712050">
      <w:pPr>
        <w:pStyle w:val="HS-Heading2"/>
      </w:pPr>
      <w:r w:rsidRPr="00317D6F">
        <w:rPr>
          <w:rFonts w:eastAsia="Arial"/>
        </w:rPr>
        <w:t>6.1 Evidence records produced</w:t>
      </w:r>
    </w:p>
    <w:p w14:paraId="3B435B18" w14:textId="77777777" w:rsidR="002533C8" w:rsidRPr="00317D6F" w:rsidRDefault="00000000" w:rsidP="00522059">
      <w:pPr>
        <w:pStyle w:val="P0-Paragraph"/>
      </w:pPr>
      <w:r w:rsidRPr="00317D6F">
        <w:t>The MCP gateway produces the authoritative record of tool invocation activity within the ASCR evidence architecture. Every record it produces is a component of the causal chain required for Physical Consequence Attribution. The completeness of this record set across all verdict types determines the organization's ability to satisfy a qualifying RPLD Article 9(1) disclosure obligation and, when disclosure is ordered, to avoid the litigation consequence described in Article 10(2)(a).</w:t>
      </w:r>
    </w:p>
    <w:p w14:paraId="220A8528" w14:textId="3E747995"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"Evidence Records"</w:t>
      </w:r>
    </w:p>
    <w:p w14:paraId="08A3166B" w14:textId="77777777" w:rsidR="002533C8" w:rsidRPr="00317D6F" w:rsidRDefault="00000000" w:rsidP="00712050">
      <w:pPr>
        <w:pStyle w:val="HS-Heading2"/>
      </w:pPr>
      <w:r w:rsidRPr="00317D6F">
        <w:rPr>
          <w:rFonts w:eastAsia="Arial"/>
        </w:rPr>
        <w:t>6.2 Physical Consequence Attribution evidence chain</w:t>
      </w:r>
    </w:p>
    <w:p w14:paraId="739FB3E6" w14:textId="77777777" w:rsidR="002533C8" w:rsidRPr="00317D6F" w:rsidRDefault="00000000" w:rsidP="00522059">
      <w:pPr>
        <w:pStyle w:val="P0-Paragraph"/>
      </w:pPr>
      <w:r w:rsidRPr="00317D6F">
        <w:rPr>
          <w:rFonts w:eastAsia="Arial"/>
        </w:rPr>
        <w:t>For any Physical Consequence Action that becomes subject to RPLD proceedings or regulatory investigation, the gateway evidence chain must support the following reconstruction sequence:</w:t>
      </w:r>
    </w:p>
    <w:p w14:paraId="50C58520" w14:textId="77777777" w:rsidR="002533C8" w:rsidRPr="00317D6F" w:rsidRDefault="00000000" w:rsidP="00522059">
      <w:pPr>
        <w:pStyle w:val="P0-Paragraph"/>
      </w:pPr>
      <w:r w:rsidRPr="00317D6F">
        <w:rPr>
          <w:rFonts w:eastAsia="Arial"/>
        </w:rPr>
        <w:t>Starting from the Physical Consequence Action, the reconstruction follows four steps:</w:t>
      </w:r>
    </w:p>
    <w:p w14:paraId="4490FF28" w14:textId="2063F0D8" w:rsidR="002533C8" w:rsidRPr="00317D6F" w:rsidRDefault="00000000" w:rsidP="00522059">
      <w:pPr>
        <w:pStyle w:val="L1-Numbered"/>
        <w:numPr>
          <w:ilvl w:val="0"/>
          <w:numId w:val="22"/>
        </w:numPr>
      </w:pPr>
      <w:r w:rsidRPr="00522059">
        <w:rPr>
          <w:rFonts w:eastAsia="Arial"/>
        </w:rPr>
        <w:t>The gateway PASS record establishes the actuation authorization event.</w:t>
      </w:r>
    </w:p>
    <w:p w14:paraId="099975E7" w14:textId="351B4C10" w:rsidR="002533C8" w:rsidRPr="00317D6F" w:rsidRDefault="00000000" w:rsidP="00522059">
      <w:pPr>
        <w:pStyle w:val="L1-Numbered"/>
      </w:pPr>
      <w:r w:rsidRPr="00317D6F">
        <w:rPr>
          <w:rFonts w:eastAsia="Arial"/>
        </w:rPr>
        <w:t xml:space="preserve">The </w:t>
      </w:r>
      <w:r w:rsidRPr="00522059">
        <w:t>ascr07</w:t>
      </w:r>
      <w:r w:rsidRPr="00317D6F">
        <w:rPr>
          <w:rFonts w:eastAsia="Arial"/>
        </w:rPr>
        <w:t>_record_id links to the ASCR-07 planning-cycle record and associated evidence envelope, which contain the relevant planning context, including goal_hash, context_hash_before, context_hash_after, plan_delta_summary, divergence_score, and the current authorization-lineage evidence represented by auth_chain_agent and auth_chain_infra where applicable.</w:t>
      </w:r>
    </w:p>
    <w:p w14:paraId="5F4CE69F" w14:textId="7341C120" w:rsidR="002533C8" w:rsidRPr="00317D6F" w:rsidRDefault="00000000" w:rsidP="00522059">
      <w:pPr>
        <w:pStyle w:val="L1-Numbered"/>
      </w:pPr>
      <w:r w:rsidRPr="00317D6F">
        <w:rPr>
          <w:rFonts w:eastAsia="Arial"/>
        </w:rPr>
        <w:t xml:space="preserve">The </w:t>
      </w:r>
      <w:r w:rsidRPr="00522059">
        <w:t>combined</w:t>
      </w:r>
      <w:r w:rsidRPr="00317D6F">
        <w:rPr>
          <w:rFonts w:eastAsia="Arial"/>
        </w:rPr>
        <w:t xml:space="preserve"> authorization-lineage evidence identifies the authorization path under which the action proceeded; where cumulative-authority enforcement applies, authority_state_ref preserves the exact ASCR-04 authority-state snapshot used for the gateway decision.</w:t>
      </w:r>
    </w:p>
    <w:p w14:paraId="24385B73" w14:textId="3C9AD51F" w:rsidR="002533C8" w:rsidRPr="00317D6F" w:rsidRDefault="00000000" w:rsidP="00712050">
      <w:pPr>
        <w:pStyle w:val="L1-Numbered"/>
      </w:pPr>
      <w:r w:rsidRPr="00317D6F">
        <w:rPr>
          <w:rFonts w:eastAsia="Arial"/>
        </w:rPr>
        <w:lastRenderedPageBreak/>
        <w:t>The traceparent enables cross-system trace reconstruction from the Intelligence Layer signal that initiated the planning cycle through to the Physical Layer actuation.</w:t>
      </w:r>
    </w:p>
    <w:p w14:paraId="2118FDA8" w14:textId="77777777" w:rsidR="002533C8" w:rsidRPr="00317D6F" w:rsidRDefault="00000000" w:rsidP="00522059">
      <w:pPr>
        <w:pStyle w:val="P0-Paragraph"/>
      </w:pPr>
      <w:r w:rsidRPr="00317D6F">
        <w:t>For a KQP event, the reconstruction must additionally link the KQP_INITIATED record, any KQP_SAFETY_HANDOFF event, the KQP_COMPLETE record and its per-asset kinetic-verification results, and the governed holding-state release authorization. These records use the same applicable evidence-retention policy as other ASCR-07 gateway evidence and must remain correlatable through the ASCR-07 record identifier and trace context.</w:t>
      </w:r>
    </w:p>
    <w:p w14:paraId="4B75DBC9" w14:textId="3BD41AFD" w:rsidR="002533C8" w:rsidRPr="00317D6F" w:rsidRDefault="00000000" w:rsidP="00522059">
      <w:pPr>
        <w:pStyle w:val="P0-Paragraph"/>
      </w:pPr>
      <w:r w:rsidRPr="00317D6F">
        <w:t>A gap at any point in this chain, including a missing PASS record, an ascr07_record_id that does not resolve to a planning cycle record, or a traceparent that cannot be correlated to upstream signals, is an evidentiary gap. The gap does not independently trigger Article 10(2)(a), but it may impair the organization's ability to satisfy a qualifying Article 9(1) disclosure obligation. If a defendant fails to disclose relevant evidence pursuant to that obligation, Article 10(2)(a) provides for a rebuttable presumption of product defectiveness.</w:t>
      </w:r>
    </w:p>
    <w:p w14:paraId="037D7940" w14:textId="77777777" w:rsidR="002533C8" w:rsidRPr="00317D6F" w:rsidRDefault="00000000" w:rsidP="00522059">
      <w:pPr>
        <w:pStyle w:val="HS-Heading1"/>
      </w:pPr>
      <w:r w:rsidRPr="00317D6F">
        <w:rPr>
          <w:rFonts w:eastAsia="Arial"/>
        </w:rPr>
        <w:t>Section 7 — Deployment configuration checklist</w:t>
      </w:r>
    </w:p>
    <w:p w14:paraId="7FA14DCF" w14:textId="77777777" w:rsidR="002533C8" w:rsidRPr="00317D6F" w:rsidRDefault="00000000" w:rsidP="00522059">
      <w:pPr>
        <w:pStyle w:val="HS-Heading2"/>
      </w:pPr>
      <w:r w:rsidRPr="00317D6F">
        <w:t>7.0 Deployment parameter register</w:t>
      </w:r>
    </w:p>
    <w:p w14:paraId="6A32FBED" w14:textId="77777777" w:rsidR="002533C8" w:rsidRPr="00317D6F" w:rsidRDefault="00000000" w:rsidP="00522059">
      <w:pPr>
        <w:pStyle w:val="P0-Paragraph"/>
      </w:pPr>
      <w:r w:rsidRPr="00317D6F">
        <w:t>Before production use, complete the Deployment Parameters sheet in the OE01 workbook. It is the controlled deployment record for configuration values that this Blueprint intentionally leaves deployment-specific. A requirement identified as deployment-specific is not satisfied merely because this document describes it; its value, owner, validation evidence, and approving change record must be populated in the register. ASCR-11 governs applicable contractual obligations, ASCR-10 governs authorization and change control, and the ASCR-04-conforming gateway consumes the approved values as enforcement configuration.</w:t>
      </w:r>
    </w:p>
    <w:p w14:paraId="40F7AB82" w14:textId="77777777" w:rsidR="002533C8" w:rsidRPr="00317D6F" w:rsidRDefault="00000000" w:rsidP="00522059">
      <w:pPr>
        <w:pStyle w:val="HS-Heading2"/>
      </w:pPr>
      <w:r w:rsidRPr="00317D6F">
        <w:rPr>
          <w:rFonts w:eastAsia="Arial"/>
        </w:rPr>
        <w:t>7.1 Pre-deployment verification</w:t>
      </w:r>
    </w:p>
    <w:p w14:paraId="787B7017" w14:textId="77777777" w:rsidR="002533C8" w:rsidRPr="00317D6F" w:rsidRDefault="00000000" w:rsidP="00522059">
      <w:pPr>
        <w:pStyle w:val="P0-Paragraph"/>
      </w:pPr>
      <w:r w:rsidRPr="00317D6F">
        <w:t>All seventeen checklist items must be verified and signed before deployment to production.</w:t>
      </w:r>
    </w:p>
    <w:p w14:paraId="328828B4" w14:textId="77777777" w:rsidR="002533C8" w:rsidRPr="00317D6F" w:rsidRDefault="00000000" w:rsidP="00522059">
      <w:pPr>
        <w:pStyle w:val="P0-Paragraph"/>
      </w:pPr>
      <w:r w:rsidRPr="00317D6F">
        <w:t>Role titles used in the Deployment Checklist follow the ASCR-13 role mapping where applicable.</w:t>
      </w:r>
    </w:p>
    <w:p w14:paraId="2C8E4F18" w14:textId="255117A3" w:rsidR="002533C8" w:rsidRPr="00317D6F" w:rsidRDefault="00000000" w:rsidP="00522059">
      <w:pPr>
        <w:pStyle w:val="P0-Paragraph"/>
      </w:pPr>
      <w:r w:rsidRPr="00712050">
        <w:rPr>
          <w:rStyle w:val="CS-Keyword"/>
        </w:rPr>
        <w:t xml:space="preserve">Full table in Excel companion file: </w:t>
      </w:r>
      <w:r w:rsidRPr="00317D6F">
        <w:rPr>
          <w:rFonts w:eastAsia="Arial"/>
        </w:rPr>
        <w:t>ASCR-04-OE01-MCP-Gateway-Reference-Tables.xlsx — tab "Deployment Checklist"</w:t>
      </w:r>
    </w:p>
    <w:p w14:paraId="6A7D0D0E" w14:textId="77777777" w:rsidR="002533C8" w:rsidRPr="00317D6F" w:rsidRDefault="00000000" w:rsidP="00522059">
      <w:pPr>
        <w:pStyle w:val="P0-Paragraph"/>
      </w:pPr>
      <w:r w:rsidRPr="00317D6F">
        <w:rPr>
          <w:rFonts w:eastAsia="Arial"/>
        </w:rPr>
        <w:t>If any checklist item fails verification after preceding items have passed, deployment does not proceed until the failing item is remediated and re-verified. Items 1 through 4 (identity and authorization infrastructure) that fail after item 5 (ASCR-06 integration) has been verified do not require item 5 re-verification. Only the failing item requires remediation unless the failure affects a downstream item's configuration basis.</w:t>
      </w:r>
    </w:p>
    <w:p w14:paraId="5A6ABAE9" w14:textId="77777777" w:rsidR="002533C8" w:rsidRPr="00317D6F" w:rsidRDefault="00000000" w:rsidP="00522059">
      <w:pPr>
        <w:pStyle w:val="HS-Heading2"/>
      </w:pPr>
      <w:r w:rsidRPr="00317D6F">
        <w:rPr>
          <w:rFonts w:eastAsia="Arial"/>
        </w:rPr>
        <w:t>7.2 Ongoing configuration governance</w:t>
      </w:r>
    </w:p>
    <w:p w14:paraId="4B915AE7" w14:textId="77777777" w:rsidR="002533C8" w:rsidRPr="00317D6F" w:rsidRDefault="00000000" w:rsidP="00522059">
      <w:pPr>
        <w:pStyle w:val="P0-Paragraph"/>
      </w:pPr>
      <w:r w:rsidRPr="00317D6F">
        <w:rPr>
          <w:rFonts w:eastAsia="Arial"/>
        </w:rPr>
        <w:t>The gateway manifest is a living document governed by ASCR-10. Every tool inventory change — addition, removal, or version update — must proceed through ASCR-10's change authorization workflow before the manifest reflects it. A TOOL_NOT_REGISTERED rejection for a tool added outside ASCR-10 authorization does not close the exposure on its own. The unauthorized addition must be investigated as a potential ASCR-08 incident, initially handled under ASCR-08 Section 2.6 as Indeterminate until Intent, Locus, and Authority are supported by the available evidence.</w:t>
      </w:r>
    </w:p>
    <w:p w14:paraId="548967C8" w14:textId="4D807412" w:rsidR="002533C8" w:rsidRPr="00317D6F" w:rsidRDefault="00000000" w:rsidP="00522059">
      <w:pPr>
        <w:pStyle w:val="P0-Paragraph"/>
      </w:pPr>
      <w:r w:rsidRPr="00317D6F">
        <w:rPr>
          <w:rFonts w:eastAsia="Arial"/>
        </w:rPr>
        <w:t xml:space="preserve">Gateway configuration must be reviewed at each ASCR-12 quarterly scorecard cycle. The review must confirm that all items in the Deployment Checklist (ASCR-04-OE01-MCP-Gateway-Reference-Tables.xlsx tab) remain </w:t>
      </w:r>
      <w:r w:rsidRPr="00317D6F">
        <w:rPr>
          <w:rFonts w:eastAsia="Arial"/>
        </w:rPr>
        <w:lastRenderedPageBreak/>
        <w:t>accurate — that SPIRE trust domain boundaries have not expanded beyond ASCR-03 Section 2 scope, that the manifest reflects current ASCR-10 approved inventory, that deployment-approved attestation profiles and measurement/reference baselines reflect current authorized workload configurations, and that all performance thresholds in the Performance Requirements table are being met — including both P95 and P99 specifications for latency rows.</w:t>
      </w:r>
    </w:p>
    <w:p w14:paraId="365F47FC" w14:textId="77777777" w:rsidR="002533C8" w:rsidRPr="00317D6F" w:rsidRDefault="00000000" w:rsidP="00522059">
      <w:pPr>
        <w:pStyle w:val="HS-Heading1"/>
      </w:pPr>
      <w:r w:rsidRPr="00317D6F">
        <w:rPr>
          <w:rFonts w:eastAsia="Arial"/>
        </w:rPr>
        <w:t>Section 8 — Scope and limitations</w:t>
      </w:r>
    </w:p>
    <w:p w14:paraId="005970B5" w14:textId="77777777" w:rsidR="002533C8" w:rsidRPr="00317D6F" w:rsidRDefault="00000000" w:rsidP="00522059">
      <w:pPr>
        <w:pStyle w:val="P0-Paragraph"/>
      </w:pPr>
      <w:r w:rsidRPr="00317D6F">
        <w:t>ASCR-04 specifies the configuration policy for MCP gateway enforcement. It does not specify the implementation of the MCP server infrastructure. Server selection, hosting architecture, and network topology are governed by ASCR-05 and are outside this artifact's scope. ASCR-04 also does not specify the content of ASCR-06 step-ahead models. Physical constraint modeling is an ASCR-06 deliverable. Similarly, ASCR-04 does not specify the decision logic within ASCR-07. The 14-field planning cycle record schema, distinct from ASCR-04's 19-field invocation schema, is an ASCR-07 deliverable.</w:t>
      </w:r>
    </w:p>
    <w:p w14:paraId="3F7D8378" w14:textId="53F1BACB" w:rsidR="002533C8" w:rsidRPr="00317D6F" w:rsidRDefault="00000000" w:rsidP="00522059">
      <w:pPr>
        <w:pStyle w:val="P0-Paragraph"/>
      </w:pPr>
      <w:r w:rsidRPr="00317D6F">
        <w:t>Two limitations require practitioner acknowledgment before deployment. First, the seven-layer enforcement architecture is only as strong as its weakest layer. An organization that deploys Layers 1 through 5 without ASCR-06 Layer 6 integration has a gateway that can verify who is calling and what they are authorized to call, but cannot verify whether what they are calling is physically safe to execute at this moment. The illustrative 142-robot scenario in Section 1.1 shows the operational consequence of this gap: a correctly authorized, correctly formatted routing command that would have been held at Layer 6 on a non-PASS ASCR-06 verdict before it made 142 robots irrecoverable. Second, Layer 5 parameter bounds enforcement is only as precise as the bounds definitions in the tool manifest. A permissive bounds definition produces valid PASS verdicts for tool calls that approach but do not exceed physical safety margins, appearing compliant while operating near the failure threshold. Parameter bounds definition is a precision engineering task requiring OT Engineering input on every physical actuation endpoint. It is not a default configuration.</w:t>
      </w:r>
    </w:p>
    <w:p w14:paraId="4D29726A" w14:textId="77777777" w:rsidR="002533C8" w:rsidRPr="00317D6F" w:rsidRDefault="00000000" w:rsidP="00522059">
      <w:pPr>
        <w:pStyle w:val="HS-Heading1"/>
      </w:pPr>
      <w:r w:rsidRPr="00317D6F">
        <w:rPr>
          <w:rFonts w:eastAsia="Arial"/>
        </w:rPr>
        <w:t>Summary</w:t>
      </w:r>
    </w:p>
    <w:p w14:paraId="4A1732A3" w14:textId="77777777" w:rsidR="002533C8" w:rsidRPr="00317D6F" w:rsidRDefault="00000000" w:rsidP="00522059">
      <w:pPr>
        <w:pStyle w:val="P0-Paragraph"/>
      </w:pPr>
      <w:r w:rsidRPr="00317D6F">
        <w:t>The MCP gateway is where authorization policy meets physical consequence. Each consequential invocation can therefore be evaluated as either having proceeded through the governed ASCR-04 enforcement path with the required ASCR-06 verification disposition and evidence linkage, or as having occurred outside that governed path. An incomplete gateway evidence chain is an enforcement and evidentiary gap that the organization must characterize, scope, and assess. The gap does not itself trigger RPLD Article 10(2)(a); if it prevents the organization from complying with a qualifying Article 9(1) disclosure obligation, Article 10(2)(a) may result in a rebuttable presumption of product defectiveness.</w:t>
      </w:r>
    </w:p>
    <w:p w14:paraId="76FE60CB" w14:textId="77777777" w:rsidR="002533C8" w:rsidRPr="00317D6F" w:rsidRDefault="00000000" w:rsidP="00522059">
      <w:pPr>
        <w:pStyle w:val="P0-Paragraph"/>
      </w:pPr>
      <w:r w:rsidRPr="00317D6F">
        <w:t>Before production deployment, operators MUST validate three conditions directly:</w:t>
      </w:r>
    </w:p>
    <w:p w14:paraId="17D433D3" w14:textId="2FC3EEC7" w:rsidR="002533C8" w:rsidRPr="00317D6F" w:rsidRDefault="00000000" w:rsidP="00522059">
      <w:pPr>
        <w:pStyle w:val="L1-Bullet"/>
      </w:pPr>
      <w:r w:rsidRPr="00317D6F">
        <w:rPr>
          <w:rFonts w:eastAsia="Arial"/>
        </w:rPr>
        <w:t>First, that every physical actuation endpoint is represented in the manifest.</w:t>
      </w:r>
    </w:p>
    <w:p w14:paraId="42D4E4AB" w14:textId="0AAC1001" w:rsidR="002533C8" w:rsidRPr="00317D6F" w:rsidRDefault="00000000" w:rsidP="00522059">
      <w:pPr>
        <w:pStyle w:val="L1-Bullet"/>
      </w:pPr>
      <w:r w:rsidRPr="00317D6F">
        <w:rPr>
          <w:rFonts w:eastAsia="Arial"/>
        </w:rPr>
        <w:t>Second, that ASCR-06 timeout behavior fails closed under communication loss.</w:t>
      </w:r>
    </w:p>
    <w:p w14:paraId="7C5544BE" w14:textId="05EEA353" w:rsidR="002533C8" w:rsidRPr="00317D6F" w:rsidRDefault="00000000" w:rsidP="00522059">
      <w:pPr>
        <w:pStyle w:val="L1-Bullet"/>
      </w:pPr>
      <w:r w:rsidRPr="00317D6F">
        <w:rPr>
          <w:rFonts w:eastAsia="Arial"/>
        </w:rPr>
        <w:t>Third, that KQP execution reaches verified safe-state within the registered TKQ threshold during shadow-mode testing.</w:t>
      </w:r>
    </w:p>
    <w:p w14:paraId="6E3B17F2" w14:textId="77777777" w:rsidR="002533C8" w:rsidRPr="00317D6F" w:rsidRDefault="00000000" w:rsidP="00522059">
      <w:pPr>
        <w:pStyle w:val="P0-Paragraph"/>
      </w:pPr>
      <w:r w:rsidRPr="00317D6F">
        <w:rPr>
          <w:rFonts w:eastAsia="Arial"/>
        </w:rPr>
        <w:t>These checks determine whether the deployment can maintain enforcement continuity under adversarial or degraded operating conditions.</w:t>
      </w:r>
    </w:p>
    <w:p w14:paraId="6C12808B" w14:textId="77777777" w:rsidR="002533C8" w:rsidRPr="00317D6F" w:rsidRDefault="00000000" w:rsidP="00522059">
      <w:pPr>
        <w:pStyle w:val="P0-Paragraph"/>
      </w:pPr>
      <w:r w:rsidRPr="00317D6F">
        <w:t xml:space="preserve">ASCR-04 determines whether a Physical Consequence Action reached the physical layer through a complete, verified gateway enforcement and evidence chain or outside that governed path. Operators must complete </w:t>
      </w:r>
      <w:r w:rsidRPr="00317D6F">
        <w:lastRenderedPageBreak/>
        <w:t>the Deployment Checklist (ASCR-04-OE01-MCP-Gateway-Reference-Tables.xlsx) and secure the OT Engineering Lead's input on every row that touches a physical actuation endpoint. Practitioners must not treat the tool-manifest parameter bounds enforced at Layer 5 or the illustrative Section 4.2 Physical Impact Gate rows as default configurations. These are precision engineering specifications that must reflect the actual physical operating envelopes of the systems defined in the ASCR-03 Section 2 scope. The gateway cannot validate and enforce constraints that have not been defined.</w:t>
      </w:r>
    </w:p>
    <w:sectPr w:rsidR="002533C8" w:rsidRPr="00317D6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2CCC8DE-35A0-4284-80BF-6BDECCD99FFC}"/>
  </w:font>
  <w:font w:name="Cambria">
    <w:panose1 w:val="02040503050406030204"/>
    <w:charset w:val="00"/>
    <w:family w:val="roman"/>
    <w:pitch w:val="variable"/>
    <w:sig w:usb0="E00006FF" w:usb1="420024FF" w:usb2="02000000" w:usb3="00000000" w:csb0="0000019F" w:csb1="00000000"/>
    <w:embedRegular r:id="rId2" w:fontKey="{BF65A8AC-E54B-4312-80CD-4D3F3A0C786B}"/>
    <w:embedBold r:id="rId3" w:fontKey="{8553CD00-26AD-454B-84A7-00F089560F2A}"/>
    <w:embedItalic r:id="rId4" w:fontKey="{480B6BF8-6922-4523-B800-734CFD8EE1E7}"/>
  </w:font>
  <w:font w:name="Calibri">
    <w:panose1 w:val="020F0502020204030204"/>
    <w:charset w:val="00"/>
    <w:family w:val="swiss"/>
    <w:pitch w:val="variable"/>
    <w:sig w:usb0="E4002EFF" w:usb1="C200247B" w:usb2="00000009" w:usb3="00000000" w:csb0="000001FF" w:csb1="00000000"/>
    <w:embedRegular r:id="rId5" w:fontKey="{D422DD3A-C01F-4BFA-B23D-03A600CB9C21}"/>
    <w:embedBold r:id="rId6" w:fontKey="{16536586-67BF-44F1-AB9B-ADD5BBA6A897}"/>
    <w:embedItalic r:id="rId7" w:fontKey="{70BBC196-AB0C-4451-9482-D5A32F99697B}"/>
  </w:font>
  <w:font w:name="Arial">
    <w:panose1 w:val="020B0604020202020204"/>
    <w:charset w:val="00"/>
    <w:family w:val="swiss"/>
    <w:pitch w:val="variable"/>
    <w:sig w:usb0="E0002EFF" w:usb1="C000785B" w:usb2="00000009" w:usb3="00000000" w:csb0="000001FF" w:csb1="00000000"/>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8" w:fontKey="{F6CF4900-AAA0-44E8-85D7-C8466F5894EE}"/>
    <w:embedBold r:id="rId9" w:fontKey="{19C021F7-72F3-4473-80A4-B1E7D73B398C}"/>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10" w:fontKey="{D1574D57-D12C-4D23-BD5B-8AA0F159E1FC}"/>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1" w:fontKey="{E2B17526-6E38-48BF-8025-F5CC34D0B280}"/>
  </w:font>
  <w:font w:name="Aptos">
    <w:charset w:val="00"/>
    <w:family w:val="swiss"/>
    <w:pitch w:val="variable"/>
    <w:sig w:usb0="20000287" w:usb1="00000003" w:usb2="00000000" w:usb3="00000000" w:csb0="0000019F" w:csb1="00000000"/>
    <w:embedRegular r:id="rId12" w:fontKey="{1995E513-6D39-4F44-92D6-555D5B3A97F1}"/>
    <w:embedBold r:id="rId13" w:fontKey="{2BFBD293-D0BA-4051-B922-95C65D1760C8}"/>
    <w:embedItalic r:id="rId14" w:fontKey="{1B6B8716-C361-4F4F-A96D-9CA26D0C50B1}"/>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0"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6" w15:restartNumberingAfterBreak="0">
    <w:nsid w:val="65B10677"/>
    <w:multiLevelType w:val="multilevel"/>
    <w:tmpl w:val="AF6C6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2085AC5"/>
    <w:multiLevelType w:val="multilevel"/>
    <w:tmpl w:val="07827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21856486">
    <w:abstractNumId w:val="16"/>
  </w:num>
  <w:num w:numId="2" w16cid:durableId="1387609906">
    <w:abstractNumId w:val="17"/>
  </w:num>
  <w:num w:numId="3" w16cid:durableId="512497296">
    <w:abstractNumId w:val="18"/>
  </w:num>
  <w:num w:numId="4" w16cid:durableId="1730574350">
    <w:abstractNumId w:val="3"/>
  </w:num>
  <w:num w:numId="5" w16cid:durableId="264657427">
    <w:abstractNumId w:val="0"/>
  </w:num>
  <w:num w:numId="6" w16cid:durableId="1399671067">
    <w:abstractNumId w:val="4"/>
  </w:num>
  <w:num w:numId="7" w16cid:durableId="1604025277">
    <w:abstractNumId w:val="9"/>
  </w:num>
  <w:num w:numId="8" w16cid:durableId="1253124087">
    <w:abstractNumId w:val="7"/>
  </w:num>
  <w:num w:numId="9" w16cid:durableId="1655912333">
    <w:abstractNumId w:val="11"/>
  </w:num>
  <w:num w:numId="10" w16cid:durableId="722173098">
    <w:abstractNumId w:val="6"/>
  </w:num>
  <w:num w:numId="11" w16cid:durableId="1279526178">
    <w:abstractNumId w:val="2"/>
  </w:num>
  <w:num w:numId="12" w16cid:durableId="696858381">
    <w:abstractNumId w:val="10"/>
  </w:num>
  <w:num w:numId="13" w16cid:durableId="984697512">
    <w:abstractNumId w:val="1"/>
  </w:num>
  <w:num w:numId="14" w16cid:durableId="1314287334">
    <w:abstractNumId w:val="5"/>
  </w:num>
  <w:num w:numId="15" w16cid:durableId="529880452">
    <w:abstractNumId w:val="8"/>
  </w:num>
  <w:num w:numId="16" w16cid:durableId="957100090">
    <w:abstractNumId w:val="14"/>
  </w:num>
  <w:num w:numId="17" w16cid:durableId="500195562">
    <w:abstractNumId w:val="12"/>
  </w:num>
  <w:num w:numId="18" w16cid:durableId="427190788">
    <w:abstractNumId w:val="15"/>
  </w:num>
  <w:num w:numId="19" w16cid:durableId="1438672060">
    <w:abstractNumId w:val="13"/>
  </w:num>
  <w:num w:numId="20" w16cid:durableId="1574003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7720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03453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linkStyles/>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3C8"/>
    <w:rsid w:val="002533C8"/>
    <w:rsid w:val="00314B7A"/>
    <w:rsid w:val="00317D6F"/>
    <w:rsid w:val="00522059"/>
    <w:rsid w:val="00712050"/>
    <w:rsid w:val="008C4858"/>
    <w:rsid w:val="00A559C5"/>
    <w:rsid w:val="00ED1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EF73"/>
  <w15:docId w15:val="{755E8B77-FD47-4152-BB88-1F0B3F11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050"/>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317D6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317D6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317D6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317D6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317D6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31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31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31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31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7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7D6F"/>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17D6F"/>
    <w:pPr>
      <w:spacing w:after="80" w:line="240" w:lineRule="auto"/>
      <w:contextualSpacing/>
    </w:pPr>
    <w:rPr>
      <w:rFonts w:asciiTheme="majorHAnsi" w:eastAsiaTheme="majorEastAsia" w:hAnsiTheme="majorHAnsi" w:cstheme="majorBidi"/>
      <w:spacing w:val="-10"/>
      <w:kern w:val="28"/>
      <w:sz w:val="56"/>
      <w:szCs w:val="56"/>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17D6F"/>
    <w:pPr>
      <w:ind w:left="720"/>
      <w:contextualSpacing/>
    </w:pPr>
  </w:style>
  <w:style w:type="paragraph" w:customStyle="1" w:styleId="Caption1">
    <w:name w:val="Caption1"/>
    <w:basedOn w:val="Normal"/>
    <w:rPr>
      <w:rFonts w:ascii="Arial" w:hAnsi="Arial"/>
      <w:i/>
      <w:color w:val="595959"/>
      <w:sz w:val="16"/>
    </w:rPr>
  </w:style>
  <w:style w:type="paragraph" w:styleId="Subtitle">
    <w:name w:val="Subtitle"/>
    <w:basedOn w:val="Normal"/>
    <w:next w:val="Normal"/>
    <w:link w:val="SubtitleChar"/>
    <w:uiPriority w:val="11"/>
    <w:qFormat/>
    <w:rsid w:val="00317D6F"/>
    <w:pPr>
      <w:numPr>
        <w:ilvl w:val="1"/>
      </w:numPr>
    </w:pPr>
    <w:rPr>
      <w:rFonts w:eastAsiaTheme="majorEastAsia" w:cstheme="majorBidi"/>
      <w:color w:val="595959" w:themeColor="text1" w:themeTint="A6"/>
      <w:spacing w:val="15"/>
      <w:sz w:val="28"/>
      <w:szCs w:val="2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uiPriority w:val="9"/>
    <w:rsid w:val="00317D6F"/>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rsid w:val="00317D6F"/>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rsid w:val="00317D6F"/>
    <w:rPr>
      <w:rFonts w:asciiTheme="minorHAnsi" w:eastAsiaTheme="majorEastAsia" w:hAnsiTheme="minorHAnsi" w:cstheme="majorBidi"/>
      <w:color w:val="272727" w:themeColor="text1" w:themeTint="D8"/>
      <w:kern w:val="2"/>
      <w:sz w:val="24"/>
      <w:szCs w:val="24"/>
      <w14:ligatures w14:val="standardContextual"/>
    </w:rPr>
  </w:style>
  <w:style w:type="paragraph" w:customStyle="1" w:styleId="BM-BookCover">
    <w:name w:val="BM - BookCover"/>
    <w:basedOn w:val="Normal"/>
    <w:rsid w:val="00317D6F"/>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317D6F"/>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317D6F"/>
    <w:pPr>
      <w:spacing w:after="120" w:line="276" w:lineRule="auto"/>
      <w:jc w:val="both"/>
    </w:pPr>
    <w:rPr>
      <w:rFonts w:ascii="Crimson Pro" w:hAnsi="Crimson Pro"/>
      <w:sz w:val="21"/>
      <w:szCs w:val="24"/>
    </w:rPr>
  </w:style>
  <w:style w:type="paragraph" w:customStyle="1" w:styleId="C-Comment">
    <w:name w:val="C - Comment"/>
    <w:basedOn w:val="P0-Paragraph"/>
    <w:next w:val="P0-Paragraph"/>
    <w:rsid w:val="00317D6F"/>
    <w:pPr>
      <w:spacing w:line="360" w:lineRule="auto"/>
    </w:pPr>
    <w:rPr>
      <w:rFonts w:ascii="Arial" w:hAnsi="Arial"/>
      <w:b/>
      <w:color w:val="FF0000"/>
      <w:sz w:val="28"/>
      <w:szCs w:val="28"/>
    </w:rPr>
  </w:style>
  <w:style w:type="paragraph" w:customStyle="1" w:styleId="C-Citation">
    <w:name w:val="C - Citation"/>
    <w:basedOn w:val="C-Comment"/>
    <w:qFormat/>
    <w:rsid w:val="00317D6F"/>
    <w:rPr>
      <w:color w:val="FFFF00"/>
      <w:sz w:val="20"/>
    </w:rPr>
  </w:style>
  <w:style w:type="paragraph" w:customStyle="1" w:styleId="C0-CodeBlock">
    <w:name w:val="C0 - CodeBlock"/>
    <w:basedOn w:val="Normal"/>
    <w:rsid w:val="00317D6F"/>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317D6F"/>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317D6F"/>
    <w:pPr>
      <w:ind w:left="907"/>
    </w:pPr>
  </w:style>
  <w:style w:type="paragraph" w:customStyle="1" w:styleId="C1-ConsoleBlock">
    <w:name w:val="C1 - ConsoleBlock"/>
    <w:basedOn w:val="C1-CodeBlock"/>
    <w:rsid w:val="00317D6F"/>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317D6F"/>
    <w:pPr>
      <w:ind w:left="1526"/>
    </w:pPr>
  </w:style>
  <w:style w:type="paragraph" w:customStyle="1" w:styleId="C2-ConsoleBlock">
    <w:name w:val="C2 - ConsoleBlock"/>
    <w:basedOn w:val="C0-ConsoleBlock"/>
    <w:rsid w:val="00317D6F"/>
    <w:pPr>
      <w:ind w:left="2074"/>
    </w:pPr>
  </w:style>
  <w:style w:type="character" w:customStyle="1" w:styleId="CS-BoldItalic">
    <w:name w:val="CS - BoldItalic"/>
    <w:basedOn w:val="DefaultParagraphFont"/>
    <w:rsid w:val="00317D6F"/>
    <w:rPr>
      <w:b/>
      <w:i/>
    </w:rPr>
  </w:style>
  <w:style w:type="character" w:customStyle="1" w:styleId="CS-HighlightedCode">
    <w:name w:val="CS - HighlightedCode"/>
    <w:qFormat/>
    <w:rsid w:val="00317D6F"/>
    <w:rPr>
      <w:rFonts w:ascii="Consolas" w:hAnsi="Consolas"/>
      <w:b/>
      <w:color w:val="747959"/>
      <w:sz w:val="19"/>
      <w:szCs w:val="18"/>
    </w:rPr>
  </w:style>
  <w:style w:type="character" w:customStyle="1" w:styleId="CS-InlineCode">
    <w:name w:val="CS - InlineCode"/>
    <w:rsid w:val="00317D6F"/>
    <w:rPr>
      <w:rFonts w:ascii="Consolas" w:hAnsi="Consolas"/>
      <w:color w:val="747959"/>
      <w:sz w:val="19"/>
      <w:szCs w:val="18"/>
    </w:rPr>
  </w:style>
  <w:style w:type="character" w:customStyle="1" w:styleId="CS-Italic">
    <w:name w:val="CS - Italic"/>
    <w:rsid w:val="00317D6F"/>
    <w:rPr>
      <w:i/>
      <w:color w:val="FF99CC"/>
    </w:rPr>
  </w:style>
  <w:style w:type="character" w:customStyle="1" w:styleId="CS-Keyword">
    <w:name w:val="CS - Keyword"/>
    <w:rsid w:val="00317D6F"/>
    <w:rPr>
      <w:b/>
    </w:rPr>
  </w:style>
  <w:style w:type="character" w:customStyle="1" w:styleId="CS-Screentext">
    <w:name w:val="CS - Screentext"/>
    <w:rsid w:val="00317D6F"/>
    <w:rPr>
      <w:b/>
      <w:color w:val="008000"/>
    </w:rPr>
  </w:style>
  <w:style w:type="character" w:customStyle="1" w:styleId="CS-Subscript">
    <w:name w:val="CS - Subscript"/>
    <w:basedOn w:val="DefaultParagraphFont"/>
    <w:rsid w:val="00317D6F"/>
    <w:rPr>
      <w:i w:val="0"/>
      <w:vertAlign w:val="subscript"/>
    </w:rPr>
  </w:style>
  <w:style w:type="character" w:customStyle="1" w:styleId="CS-SubscriptBold">
    <w:name w:val="CS - SubscriptBold"/>
    <w:basedOn w:val="DefaultParagraphFont"/>
    <w:rsid w:val="00317D6F"/>
    <w:rPr>
      <w:b/>
      <w:vertAlign w:val="subscript"/>
    </w:rPr>
  </w:style>
  <w:style w:type="character" w:customStyle="1" w:styleId="CS-SubscriptBoldItalic">
    <w:name w:val="CS - SubscriptBoldItalic"/>
    <w:basedOn w:val="DefaultParagraphFont"/>
    <w:rsid w:val="00317D6F"/>
    <w:rPr>
      <w:b/>
      <w:i/>
      <w:vertAlign w:val="subscript"/>
    </w:rPr>
  </w:style>
  <w:style w:type="character" w:customStyle="1" w:styleId="CS-SubscriptItalic">
    <w:name w:val="CS - SubscriptItalic"/>
    <w:basedOn w:val="DefaultParagraphFont"/>
    <w:rsid w:val="00317D6F"/>
    <w:rPr>
      <w:i/>
      <w:vertAlign w:val="subscript"/>
    </w:rPr>
  </w:style>
  <w:style w:type="character" w:customStyle="1" w:styleId="CS-Superscript">
    <w:name w:val="CS - Superscript"/>
    <w:basedOn w:val="DefaultParagraphFont"/>
    <w:rsid w:val="00317D6F"/>
    <w:rPr>
      <w:vertAlign w:val="superscript"/>
    </w:rPr>
  </w:style>
  <w:style w:type="character" w:customStyle="1" w:styleId="CS-SuperscriptBold">
    <w:name w:val="CS - SuperscriptBold"/>
    <w:basedOn w:val="DefaultParagraphFont"/>
    <w:rsid w:val="00317D6F"/>
    <w:rPr>
      <w:b/>
      <w:vertAlign w:val="superscript"/>
    </w:rPr>
  </w:style>
  <w:style w:type="character" w:customStyle="1" w:styleId="CS-SuperscriptBoldItalic">
    <w:name w:val="CS - SuperscriptBoldItalic"/>
    <w:basedOn w:val="DefaultParagraphFont"/>
    <w:rsid w:val="00317D6F"/>
    <w:rPr>
      <w:b/>
      <w:i/>
      <w:vertAlign w:val="superscript"/>
    </w:rPr>
  </w:style>
  <w:style w:type="character" w:customStyle="1" w:styleId="CS-SuperscriptItalic">
    <w:name w:val="CS - SuperscriptItalic"/>
    <w:basedOn w:val="DefaultParagraphFont"/>
    <w:rsid w:val="00317D6F"/>
    <w:rPr>
      <w:i/>
      <w:vertAlign w:val="superscript"/>
    </w:rPr>
  </w:style>
  <w:style w:type="character" w:customStyle="1" w:styleId="CS-URL">
    <w:name w:val="CS - URL"/>
    <w:rsid w:val="00317D6F"/>
    <w:rPr>
      <w:rFonts w:ascii="Consolas" w:hAnsi="Consolas"/>
      <w:color w:val="0000FF"/>
      <w:sz w:val="19"/>
      <w:szCs w:val="18"/>
    </w:rPr>
  </w:style>
  <w:style w:type="paragraph" w:customStyle="1" w:styleId="F0-Figure">
    <w:name w:val="F0 - Figure"/>
    <w:basedOn w:val="P0-Paragraph"/>
    <w:next w:val="Normal"/>
    <w:rsid w:val="00317D6F"/>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317D6F"/>
    <w:pPr>
      <w:ind w:left="630" w:right="630"/>
    </w:pPr>
  </w:style>
  <w:style w:type="paragraph" w:customStyle="1" w:styleId="F1-Figure">
    <w:name w:val="F1 - Figure"/>
    <w:basedOn w:val="F0-Figure"/>
    <w:next w:val="F0-FigureCaption"/>
    <w:qFormat/>
    <w:rsid w:val="00317D6F"/>
    <w:pPr>
      <w:ind w:left="630"/>
    </w:pPr>
  </w:style>
  <w:style w:type="paragraph" w:customStyle="1" w:styleId="F1-FigureCaption">
    <w:name w:val="F1 - FigureCaption"/>
    <w:basedOn w:val="F0-FigureCaption"/>
    <w:rsid w:val="00317D6F"/>
    <w:pPr>
      <w:ind w:left="1260"/>
    </w:pPr>
  </w:style>
  <w:style w:type="paragraph" w:customStyle="1" w:styleId="F2-Figure">
    <w:name w:val="F2 - Figure"/>
    <w:basedOn w:val="F0-Figure"/>
    <w:rsid w:val="00317D6F"/>
    <w:pPr>
      <w:ind w:left="1260"/>
    </w:pPr>
  </w:style>
  <w:style w:type="paragraph" w:customStyle="1" w:styleId="F2-FigureCaption">
    <w:name w:val="F2 - FigureCaption"/>
    <w:basedOn w:val="F0-FigureCaption"/>
    <w:rsid w:val="00317D6F"/>
    <w:pPr>
      <w:ind w:left="1890"/>
    </w:pPr>
  </w:style>
  <w:style w:type="paragraph" w:customStyle="1" w:styleId="FM-Acknowledgement">
    <w:name w:val="FM - Acknowledgement"/>
    <w:basedOn w:val="Normal"/>
    <w:rsid w:val="00317D6F"/>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317D6F"/>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317D6F"/>
    <w:rPr>
      <w:b/>
      <w:sz w:val="28"/>
    </w:rPr>
  </w:style>
  <w:style w:type="character" w:customStyle="1" w:styleId="FM-AuthorNameinBio">
    <w:name w:val="FM - AuthorNameinBio"/>
    <w:uiPriority w:val="1"/>
    <w:rsid w:val="00317D6F"/>
    <w:rPr>
      <w:b/>
      <w:color w:val="FF0000"/>
      <w:sz w:val="24"/>
    </w:rPr>
  </w:style>
  <w:style w:type="paragraph" w:customStyle="1" w:styleId="FM-BookEdition">
    <w:name w:val="FM - BookEdition"/>
    <w:basedOn w:val="FM-BookTitle"/>
    <w:rsid w:val="00317D6F"/>
    <w:rPr>
      <w:sz w:val="28"/>
    </w:rPr>
  </w:style>
  <w:style w:type="paragraph" w:customStyle="1" w:styleId="FM-CopyrightPageBookEdition">
    <w:name w:val="FM - CopyrightPageBookEdition"/>
    <w:basedOn w:val="FM-BookTitle"/>
    <w:rsid w:val="00317D6F"/>
    <w:pPr>
      <w:spacing w:before="0"/>
    </w:pPr>
    <w:rPr>
      <w:sz w:val="26"/>
    </w:rPr>
  </w:style>
  <w:style w:type="paragraph" w:customStyle="1" w:styleId="FM-CopyrightPageBookTitle">
    <w:name w:val="FM - CopyrightPageBookTitle"/>
    <w:basedOn w:val="FM-BookTitle"/>
    <w:rsid w:val="00317D6F"/>
    <w:rPr>
      <w:sz w:val="32"/>
    </w:rPr>
  </w:style>
  <w:style w:type="paragraph" w:customStyle="1" w:styleId="FM-CopyrightPageText">
    <w:name w:val="FM - CopyrightPageText"/>
    <w:basedOn w:val="Normal"/>
    <w:rsid w:val="00317D6F"/>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317D6F"/>
    <w:pPr>
      <w:spacing w:after="80"/>
    </w:pPr>
  </w:style>
  <w:style w:type="paragraph" w:customStyle="1" w:styleId="FM-Subtitle">
    <w:name w:val="FM - Subtitle"/>
    <w:basedOn w:val="FM-BookTitle"/>
    <w:rsid w:val="00317D6F"/>
    <w:rPr>
      <w:sz w:val="32"/>
    </w:rPr>
  </w:style>
  <w:style w:type="paragraph" w:customStyle="1" w:styleId="FM-TitlePageLogo">
    <w:name w:val="FM - TitlePageLogo"/>
    <w:basedOn w:val="FM-BookTitle"/>
    <w:rsid w:val="00317D6F"/>
    <w:rPr>
      <w:noProof/>
      <w:sz w:val="22"/>
    </w:rPr>
  </w:style>
  <w:style w:type="paragraph" w:customStyle="1" w:styleId="FM-TitlePageLogoFooter">
    <w:name w:val="FM - TitlePageLogoFooter"/>
    <w:basedOn w:val="FM-BookTitle"/>
    <w:rsid w:val="00317D6F"/>
    <w:rPr>
      <w:sz w:val="22"/>
    </w:rPr>
  </w:style>
  <w:style w:type="paragraph" w:customStyle="1" w:styleId="hljs">
    <w:name w:val="hljs"/>
    <w:basedOn w:val="Normal"/>
    <w:uiPriority w:val="1"/>
    <w:unhideWhenUsed/>
    <w:rsid w:val="00317D6F"/>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317D6F"/>
    <w:rPr>
      <w:color w:val="50A14F"/>
    </w:rPr>
  </w:style>
  <w:style w:type="character" w:customStyle="1" w:styleId="hljs-addition-slc">
    <w:name w:val="hljs-addition-slc"/>
    <w:basedOn w:val="hljs-addition"/>
    <w:uiPriority w:val="1"/>
    <w:unhideWhenUsed/>
    <w:rsid w:val="00317D6F"/>
    <w:rPr>
      <w:b/>
      <w:bCs/>
      <w:color w:val="50A14F"/>
      <w:sz w:val="20"/>
      <w:shd w:val="clear" w:color="auto" w:fill="D4D4D4"/>
    </w:rPr>
  </w:style>
  <w:style w:type="character" w:customStyle="1" w:styleId="hljs-attr">
    <w:name w:val="hljs-attr"/>
    <w:basedOn w:val="DefaultParagraphFont"/>
    <w:uiPriority w:val="1"/>
    <w:unhideWhenUsed/>
    <w:rsid w:val="00317D6F"/>
    <w:rPr>
      <w:color w:val="986801"/>
    </w:rPr>
  </w:style>
  <w:style w:type="character" w:customStyle="1" w:styleId="hljs-attribute">
    <w:name w:val="hljs-attribute"/>
    <w:basedOn w:val="DefaultParagraphFont"/>
    <w:uiPriority w:val="1"/>
    <w:unhideWhenUsed/>
    <w:rsid w:val="00317D6F"/>
    <w:rPr>
      <w:color w:val="50A14F"/>
    </w:rPr>
  </w:style>
  <w:style w:type="character" w:customStyle="1" w:styleId="hljs-attribute-slc">
    <w:name w:val="hljs-attribute-slc"/>
    <w:basedOn w:val="hljs-attribute"/>
    <w:uiPriority w:val="1"/>
    <w:unhideWhenUsed/>
    <w:rsid w:val="00317D6F"/>
    <w:rPr>
      <w:b/>
      <w:bCs/>
      <w:color w:val="50A14F"/>
      <w:sz w:val="20"/>
      <w:shd w:val="clear" w:color="auto" w:fill="D4D4D4"/>
    </w:rPr>
  </w:style>
  <w:style w:type="character" w:customStyle="1" w:styleId="hljs-attr-slc">
    <w:name w:val="hljs-attr-slc"/>
    <w:basedOn w:val="hljs-attr"/>
    <w:uiPriority w:val="1"/>
    <w:unhideWhenUsed/>
    <w:rsid w:val="00317D6F"/>
    <w:rPr>
      <w:b/>
      <w:bCs/>
      <w:color w:val="986801"/>
      <w:sz w:val="20"/>
      <w:shd w:val="clear" w:color="auto" w:fill="D4D4D4"/>
    </w:rPr>
  </w:style>
  <w:style w:type="character" w:customStyle="1" w:styleId="hljs-builtin">
    <w:name w:val="hljs-built_in"/>
    <w:basedOn w:val="DefaultParagraphFont"/>
    <w:unhideWhenUsed/>
    <w:rsid w:val="00317D6F"/>
    <w:rPr>
      <w:color w:val="C18401"/>
    </w:rPr>
  </w:style>
  <w:style w:type="character" w:customStyle="1" w:styleId="hljs-builtin-slc">
    <w:name w:val="hljs-built_in-slc"/>
    <w:basedOn w:val="hljs-builtin"/>
    <w:uiPriority w:val="1"/>
    <w:unhideWhenUsed/>
    <w:rsid w:val="00317D6F"/>
    <w:rPr>
      <w:b/>
      <w:bCs/>
      <w:color w:val="C18401"/>
      <w:sz w:val="20"/>
      <w:shd w:val="clear" w:color="auto" w:fill="D4D4D4"/>
    </w:rPr>
  </w:style>
  <w:style w:type="character" w:customStyle="1" w:styleId="hljs-builtin-name">
    <w:name w:val="hljs-builtin-name"/>
    <w:basedOn w:val="DefaultParagraphFont"/>
    <w:uiPriority w:val="1"/>
    <w:unhideWhenUsed/>
    <w:rsid w:val="00317D6F"/>
  </w:style>
  <w:style w:type="character" w:customStyle="1" w:styleId="hljs-builtin-name-slc">
    <w:name w:val="hljs-builtin-name-slc"/>
    <w:basedOn w:val="hljs-builtin-name"/>
    <w:uiPriority w:val="1"/>
    <w:unhideWhenUsed/>
    <w:rsid w:val="00317D6F"/>
    <w:rPr>
      <w:b/>
      <w:bCs/>
      <w:sz w:val="20"/>
      <w:shd w:val="clear" w:color="auto" w:fill="D4D4D4"/>
    </w:rPr>
  </w:style>
  <w:style w:type="character" w:customStyle="1" w:styleId="hljs-bullet">
    <w:name w:val="hljs-bullet"/>
    <w:basedOn w:val="DefaultParagraphFont"/>
    <w:uiPriority w:val="1"/>
    <w:unhideWhenUsed/>
    <w:rsid w:val="00317D6F"/>
    <w:rPr>
      <w:color w:val="4078F2"/>
    </w:rPr>
  </w:style>
  <w:style w:type="character" w:customStyle="1" w:styleId="hljs-bullet-slc">
    <w:name w:val="hljs-bullet-slc"/>
    <w:basedOn w:val="hljs-bullet"/>
    <w:uiPriority w:val="1"/>
    <w:unhideWhenUsed/>
    <w:rsid w:val="00317D6F"/>
    <w:rPr>
      <w:b/>
      <w:bCs/>
      <w:color w:val="4078F2"/>
      <w:sz w:val="20"/>
      <w:shd w:val="clear" w:color="auto" w:fill="D4D4D4"/>
    </w:rPr>
  </w:style>
  <w:style w:type="character" w:customStyle="1" w:styleId="hljs-class">
    <w:name w:val="hljs-class"/>
    <w:basedOn w:val="DefaultParagraphFont"/>
    <w:uiPriority w:val="1"/>
    <w:unhideWhenUsed/>
    <w:rsid w:val="00317D6F"/>
  </w:style>
  <w:style w:type="character" w:customStyle="1" w:styleId="hljs-class-slc">
    <w:name w:val="hljs-class-slc"/>
    <w:basedOn w:val="hljs-class"/>
    <w:uiPriority w:val="1"/>
    <w:unhideWhenUsed/>
    <w:rsid w:val="00317D6F"/>
    <w:rPr>
      <w:b/>
      <w:bCs/>
      <w:sz w:val="20"/>
      <w:shd w:val="clear" w:color="auto" w:fill="D4D4D4"/>
    </w:rPr>
  </w:style>
  <w:style w:type="character" w:customStyle="1" w:styleId="hljs-code">
    <w:name w:val="hljs-code"/>
    <w:basedOn w:val="DefaultParagraphFont"/>
    <w:uiPriority w:val="1"/>
    <w:unhideWhenUsed/>
    <w:rsid w:val="00317D6F"/>
  </w:style>
  <w:style w:type="character" w:customStyle="1" w:styleId="hljs-code-slc">
    <w:name w:val="hljs-code-slc"/>
    <w:basedOn w:val="hljs-code"/>
    <w:uiPriority w:val="1"/>
    <w:unhideWhenUsed/>
    <w:rsid w:val="00317D6F"/>
    <w:rPr>
      <w:b/>
      <w:bCs/>
      <w:sz w:val="20"/>
      <w:shd w:val="clear" w:color="auto" w:fill="D4D4D4"/>
    </w:rPr>
  </w:style>
  <w:style w:type="character" w:customStyle="1" w:styleId="hljs-comment">
    <w:name w:val="hljs-comment"/>
    <w:basedOn w:val="DefaultParagraphFont"/>
    <w:uiPriority w:val="1"/>
    <w:unhideWhenUsed/>
    <w:rsid w:val="00317D6F"/>
    <w:rPr>
      <w:i/>
      <w:iCs/>
      <w:color w:val="A0A1A7"/>
    </w:rPr>
  </w:style>
  <w:style w:type="character" w:customStyle="1" w:styleId="hljs-comment-slc">
    <w:name w:val="hljs-comment-slc"/>
    <w:basedOn w:val="hljs-comment"/>
    <w:uiPriority w:val="1"/>
    <w:unhideWhenUsed/>
    <w:rsid w:val="00317D6F"/>
    <w:rPr>
      <w:b/>
      <w:bCs/>
      <w:i/>
      <w:iCs/>
      <w:color w:val="A0A1A7"/>
      <w:sz w:val="20"/>
      <w:shd w:val="clear" w:color="auto" w:fill="D4D4D4"/>
    </w:rPr>
  </w:style>
  <w:style w:type="paragraph" w:customStyle="1" w:styleId="hljs-con">
    <w:name w:val="hljs-con"/>
    <w:basedOn w:val="Normal"/>
    <w:uiPriority w:val="1"/>
    <w:unhideWhenUsed/>
    <w:rsid w:val="00317D6F"/>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317D6F"/>
    <w:rPr>
      <w:color w:val="F1FA8C"/>
    </w:rPr>
  </w:style>
  <w:style w:type="character" w:customStyle="1" w:styleId="hljs-con-addition-slc">
    <w:name w:val="hljs-con-addition-slc"/>
    <w:basedOn w:val="DefaultParagraphFont"/>
    <w:uiPriority w:val="1"/>
    <w:unhideWhenUsed/>
    <w:rsid w:val="00317D6F"/>
    <w:rPr>
      <w:b/>
      <w:bCs/>
      <w:color w:val="F1FA8C"/>
      <w:shd w:val="clear" w:color="auto" w:fill="44475A"/>
    </w:rPr>
  </w:style>
  <w:style w:type="character" w:customStyle="1" w:styleId="hljs-con-attr">
    <w:name w:val="hljs-con-attr"/>
    <w:basedOn w:val="DefaultParagraphFont"/>
    <w:uiPriority w:val="1"/>
    <w:unhideWhenUsed/>
    <w:rsid w:val="00317D6F"/>
    <w:rPr>
      <w:color w:val="F1FA8C"/>
    </w:rPr>
  </w:style>
  <w:style w:type="character" w:customStyle="1" w:styleId="hljs-con-attribute">
    <w:name w:val="hljs-con-attribute"/>
    <w:basedOn w:val="DefaultParagraphFont"/>
    <w:uiPriority w:val="1"/>
    <w:unhideWhenUsed/>
    <w:rsid w:val="00317D6F"/>
    <w:rPr>
      <w:color w:val="F8F8F2"/>
      <w:shd w:val="clear" w:color="auto" w:fill="282A36"/>
    </w:rPr>
  </w:style>
  <w:style w:type="character" w:customStyle="1" w:styleId="Heading1Char">
    <w:name w:val="Heading 1 Char"/>
    <w:basedOn w:val="DefaultParagraphFont"/>
    <w:link w:val="Heading1"/>
    <w:uiPriority w:val="9"/>
    <w:rsid w:val="00317D6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317D6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317D6F"/>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317D6F"/>
    <w:rPr>
      <w:rFonts w:asciiTheme="minorHAnsi" w:eastAsiaTheme="majorEastAsia" w:hAnsiTheme="minorHAnsi"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317D6F"/>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317D6F"/>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ljs-con-attribute-slc">
    <w:name w:val="hljs-con-attribute-slc"/>
    <w:basedOn w:val="DefaultParagraphFont"/>
    <w:uiPriority w:val="1"/>
    <w:unhideWhenUsed/>
    <w:rsid w:val="00317D6F"/>
    <w:rPr>
      <w:b/>
      <w:bCs/>
      <w:color w:val="F8F8F2"/>
      <w:shd w:val="clear" w:color="auto" w:fill="44475A"/>
    </w:rPr>
  </w:style>
  <w:style w:type="character" w:customStyle="1" w:styleId="hljs-con-attr-slc">
    <w:name w:val="hljs-con-attr-slc"/>
    <w:basedOn w:val="DefaultParagraphFont"/>
    <w:uiPriority w:val="1"/>
    <w:unhideWhenUsed/>
    <w:rsid w:val="00317D6F"/>
    <w:rPr>
      <w:b/>
      <w:bCs/>
      <w:color w:val="F1FA8C"/>
      <w:shd w:val="clear" w:color="auto" w:fill="44475A"/>
    </w:rPr>
  </w:style>
  <w:style w:type="character" w:customStyle="1" w:styleId="hljs-con-builtin">
    <w:name w:val="hljs-con-built_in"/>
    <w:basedOn w:val="DefaultParagraphFont"/>
    <w:uiPriority w:val="1"/>
    <w:unhideWhenUsed/>
    <w:rsid w:val="00317D6F"/>
    <w:rPr>
      <w:color w:val="8BE9FD"/>
    </w:rPr>
  </w:style>
  <w:style w:type="character" w:customStyle="1" w:styleId="hljs-con-builtin-slc">
    <w:name w:val="hljs-con-built_in-slc"/>
    <w:basedOn w:val="DefaultParagraphFont"/>
    <w:uiPriority w:val="1"/>
    <w:unhideWhenUsed/>
    <w:rsid w:val="00317D6F"/>
    <w:rPr>
      <w:b/>
      <w:bCs/>
      <w:color w:val="8BE9FD"/>
      <w:shd w:val="clear" w:color="auto" w:fill="44475A"/>
    </w:rPr>
  </w:style>
  <w:style w:type="character" w:customStyle="1" w:styleId="hljs-con-builtin-name">
    <w:name w:val="hljs-con-builtin-name"/>
    <w:basedOn w:val="DefaultParagraphFont"/>
    <w:uiPriority w:val="1"/>
    <w:unhideWhenUsed/>
    <w:rsid w:val="00317D6F"/>
    <w:rPr>
      <w:color w:val="F8F8F2"/>
      <w:shd w:val="clear" w:color="auto" w:fill="282A36"/>
    </w:rPr>
  </w:style>
  <w:style w:type="character" w:customStyle="1" w:styleId="hljs-con-builtin-name-slc">
    <w:name w:val="hljs-con-builtin-name-slc"/>
    <w:basedOn w:val="DefaultParagraphFont"/>
    <w:uiPriority w:val="1"/>
    <w:unhideWhenUsed/>
    <w:rsid w:val="00317D6F"/>
    <w:rPr>
      <w:b/>
      <w:bCs/>
      <w:color w:val="F8F8F2"/>
      <w:shd w:val="clear" w:color="auto" w:fill="44475A"/>
    </w:rPr>
  </w:style>
  <w:style w:type="character" w:customStyle="1" w:styleId="hljs-con-bullet">
    <w:name w:val="hljs-con-bullet"/>
    <w:basedOn w:val="DefaultParagraphFont"/>
    <w:uiPriority w:val="1"/>
    <w:unhideWhenUsed/>
    <w:rsid w:val="00317D6F"/>
    <w:rPr>
      <w:color w:val="F1FA8C"/>
    </w:rPr>
  </w:style>
  <w:style w:type="character" w:customStyle="1" w:styleId="hljs-con-bullet-slc">
    <w:name w:val="hljs-con-bullet-slc"/>
    <w:basedOn w:val="DefaultParagraphFont"/>
    <w:uiPriority w:val="1"/>
    <w:unhideWhenUsed/>
    <w:rsid w:val="00317D6F"/>
    <w:rPr>
      <w:b/>
      <w:bCs/>
      <w:color w:val="F1FA8C"/>
      <w:shd w:val="clear" w:color="auto" w:fill="44475A"/>
    </w:rPr>
  </w:style>
  <w:style w:type="character" w:customStyle="1" w:styleId="hljs-con-class">
    <w:name w:val="hljs-con-class"/>
    <w:basedOn w:val="DefaultParagraphFont"/>
    <w:uiPriority w:val="1"/>
    <w:unhideWhenUsed/>
    <w:rsid w:val="00317D6F"/>
    <w:rPr>
      <w:color w:val="F8F8F2"/>
      <w:shd w:val="clear" w:color="auto" w:fill="282A36"/>
    </w:rPr>
  </w:style>
  <w:style w:type="character" w:customStyle="1" w:styleId="hljs-con-class-slc">
    <w:name w:val="hljs-con-class-slc"/>
    <w:basedOn w:val="DefaultParagraphFont"/>
    <w:uiPriority w:val="1"/>
    <w:unhideWhenUsed/>
    <w:rsid w:val="00317D6F"/>
    <w:rPr>
      <w:b/>
      <w:bCs/>
      <w:color w:val="F8F8F2"/>
      <w:shd w:val="clear" w:color="auto" w:fill="44475A"/>
    </w:rPr>
  </w:style>
  <w:style w:type="character" w:customStyle="1" w:styleId="hljs-con-code">
    <w:name w:val="hljs-con-code"/>
    <w:basedOn w:val="DefaultParagraphFont"/>
    <w:uiPriority w:val="1"/>
    <w:unhideWhenUsed/>
    <w:rsid w:val="00317D6F"/>
    <w:rPr>
      <w:color w:val="F8F8F2"/>
      <w:shd w:val="clear" w:color="auto" w:fill="282A36"/>
    </w:rPr>
  </w:style>
  <w:style w:type="character" w:customStyle="1" w:styleId="hljs-con-code-slc">
    <w:name w:val="hljs-con-code-slc"/>
    <w:basedOn w:val="DefaultParagraphFont"/>
    <w:uiPriority w:val="1"/>
    <w:unhideWhenUsed/>
    <w:rsid w:val="00317D6F"/>
    <w:rPr>
      <w:b/>
      <w:bCs/>
      <w:color w:val="F8F8F2"/>
      <w:shd w:val="clear" w:color="auto" w:fill="44475A"/>
    </w:rPr>
  </w:style>
  <w:style w:type="character" w:customStyle="1" w:styleId="hljs-con-comment">
    <w:name w:val="hljs-con-comment"/>
    <w:basedOn w:val="DefaultParagraphFont"/>
    <w:uiPriority w:val="1"/>
    <w:unhideWhenUsed/>
    <w:rsid w:val="00317D6F"/>
    <w:rPr>
      <w:color w:val="6272A4"/>
    </w:rPr>
  </w:style>
  <w:style w:type="character" w:customStyle="1" w:styleId="hljs-con-comment-slc">
    <w:name w:val="hljs-con-comment-slc"/>
    <w:basedOn w:val="DefaultParagraphFont"/>
    <w:uiPriority w:val="1"/>
    <w:unhideWhenUsed/>
    <w:rsid w:val="00317D6F"/>
    <w:rPr>
      <w:b/>
      <w:bCs/>
      <w:color w:val="6272A4"/>
      <w:shd w:val="clear" w:color="auto" w:fill="44475A"/>
    </w:rPr>
  </w:style>
  <w:style w:type="character" w:customStyle="1" w:styleId="hljs-con-constructor">
    <w:name w:val="hljs-con-constructor"/>
    <w:basedOn w:val="DefaultParagraphFont"/>
    <w:uiPriority w:val="1"/>
    <w:unhideWhenUsed/>
    <w:rsid w:val="00317D6F"/>
    <w:rPr>
      <w:color w:val="F8F8F2"/>
      <w:shd w:val="clear" w:color="auto" w:fill="282A36"/>
    </w:rPr>
  </w:style>
  <w:style w:type="character" w:customStyle="1" w:styleId="hljs-con-constructor-slc">
    <w:name w:val="hljs-con-constructor-slc"/>
    <w:basedOn w:val="DefaultParagraphFont"/>
    <w:uiPriority w:val="1"/>
    <w:unhideWhenUsed/>
    <w:rsid w:val="00317D6F"/>
    <w:rPr>
      <w:b/>
      <w:bCs/>
      <w:color w:val="F8F8F2"/>
      <w:shd w:val="clear" w:color="auto" w:fill="44475A"/>
    </w:rPr>
  </w:style>
  <w:style w:type="character" w:customStyle="1" w:styleId="hljs-con-deletion">
    <w:name w:val="hljs-con-deletion"/>
    <w:basedOn w:val="DefaultParagraphFont"/>
    <w:uiPriority w:val="1"/>
    <w:unhideWhenUsed/>
    <w:rsid w:val="00317D6F"/>
    <w:rPr>
      <w:color w:val="6272A4"/>
    </w:rPr>
  </w:style>
  <w:style w:type="character" w:customStyle="1" w:styleId="hljs-con-deletion-slc">
    <w:name w:val="hljs-con-deletion-slc"/>
    <w:basedOn w:val="DefaultParagraphFont"/>
    <w:uiPriority w:val="1"/>
    <w:unhideWhenUsed/>
    <w:rsid w:val="00317D6F"/>
    <w:rPr>
      <w:b/>
      <w:bCs/>
      <w:color w:val="6272A4"/>
      <w:shd w:val="clear" w:color="auto" w:fill="44475A"/>
    </w:rPr>
  </w:style>
  <w:style w:type="character" w:customStyle="1" w:styleId="hljs-con-doctag">
    <w:name w:val="hljs-con-doctag"/>
    <w:basedOn w:val="DefaultParagraphFont"/>
    <w:uiPriority w:val="1"/>
    <w:unhideWhenUsed/>
    <w:rsid w:val="00317D6F"/>
    <w:rPr>
      <w:b/>
      <w:bCs/>
    </w:rPr>
  </w:style>
  <w:style w:type="character" w:customStyle="1" w:styleId="hljs-con-doctag-slc">
    <w:name w:val="hljs-con-doctag-slc"/>
    <w:basedOn w:val="DefaultParagraphFont"/>
    <w:uiPriority w:val="1"/>
    <w:unhideWhenUsed/>
    <w:rsid w:val="00317D6F"/>
    <w:rPr>
      <w:b/>
      <w:bCs/>
      <w:shd w:val="clear" w:color="auto" w:fill="44475A"/>
    </w:rPr>
  </w:style>
  <w:style w:type="character" w:customStyle="1" w:styleId="hljs-con-emphasis">
    <w:name w:val="hljs-con-emphasis"/>
    <w:basedOn w:val="DefaultParagraphFont"/>
    <w:uiPriority w:val="1"/>
    <w:unhideWhenUsed/>
    <w:rsid w:val="00317D6F"/>
    <w:rPr>
      <w:i/>
      <w:iCs/>
    </w:rPr>
  </w:style>
  <w:style w:type="character" w:customStyle="1" w:styleId="hljs-con-emphasis-slc">
    <w:name w:val="hljs-con-emphasis-slc"/>
    <w:basedOn w:val="DefaultParagraphFont"/>
    <w:uiPriority w:val="1"/>
    <w:unhideWhenUsed/>
    <w:rsid w:val="00317D6F"/>
    <w:rPr>
      <w:b/>
      <w:bCs/>
      <w:i/>
      <w:iCs/>
      <w:shd w:val="clear" w:color="auto" w:fill="44475A"/>
    </w:rPr>
  </w:style>
  <w:style w:type="character" w:customStyle="1" w:styleId="hljs-con-formula">
    <w:name w:val="hljs-con-formula"/>
    <w:basedOn w:val="DefaultParagraphFont"/>
    <w:uiPriority w:val="1"/>
    <w:unhideWhenUsed/>
    <w:rsid w:val="00317D6F"/>
    <w:rPr>
      <w:color w:val="F8F8F2"/>
      <w:shd w:val="clear" w:color="auto" w:fill="282A36"/>
    </w:rPr>
  </w:style>
  <w:style w:type="character" w:customStyle="1" w:styleId="hljs-con-formula-slc">
    <w:name w:val="hljs-con-formula-slc"/>
    <w:basedOn w:val="DefaultParagraphFont"/>
    <w:uiPriority w:val="1"/>
    <w:unhideWhenUsed/>
    <w:rsid w:val="00317D6F"/>
    <w:rPr>
      <w:b/>
      <w:bCs/>
      <w:color w:val="F8F8F2"/>
      <w:shd w:val="clear" w:color="auto" w:fill="44475A"/>
    </w:rPr>
  </w:style>
  <w:style w:type="character" w:customStyle="1" w:styleId="hljs-con-function">
    <w:name w:val="hljs-con-function"/>
    <w:basedOn w:val="DefaultParagraphFont"/>
    <w:uiPriority w:val="1"/>
    <w:unhideWhenUsed/>
    <w:rsid w:val="00317D6F"/>
    <w:rPr>
      <w:color w:val="F8F8F2"/>
      <w:shd w:val="clear" w:color="auto" w:fill="282A36"/>
    </w:rPr>
  </w:style>
  <w:style w:type="character" w:customStyle="1" w:styleId="hljs-con-function-slc">
    <w:name w:val="hljs-con-function-slc"/>
    <w:basedOn w:val="DefaultParagraphFont"/>
    <w:uiPriority w:val="1"/>
    <w:unhideWhenUsed/>
    <w:rsid w:val="00317D6F"/>
    <w:rPr>
      <w:b/>
      <w:bCs/>
      <w:color w:val="F8F8F2"/>
      <w:shd w:val="clear" w:color="auto" w:fill="44475A"/>
    </w:rPr>
  </w:style>
  <w:style w:type="character" w:customStyle="1" w:styleId="hljs-con-keyword">
    <w:name w:val="hljs-con-keyword"/>
    <w:basedOn w:val="DefaultParagraphFont"/>
    <w:uiPriority w:val="1"/>
    <w:unhideWhenUsed/>
    <w:rsid w:val="00317D6F"/>
    <w:rPr>
      <w:b/>
      <w:bCs/>
      <w:color w:val="FF79C6"/>
    </w:rPr>
  </w:style>
  <w:style w:type="character" w:customStyle="1" w:styleId="hljs-con-keyword-slc">
    <w:name w:val="hljs-con-keyword-slc"/>
    <w:basedOn w:val="DefaultParagraphFont"/>
    <w:uiPriority w:val="1"/>
    <w:unhideWhenUsed/>
    <w:rsid w:val="00317D6F"/>
    <w:rPr>
      <w:b/>
      <w:bCs/>
      <w:color w:val="FF79C6"/>
      <w:shd w:val="clear" w:color="auto" w:fill="44475A"/>
    </w:rPr>
  </w:style>
  <w:style w:type="character" w:customStyle="1" w:styleId="hljs-con-link">
    <w:name w:val="hljs-con-link"/>
    <w:basedOn w:val="DefaultParagraphFont"/>
    <w:uiPriority w:val="1"/>
    <w:unhideWhenUsed/>
    <w:rsid w:val="00317D6F"/>
    <w:rPr>
      <w:color w:val="8BE9FD"/>
    </w:rPr>
  </w:style>
  <w:style w:type="character" w:customStyle="1" w:styleId="hljs-con-link-slc">
    <w:name w:val="hljs-con-link-slc"/>
    <w:basedOn w:val="DefaultParagraphFont"/>
    <w:uiPriority w:val="1"/>
    <w:unhideWhenUsed/>
    <w:rsid w:val="00317D6F"/>
    <w:rPr>
      <w:b/>
      <w:bCs/>
      <w:color w:val="8BE9FD"/>
      <w:shd w:val="clear" w:color="auto" w:fill="44475A"/>
    </w:rPr>
  </w:style>
  <w:style w:type="character" w:customStyle="1" w:styleId="hljs-con-literal">
    <w:name w:val="hljs-con-literal"/>
    <w:basedOn w:val="DefaultParagraphFont"/>
    <w:uiPriority w:val="1"/>
    <w:unhideWhenUsed/>
    <w:rsid w:val="00317D6F"/>
    <w:rPr>
      <w:b/>
      <w:bCs/>
      <w:color w:val="BD93F9"/>
    </w:rPr>
  </w:style>
  <w:style w:type="character" w:customStyle="1" w:styleId="hljs-con-literal-slc">
    <w:name w:val="hljs-con-literal-slc"/>
    <w:basedOn w:val="DefaultParagraphFont"/>
    <w:uiPriority w:val="1"/>
    <w:unhideWhenUsed/>
    <w:rsid w:val="00317D6F"/>
    <w:rPr>
      <w:b/>
      <w:bCs/>
      <w:color w:val="BD93F9"/>
      <w:shd w:val="clear" w:color="auto" w:fill="44475A"/>
    </w:rPr>
  </w:style>
  <w:style w:type="character" w:customStyle="1" w:styleId="hljs-con-meta">
    <w:name w:val="hljs-con-meta"/>
    <w:basedOn w:val="DefaultParagraphFont"/>
    <w:uiPriority w:val="1"/>
    <w:unhideWhenUsed/>
    <w:rsid w:val="00317D6F"/>
    <w:rPr>
      <w:b/>
      <w:color w:val="50FA7B"/>
    </w:rPr>
  </w:style>
  <w:style w:type="character" w:customStyle="1" w:styleId="hljs-con-meta-keyword">
    <w:name w:val="hljs-con-meta-keyword"/>
    <w:basedOn w:val="DefaultParagraphFont"/>
    <w:uiPriority w:val="1"/>
    <w:unhideWhenUsed/>
    <w:rsid w:val="00317D6F"/>
    <w:rPr>
      <w:color w:val="F8F8F2"/>
      <w:shd w:val="clear" w:color="auto" w:fill="282A36"/>
    </w:rPr>
  </w:style>
  <w:style w:type="character" w:customStyle="1" w:styleId="hljs-con-meta-keyword-slc">
    <w:name w:val="hljs-con-meta-keyword-slc"/>
    <w:basedOn w:val="DefaultParagraphFont"/>
    <w:uiPriority w:val="1"/>
    <w:unhideWhenUsed/>
    <w:rsid w:val="00317D6F"/>
    <w:rPr>
      <w:b/>
      <w:bCs/>
      <w:color w:val="F8F8F2"/>
      <w:shd w:val="clear" w:color="auto" w:fill="44475A"/>
    </w:rPr>
  </w:style>
  <w:style w:type="character" w:customStyle="1" w:styleId="hljs-con-meta-slc">
    <w:name w:val="hljs-con-meta-slc"/>
    <w:basedOn w:val="DefaultParagraphFont"/>
    <w:uiPriority w:val="1"/>
    <w:unhideWhenUsed/>
    <w:rsid w:val="00317D6F"/>
    <w:rPr>
      <w:b/>
      <w:bCs/>
      <w:color w:val="50FA7B"/>
      <w:shd w:val="clear" w:color="auto" w:fill="44475A"/>
    </w:rPr>
  </w:style>
  <w:style w:type="character" w:customStyle="1" w:styleId="hljs-con-meta-string">
    <w:name w:val="hljs-con-meta-string"/>
    <w:basedOn w:val="DefaultParagraphFont"/>
    <w:uiPriority w:val="1"/>
    <w:unhideWhenUsed/>
    <w:rsid w:val="00317D6F"/>
    <w:rPr>
      <w:color w:val="F8F8F2"/>
      <w:shd w:val="clear" w:color="auto" w:fill="282A36"/>
    </w:rPr>
  </w:style>
  <w:style w:type="character" w:customStyle="1" w:styleId="hljs-con-meta-string-slc">
    <w:name w:val="hljs-con-meta-string-slc"/>
    <w:basedOn w:val="DefaultParagraphFont"/>
    <w:uiPriority w:val="1"/>
    <w:unhideWhenUsed/>
    <w:rsid w:val="00317D6F"/>
    <w:rPr>
      <w:b/>
      <w:bCs/>
      <w:color w:val="F8F8F2"/>
      <w:shd w:val="clear" w:color="auto" w:fill="44475A"/>
    </w:rPr>
  </w:style>
  <w:style w:type="character" w:customStyle="1" w:styleId="hljs-con-module">
    <w:name w:val="hljs-con-module"/>
    <w:basedOn w:val="DefaultParagraphFont"/>
    <w:uiPriority w:val="1"/>
    <w:unhideWhenUsed/>
    <w:rsid w:val="00317D6F"/>
    <w:rPr>
      <w:color w:val="F8F8F2"/>
      <w:shd w:val="clear" w:color="auto" w:fill="282A36"/>
    </w:rPr>
  </w:style>
  <w:style w:type="character" w:customStyle="1" w:styleId="hljs-con-module-access">
    <w:name w:val="hljs-con-module-access"/>
    <w:basedOn w:val="DefaultParagraphFont"/>
    <w:uiPriority w:val="1"/>
    <w:unhideWhenUsed/>
    <w:rsid w:val="00317D6F"/>
    <w:rPr>
      <w:color w:val="F8F8F2"/>
      <w:shd w:val="clear" w:color="auto" w:fill="282A36"/>
    </w:rPr>
  </w:style>
  <w:style w:type="character" w:customStyle="1" w:styleId="hljs-con-module-access-slc">
    <w:name w:val="hljs-con-module-access-slc"/>
    <w:basedOn w:val="DefaultParagraphFont"/>
    <w:uiPriority w:val="1"/>
    <w:unhideWhenUsed/>
    <w:rsid w:val="00317D6F"/>
    <w:rPr>
      <w:b/>
      <w:bCs/>
      <w:color w:val="F8F8F2"/>
      <w:shd w:val="clear" w:color="auto" w:fill="44475A"/>
    </w:rPr>
  </w:style>
  <w:style w:type="character" w:customStyle="1" w:styleId="hljs-con-module-slc">
    <w:name w:val="hljs-con-module-slc"/>
    <w:basedOn w:val="DefaultParagraphFont"/>
    <w:uiPriority w:val="1"/>
    <w:unhideWhenUsed/>
    <w:rsid w:val="00317D6F"/>
    <w:rPr>
      <w:b/>
      <w:bCs/>
      <w:color w:val="F8F8F2"/>
      <w:shd w:val="clear" w:color="auto" w:fill="44475A"/>
    </w:rPr>
  </w:style>
  <w:style w:type="character" w:customStyle="1" w:styleId="hljs-con-name">
    <w:name w:val="hljs-con-name"/>
    <w:basedOn w:val="DefaultParagraphFont"/>
    <w:uiPriority w:val="1"/>
    <w:unhideWhenUsed/>
    <w:rsid w:val="00317D6F"/>
    <w:rPr>
      <w:b/>
      <w:bCs/>
      <w:color w:val="F1FA8C"/>
    </w:rPr>
  </w:style>
  <w:style w:type="character" w:customStyle="1" w:styleId="hljs-con-name-slc">
    <w:name w:val="hljs-con-name-slc"/>
    <w:basedOn w:val="DefaultParagraphFont"/>
    <w:uiPriority w:val="1"/>
    <w:unhideWhenUsed/>
    <w:rsid w:val="00317D6F"/>
    <w:rPr>
      <w:b/>
      <w:bCs/>
      <w:color w:val="F1FA8C"/>
      <w:shd w:val="clear" w:color="auto" w:fill="44475A"/>
    </w:rPr>
  </w:style>
  <w:style w:type="character" w:customStyle="1" w:styleId="hljs-con-number">
    <w:name w:val="hljs-con-number"/>
    <w:basedOn w:val="DefaultParagraphFont"/>
    <w:uiPriority w:val="1"/>
    <w:unhideWhenUsed/>
    <w:rsid w:val="00317D6F"/>
    <w:rPr>
      <w:color w:val="BD93F9"/>
    </w:rPr>
  </w:style>
  <w:style w:type="character" w:customStyle="1" w:styleId="hljs-con-number-slc">
    <w:name w:val="hljs-con-number-slc"/>
    <w:basedOn w:val="DefaultParagraphFont"/>
    <w:uiPriority w:val="1"/>
    <w:unhideWhenUsed/>
    <w:rsid w:val="00317D6F"/>
    <w:rPr>
      <w:b/>
      <w:bCs/>
      <w:color w:val="BD93F9"/>
      <w:shd w:val="clear" w:color="auto" w:fill="44475A"/>
    </w:rPr>
  </w:style>
  <w:style w:type="character" w:customStyle="1" w:styleId="hljs-con-operator">
    <w:name w:val="hljs-con-operator"/>
    <w:basedOn w:val="DefaultParagraphFont"/>
    <w:uiPriority w:val="1"/>
    <w:unhideWhenUsed/>
    <w:rsid w:val="00317D6F"/>
    <w:rPr>
      <w:color w:val="F8F8F2"/>
      <w:shd w:val="clear" w:color="auto" w:fill="282A36"/>
    </w:rPr>
  </w:style>
  <w:style w:type="character" w:customStyle="1" w:styleId="hljs-con-operator-slc">
    <w:name w:val="hljs-con-operator-slc"/>
    <w:basedOn w:val="DefaultParagraphFont"/>
    <w:uiPriority w:val="1"/>
    <w:unhideWhenUsed/>
    <w:rsid w:val="00317D6F"/>
    <w:rPr>
      <w:b/>
      <w:bCs/>
      <w:color w:val="F8F8F2"/>
      <w:shd w:val="clear" w:color="auto" w:fill="44475A"/>
    </w:rPr>
  </w:style>
  <w:style w:type="character" w:customStyle="1" w:styleId="hljs-con-params">
    <w:name w:val="hljs-con-params"/>
    <w:basedOn w:val="DefaultParagraphFont"/>
    <w:uiPriority w:val="1"/>
    <w:unhideWhenUsed/>
    <w:rsid w:val="00317D6F"/>
    <w:rPr>
      <w:color w:val="F8F8F2"/>
      <w:shd w:val="clear" w:color="auto" w:fill="282A36"/>
    </w:rPr>
  </w:style>
  <w:style w:type="character" w:customStyle="1" w:styleId="hljs-con-params-slc">
    <w:name w:val="hljs-con-params-slc"/>
    <w:basedOn w:val="DefaultParagraphFont"/>
    <w:uiPriority w:val="1"/>
    <w:unhideWhenUsed/>
    <w:rsid w:val="00317D6F"/>
    <w:rPr>
      <w:b/>
      <w:bCs/>
      <w:color w:val="F8F8F2"/>
      <w:shd w:val="clear" w:color="auto" w:fill="44475A"/>
    </w:rPr>
  </w:style>
  <w:style w:type="character" w:customStyle="1" w:styleId="hljs-con-pattern-match">
    <w:name w:val="hljs-con-pattern-match"/>
    <w:basedOn w:val="DefaultParagraphFont"/>
    <w:uiPriority w:val="1"/>
    <w:unhideWhenUsed/>
    <w:rsid w:val="00317D6F"/>
    <w:rPr>
      <w:color w:val="F8F8F2"/>
      <w:shd w:val="clear" w:color="auto" w:fill="282A36"/>
    </w:rPr>
  </w:style>
  <w:style w:type="character" w:customStyle="1" w:styleId="hljs-con-pattern-match-slc">
    <w:name w:val="hljs-con-pattern-match-slc"/>
    <w:basedOn w:val="DefaultParagraphFont"/>
    <w:uiPriority w:val="1"/>
    <w:unhideWhenUsed/>
    <w:rsid w:val="00317D6F"/>
    <w:rPr>
      <w:b/>
      <w:bCs/>
      <w:color w:val="F8F8F2"/>
      <w:shd w:val="clear" w:color="auto" w:fill="44475A"/>
    </w:rPr>
  </w:style>
  <w:style w:type="character" w:customStyle="1" w:styleId="hljs-con-quote">
    <w:name w:val="hljs-con-quote"/>
    <w:basedOn w:val="DefaultParagraphFont"/>
    <w:uiPriority w:val="1"/>
    <w:unhideWhenUsed/>
    <w:rsid w:val="00317D6F"/>
    <w:rPr>
      <w:color w:val="6272A4"/>
    </w:rPr>
  </w:style>
  <w:style w:type="character" w:customStyle="1" w:styleId="hljs-con-quote-slc">
    <w:name w:val="hljs-con-quote-slc"/>
    <w:basedOn w:val="DefaultParagraphFont"/>
    <w:uiPriority w:val="1"/>
    <w:unhideWhenUsed/>
    <w:rsid w:val="00317D6F"/>
    <w:rPr>
      <w:b/>
      <w:bCs/>
      <w:color w:val="6272A4"/>
      <w:shd w:val="clear" w:color="auto" w:fill="44475A"/>
    </w:rPr>
  </w:style>
  <w:style w:type="character" w:customStyle="1" w:styleId="hljs-con-regexp">
    <w:name w:val="hljs-con-regexp"/>
    <w:basedOn w:val="DefaultParagraphFont"/>
    <w:uiPriority w:val="1"/>
    <w:unhideWhenUsed/>
    <w:rsid w:val="00317D6F"/>
    <w:rPr>
      <w:color w:val="F8F8F2"/>
      <w:shd w:val="clear" w:color="auto" w:fill="282A36"/>
    </w:rPr>
  </w:style>
  <w:style w:type="character" w:customStyle="1" w:styleId="hljs-con-regexp-slc">
    <w:name w:val="hljs-con-regexp-slc"/>
    <w:basedOn w:val="DefaultParagraphFont"/>
    <w:uiPriority w:val="1"/>
    <w:unhideWhenUsed/>
    <w:rsid w:val="00317D6F"/>
    <w:rPr>
      <w:b/>
      <w:bCs/>
      <w:color w:val="F8F8F2"/>
      <w:shd w:val="clear" w:color="auto" w:fill="44475A"/>
    </w:rPr>
  </w:style>
  <w:style w:type="character" w:customStyle="1" w:styleId="hljs-con-section">
    <w:name w:val="hljs-con-section"/>
    <w:basedOn w:val="DefaultParagraphFont"/>
    <w:uiPriority w:val="1"/>
    <w:unhideWhenUsed/>
    <w:rsid w:val="00317D6F"/>
    <w:rPr>
      <w:b/>
      <w:bCs/>
      <w:color w:val="8BE9FD"/>
    </w:rPr>
  </w:style>
  <w:style w:type="character" w:customStyle="1" w:styleId="hljs-con-section-slc">
    <w:name w:val="hljs-con-section-slc"/>
    <w:basedOn w:val="DefaultParagraphFont"/>
    <w:uiPriority w:val="1"/>
    <w:unhideWhenUsed/>
    <w:rsid w:val="00317D6F"/>
    <w:rPr>
      <w:b/>
      <w:bCs/>
      <w:color w:val="8BE9FD"/>
      <w:shd w:val="clear" w:color="auto" w:fill="44475A"/>
    </w:rPr>
  </w:style>
  <w:style w:type="character" w:customStyle="1" w:styleId="hljs-con-selector-attr">
    <w:name w:val="hljs-con-selector-attr"/>
    <w:basedOn w:val="DefaultParagraphFont"/>
    <w:uiPriority w:val="1"/>
    <w:unhideWhenUsed/>
    <w:rsid w:val="00317D6F"/>
    <w:rPr>
      <w:color w:val="F8F8F2"/>
      <w:shd w:val="clear" w:color="auto" w:fill="282A36"/>
    </w:rPr>
  </w:style>
  <w:style w:type="character" w:customStyle="1" w:styleId="hljs-con-selector-attr-slc">
    <w:name w:val="hljs-con-selector-attr-slc"/>
    <w:basedOn w:val="DefaultParagraphFont"/>
    <w:uiPriority w:val="1"/>
    <w:unhideWhenUsed/>
    <w:rsid w:val="00317D6F"/>
    <w:rPr>
      <w:b/>
      <w:bCs/>
      <w:color w:val="F8F8F2"/>
      <w:shd w:val="clear" w:color="auto" w:fill="44475A"/>
    </w:rPr>
  </w:style>
  <w:style w:type="character" w:customStyle="1" w:styleId="hljs-con-selector-class">
    <w:name w:val="hljs-con-selector-class"/>
    <w:basedOn w:val="DefaultParagraphFont"/>
    <w:uiPriority w:val="1"/>
    <w:unhideWhenUsed/>
    <w:rsid w:val="00317D6F"/>
    <w:rPr>
      <w:color w:val="F8F8F2"/>
      <w:shd w:val="clear" w:color="auto" w:fill="282A36"/>
    </w:rPr>
  </w:style>
  <w:style w:type="character" w:customStyle="1" w:styleId="hljs-con-selector-class-slc">
    <w:name w:val="hljs-con-selector-class-slc"/>
    <w:basedOn w:val="DefaultParagraphFont"/>
    <w:uiPriority w:val="1"/>
    <w:unhideWhenUsed/>
    <w:rsid w:val="00317D6F"/>
    <w:rPr>
      <w:b/>
      <w:bCs/>
      <w:color w:val="F8F8F2"/>
      <w:shd w:val="clear" w:color="auto" w:fill="44475A"/>
    </w:rPr>
  </w:style>
  <w:style w:type="character" w:customStyle="1" w:styleId="hljs-con-selector-id">
    <w:name w:val="hljs-con-selector-id"/>
    <w:basedOn w:val="DefaultParagraphFont"/>
    <w:uiPriority w:val="1"/>
    <w:unhideWhenUsed/>
    <w:rsid w:val="00317D6F"/>
    <w:rPr>
      <w:color w:val="F8F8F2"/>
      <w:shd w:val="clear" w:color="auto" w:fill="282A36"/>
    </w:rPr>
  </w:style>
  <w:style w:type="character" w:customStyle="1" w:styleId="hljs-con-selector-id-slc">
    <w:name w:val="hljs-con-selector-id-slc"/>
    <w:basedOn w:val="DefaultParagraphFont"/>
    <w:uiPriority w:val="1"/>
    <w:unhideWhenUsed/>
    <w:rsid w:val="00317D6F"/>
    <w:rPr>
      <w:b/>
      <w:bCs/>
      <w:color w:val="F8F8F2"/>
      <w:shd w:val="clear" w:color="auto" w:fill="44475A"/>
    </w:rPr>
  </w:style>
  <w:style w:type="character" w:customStyle="1" w:styleId="hljs-con-selector-pseudo">
    <w:name w:val="hljs-con-selector-pseudo"/>
    <w:basedOn w:val="DefaultParagraphFont"/>
    <w:uiPriority w:val="1"/>
    <w:unhideWhenUsed/>
    <w:rsid w:val="00317D6F"/>
    <w:rPr>
      <w:color w:val="F8F8F2"/>
      <w:shd w:val="clear" w:color="auto" w:fill="282A36"/>
    </w:rPr>
  </w:style>
  <w:style w:type="character" w:customStyle="1" w:styleId="hljs-con-selector-pseudo-slc">
    <w:name w:val="hljs-con-selector-pseudo-slc"/>
    <w:basedOn w:val="DefaultParagraphFont"/>
    <w:uiPriority w:val="1"/>
    <w:unhideWhenUsed/>
    <w:rsid w:val="00317D6F"/>
    <w:rPr>
      <w:b/>
      <w:bCs/>
      <w:color w:val="F8F8F2"/>
      <w:shd w:val="clear" w:color="auto" w:fill="44475A"/>
    </w:rPr>
  </w:style>
  <w:style w:type="character" w:customStyle="1" w:styleId="hljs-con-selector-tag">
    <w:name w:val="hljs-con-selector-tag"/>
    <w:basedOn w:val="DefaultParagraphFont"/>
    <w:uiPriority w:val="1"/>
    <w:unhideWhenUsed/>
    <w:rsid w:val="00317D6F"/>
    <w:rPr>
      <w:b/>
      <w:bCs/>
      <w:color w:val="8BE9FD"/>
    </w:rPr>
  </w:style>
  <w:style w:type="character" w:customStyle="1" w:styleId="hljs-con-selector-tag-slc">
    <w:name w:val="hljs-con-selector-tag-slc"/>
    <w:basedOn w:val="DefaultParagraphFont"/>
    <w:uiPriority w:val="1"/>
    <w:unhideWhenUsed/>
    <w:rsid w:val="00317D6F"/>
    <w:rPr>
      <w:b/>
      <w:bCs/>
      <w:color w:val="8BE9FD"/>
      <w:shd w:val="clear" w:color="auto" w:fill="44475A"/>
    </w:rPr>
  </w:style>
  <w:style w:type="character" w:customStyle="1" w:styleId="hljs-con-slc">
    <w:name w:val="hljs-con-slc"/>
    <w:basedOn w:val="DefaultParagraphFont"/>
    <w:uiPriority w:val="1"/>
    <w:unhideWhenUsed/>
    <w:rsid w:val="00317D6F"/>
    <w:rPr>
      <w:b/>
      <w:color w:val="F8F8F2"/>
      <w:bdr w:val="none" w:sz="0" w:space="0" w:color="auto"/>
      <w:shd w:val="clear" w:color="auto" w:fill="44475A"/>
    </w:rPr>
  </w:style>
  <w:style w:type="character" w:customStyle="1" w:styleId="hljs-con-string">
    <w:name w:val="hljs-con-string"/>
    <w:basedOn w:val="DefaultParagraphFont"/>
    <w:uiPriority w:val="1"/>
    <w:unhideWhenUsed/>
    <w:rsid w:val="00317D6F"/>
    <w:rPr>
      <w:color w:val="F1FA8C"/>
    </w:rPr>
  </w:style>
  <w:style w:type="character" w:customStyle="1" w:styleId="hljs-con-string-slc">
    <w:name w:val="hljs-con-string-slc"/>
    <w:basedOn w:val="DefaultParagraphFont"/>
    <w:uiPriority w:val="1"/>
    <w:unhideWhenUsed/>
    <w:rsid w:val="00317D6F"/>
    <w:rPr>
      <w:b/>
      <w:bCs/>
      <w:color w:val="F1FA8C"/>
      <w:shd w:val="clear" w:color="auto" w:fill="44475A"/>
    </w:rPr>
  </w:style>
  <w:style w:type="character" w:customStyle="1" w:styleId="hljs-con-strong">
    <w:name w:val="hljs-con-strong"/>
    <w:basedOn w:val="DefaultParagraphFont"/>
    <w:uiPriority w:val="1"/>
    <w:unhideWhenUsed/>
    <w:rsid w:val="00317D6F"/>
    <w:rPr>
      <w:b/>
      <w:bCs/>
    </w:rPr>
  </w:style>
  <w:style w:type="character" w:customStyle="1" w:styleId="hljs-con-strong-slc">
    <w:name w:val="hljs-con-strong-slc"/>
    <w:basedOn w:val="DefaultParagraphFont"/>
    <w:uiPriority w:val="1"/>
    <w:unhideWhenUsed/>
    <w:rsid w:val="00317D6F"/>
    <w:rPr>
      <w:b/>
      <w:bCs/>
      <w:shd w:val="clear" w:color="auto" w:fill="44475A"/>
    </w:rPr>
  </w:style>
  <w:style w:type="character" w:customStyle="1" w:styleId="hljs-constructor">
    <w:name w:val="hljs-constructor"/>
    <w:basedOn w:val="DefaultParagraphFont"/>
    <w:uiPriority w:val="1"/>
    <w:unhideWhenUsed/>
    <w:rsid w:val="00317D6F"/>
  </w:style>
  <w:style w:type="character" w:customStyle="1" w:styleId="hljs-constructor-slc">
    <w:name w:val="hljs-constructor-slc"/>
    <w:basedOn w:val="hljs-constructor"/>
    <w:uiPriority w:val="1"/>
    <w:unhideWhenUsed/>
    <w:rsid w:val="00317D6F"/>
    <w:rPr>
      <w:b/>
      <w:bCs/>
      <w:sz w:val="20"/>
      <w:shd w:val="clear" w:color="auto" w:fill="D4D4D4"/>
    </w:rPr>
  </w:style>
  <w:style w:type="character" w:customStyle="1" w:styleId="hljs-con-subst">
    <w:name w:val="hljs-con-subst"/>
    <w:basedOn w:val="DefaultParagraphFont"/>
    <w:uiPriority w:val="1"/>
    <w:unhideWhenUsed/>
    <w:rsid w:val="00317D6F"/>
    <w:rPr>
      <w:color w:val="F8F8F2"/>
    </w:rPr>
  </w:style>
  <w:style w:type="character" w:customStyle="1" w:styleId="hljs-con-subst-slc">
    <w:name w:val="hljs-con-subst-slc"/>
    <w:basedOn w:val="DefaultParagraphFont"/>
    <w:uiPriority w:val="1"/>
    <w:unhideWhenUsed/>
    <w:rsid w:val="00317D6F"/>
    <w:rPr>
      <w:b/>
      <w:bCs/>
      <w:color w:val="F8F8F2"/>
      <w:shd w:val="clear" w:color="auto" w:fill="44475A"/>
    </w:rPr>
  </w:style>
  <w:style w:type="character" w:customStyle="1" w:styleId="hljs-con-symbol">
    <w:name w:val="hljs-con-symbol"/>
    <w:basedOn w:val="DefaultParagraphFont"/>
    <w:uiPriority w:val="1"/>
    <w:unhideWhenUsed/>
    <w:rsid w:val="00317D6F"/>
    <w:rPr>
      <w:color w:val="F1FA8C"/>
    </w:rPr>
  </w:style>
  <w:style w:type="character" w:customStyle="1" w:styleId="hljs-con-symbol-slc">
    <w:name w:val="hljs-con-symbol-slc"/>
    <w:basedOn w:val="DefaultParagraphFont"/>
    <w:uiPriority w:val="1"/>
    <w:unhideWhenUsed/>
    <w:rsid w:val="00317D6F"/>
    <w:rPr>
      <w:b/>
      <w:bCs/>
      <w:color w:val="F1FA8C"/>
      <w:shd w:val="clear" w:color="auto" w:fill="44475A"/>
    </w:rPr>
  </w:style>
  <w:style w:type="character" w:customStyle="1" w:styleId="hljs-con-tag">
    <w:name w:val="hljs-con-tag"/>
    <w:basedOn w:val="DefaultParagraphFont"/>
    <w:uiPriority w:val="1"/>
    <w:unhideWhenUsed/>
    <w:rsid w:val="00317D6F"/>
    <w:rPr>
      <w:color w:val="F8F8F2"/>
      <w:shd w:val="clear" w:color="auto" w:fill="282A36"/>
    </w:rPr>
  </w:style>
  <w:style w:type="character" w:customStyle="1" w:styleId="hljs-con-tag-slc">
    <w:name w:val="hljs-con-tag-slc"/>
    <w:basedOn w:val="DefaultParagraphFont"/>
    <w:uiPriority w:val="1"/>
    <w:unhideWhenUsed/>
    <w:rsid w:val="00317D6F"/>
    <w:rPr>
      <w:b/>
      <w:bCs/>
      <w:color w:val="F8F8F2"/>
      <w:shd w:val="clear" w:color="auto" w:fill="44475A"/>
    </w:rPr>
  </w:style>
  <w:style w:type="character" w:customStyle="1" w:styleId="hljs-con-template-tag">
    <w:name w:val="hljs-con-template-tag"/>
    <w:basedOn w:val="DefaultParagraphFont"/>
    <w:uiPriority w:val="1"/>
    <w:unhideWhenUsed/>
    <w:rsid w:val="00317D6F"/>
    <w:rPr>
      <w:color w:val="F1FA8C"/>
    </w:rPr>
  </w:style>
  <w:style w:type="character" w:customStyle="1" w:styleId="hljs-con-template-tag-slc">
    <w:name w:val="hljs-con-template-tag-slc"/>
    <w:basedOn w:val="DefaultParagraphFont"/>
    <w:uiPriority w:val="1"/>
    <w:unhideWhenUsed/>
    <w:rsid w:val="00317D6F"/>
    <w:rPr>
      <w:b/>
      <w:bCs/>
      <w:color w:val="F1FA8C"/>
      <w:shd w:val="clear" w:color="auto" w:fill="44475A"/>
    </w:rPr>
  </w:style>
  <w:style w:type="character" w:customStyle="1" w:styleId="hljs-con-template-variable">
    <w:name w:val="hljs-con-template-variable"/>
    <w:basedOn w:val="DefaultParagraphFont"/>
    <w:uiPriority w:val="1"/>
    <w:unhideWhenUsed/>
    <w:rsid w:val="00317D6F"/>
    <w:rPr>
      <w:color w:val="F1FA8C"/>
    </w:rPr>
  </w:style>
  <w:style w:type="character" w:customStyle="1" w:styleId="hljs-con-template-variable-slc">
    <w:name w:val="hljs-con-template-variable-slc"/>
    <w:basedOn w:val="DefaultParagraphFont"/>
    <w:uiPriority w:val="1"/>
    <w:unhideWhenUsed/>
    <w:rsid w:val="00317D6F"/>
    <w:rPr>
      <w:b/>
      <w:bCs/>
      <w:color w:val="F1FA8C"/>
      <w:shd w:val="clear" w:color="auto" w:fill="44475A"/>
    </w:rPr>
  </w:style>
  <w:style w:type="character" w:customStyle="1" w:styleId="hljs-con-title">
    <w:name w:val="hljs-con-title"/>
    <w:basedOn w:val="DefaultParagraphFont"/>
    <w:uiPriority w:val="1"/>
    <w:unhideWhenUsed/>
    <w:rsid w:val="00317D6F"/>
    <w:rPr>
      <w:b/>
      <w:bCs/>
      <w:color w:val="50FA7B"/>
    </w:rPr>
  </w:style>
  <w:style w:type="character" w:customStyle="1" w:styleId="hljs-con-title-slc">
    <w:name w:val="hljs-con-title-slc"/>
    <w:basedOn w:val="DefaultParagraphFont"/>
    <w:uiPriority w:val="1"/>
    <w:unhideWhenUsed/>
    <w:rsid w:val="00317D6F"/>
    <w:rPr>
      <w:b/>
      <w:bCs/>
      <w:color w:val="50FA7B"/>
      <w:shd w:val="clear" w:color="auto" w:fill="44475A"/>
    </w:rPr>
  </w:style>
  <w:style w:type="character" w:customStyle="1" w:styleId="hljs-con-type">
    <w:name w:val="hljs-con-type"/>
    <w:basedOn w:val="DefaultParagraphFont"/>
    <w:uiPriority w:val="1"/>
    <w:unhideWhenUsed/>
    <w:rsid w:val="00317D6F"/>
    <w:rPr>
      <w:b/>
      <w:bCs/>
      <w:color w:val="F1FA8C"/>
    </w:rPr>
  </w:style>
  <w:style w:type="character" w:customStyle="1" w:styleId="hljs-con-type-slc">
    <w:name w:val="hljs-con-type-slc"/>
    <w:basedOn w:val="DefaultParagraphFont"/>
    <w:uiPriority w:val="1"/>
    <w:unhideWhenUsed/>
    <w:rsid w:val="00317D6F"/>
    <w:rPr>
      <w:b/>
      <w:bCs/>
      <w:color w:val="F1FA8C"/>
      <w:shd w:val="clear" w:color="auto" w:fill="44475A"/>
    </w:rPr>
  </w:style>
  <w:style w:type="character" w:customStyle="1" w:styleId="hljs-con-typing">
    <w:name w:val="hljs-con-typing"/>
    <w:basedOn w:val="DefaultParagraphFont"/>
    <w:uiPriority w:val="1"/>
    <w:unhideWhenUsed/>
    <w:rsid w:val="00317D6F"/>
    <w:rPr>
      <w:color w:val="F8F8F2"/>
      <w:shd w:val="clear" w:color="auto" w:fill="282A36"/>
    </w:rPr>
  </w:style>
  <w:style w:type="character" w:customStyle="1" w:styleId="hljs-con-typing-slc">
    <w:name w:val="hljs-con-typing-slc"/>
    <w:basedOn w:val="DefaultParagraphFont"/>
    <w:uiPriority w:val="1"/>
    <w:unhideWhenUsed/>
    <w:rsid w:val="00317D6F"/>
    <w:rPr>
      <w:b/>
      <w:bCs/>
      <w:color w:val="F8F8F2"/>
      <w:shd w:val="clear" w:color="auto" w:fill="44475A"/>
    </w:rPr>
  </w:style>
  <w:style w:type="character" w:customStyle="1" w:styleId="hljs-con-variable">
    <w:name w:val="hljs-con-variable"/>
    <w:basedOn w:val="DefaultParagraphFont"/>
    <w:uiPriority w:val="1"/>
    <w:unhideWhenUsed/>
    <w:rsid w:val="00317D6F"/>
    <w:rPr>
      <w:color w:val="F1FA8C"/>
    </w:rPr>
  </w:style>
  <w:style w:type="character" w:customStyle="1" w:styleId="hljs-con-variable-slc">
    <w:name w:val="hljs-con-variable-slc"/>
    <w:basedOn w:val="DefaultParagraphFont"/>
    <w:uiPriority w:val="1"/>
    <w:unhideWhenUsed/>
    <w:rsid w:val="00317D6F"/>
    <w:rPr>
      <w:b/>
      <w:bCs/>
      <w:color w:val="F1FA8C"/>
      <w:shd w:val="clear" w:color="auto" w:fill="44475A"/>
    </w:rPr>
  </w:style>
  <w:style w:type="character" w:customStyle="1" w:styleId="hljs-deletion">
    <w:name w:val="hljs-deletion"/>
    <w:basedOn w:val="DefaultParagraphFont"/>
    <w:uiPriority w:val="1"/>
    <w:unhideWhenUsed/>
    <w:rsid w:val="00317D6F"/>
    <w:rPr>
      <w:color w:val="E45649"/>
    </w:rPr>
  </w:style>
  <w:style w:type="character" w:customStyle="1" w:styleId="hljs-deletion-slc">
    <w:name w:val="hljs-deletion-slc"/>
    <w:basedOn w:val="hljs-deletion"/>
    <w:uiPriority w:val="1"/>
    <w:unhideWhenUsed/>
    <w:rsid w:val="00317D6F"/>
    <w:rPr>
      <w:b/>
      <w:bCs/>
      <w:color w:val="E45649"/>
      <w:sz w:val="20"/>
      <w:shd w:val="clear" w:color="auto" w:fill="D4D4D4"/>
    </w:rPr>
  </w:style>
  <w:style w:type="character" w:customStyle="1" w:styleId="hljs-doctag">
    <w:name w:val="hljs-doctag"/>
    <w:basedOn w:val="DefaultParagraphFont"/>
    <w:uiPriority w:val="1"/>
    <w:unhideWhenUsed/>
    <w:rsid w:val="00317D6F"/>
    <w:rPr>
      <w:color w:val="A626A4"/>
    </w:rPr>
  </w:style>
  <w:style w:type="character" w:customStyle="1" w:styleId="hljs-doctag-slc">
    <w:name w:val="hljs-doctag-slc"/>
    <w:basedOn w:val="hljs-doctag"/>
    <w:uiPriority w:val="1"/>
    <w:unhideWhenUsed/>
    <w:rsid w:val="00317D6F"/>
    <w:rPr>
      <w:b/>
      <w:bCs/>
      <w:color w:val="A626A4"/>
      <w:sz w:val="20"/>
      <w:shd w:val="clear" w:color="auto" w:fill="D4D4D4"/>
    </w:rPr>
  </w:style>
  <w:style w:type="character" w:customStyle="1" w:styleId="hljs-emphasis">
    <w:name w:val="hljs-emphasis"/>
    <w:basedOn w:val="DefaultParagraphFont"/>
    <w:uiPriority w:val="1"/>
    <w:unhideWhenUsed/>
    <w:rsid w:val="00317D6F"/>
    <w:rPr>
      <w:i/>
      <w:iCs/>
    </w:rPr>
  </w:style>
  <w:style w:type="character" w:customStyle="1" w:styleId="hljs-emphasis-slc">
    <w:name w:val="hljs-emphasis-slc"/>
    <w:basedOn w:val="hljs-emphasis"/>
    <w:uiPriority w:val="1"/>
    <w:unhideWhenUsed/>
    <w:rsid w:val="00317D6F"/>
    <w:rPr>
      <w:b/>
      <w:bCs/>
      <w:i/>
      <w:iCs/>
      <w:sz w:val="20"/>
      <w:shd w:val="clear" w:color="auto" w:fill="D4D4D4"/>
    </w:rPr>
  </w:style>
  <w:style w:type="character" w:customStyle="1" w:styleId="hljs-formula">
    <w:name w:val="hljs-formula"/>
    <w:basedOn w:val="DefaultParagraphFont"/>
    <w:uiPriority w:val="1"/>
    <w:unhideWhenUsed/>
    <w:rsid w:val="00317D6F"/>
    <w:rPr>
      <w:color w:val="A626A4"/>
    </w:rPr>
  </w:style>
  <w:style w:type="character" w:customStyle="1" w:styleId="hljs-formula-slc">
    <w:name w:val="hljs-formula-slc"/>
    <w:basedOn w:val="hljs-formula"/>
    <w:uiPriority w:val="1"/>
    <w:unhideWhenUsed/>
    <w:rsid w:val="00317D6F"/>
    <w:rPr>
      <w:b/>
      <w:bCs/>
      <w:color w:val="A626A4"/>
      <w:sz w:val="20"/>
      <w:shd w:val="clear" w:color="auto" w:fill="D4D4D4"/>
    </w:rPr>
  </w:style>
  <w:style w:type="character" w:customStyle="1" w:styleId="hljs-function">
    <w:name w:val="hljs-function"/>
    <w:basedOn w:val="DefaultParagraphFont"/>
    <w:uiPriority w:val="1"/>
    <w:unhideWhenUsed/>
    <w:rsid w:val="00317D6F"/>
  </w:style>
  <w:style w:type="character" w:customStyle="1" w:styleId="hljs-function-slc">
    <w:name w:val="hljs-function-slc"/>
    <w:basedOn w:val="hljs-function"/>
    <w:uiPriority w:val="1"/>
    <w:unhideWhenUsed/>
    <w:rsid w:val="00317D6F"/>
    <w:rPr>
      <w:b/>
      <w:bCs/>
      <w:sz w:val="20"/>
      <w:shd w:val="clear" w:color="auto" w:fill="D4D4D4"/>
    </w:rPr>
  </w:style>
  <w:style w:type="character" w:customStyle="1" w:styleId="hljs-keyword">
    <w:name w:val="hljs-keyword"/>
    <w:basedOn w:val="DefaultParagraphFont"/>
    <w:uiPriority w:val="1"/>
    <w:unhideWhenUsed/>
    <w:rsid w:val="00317D6F"/>
    <w:rPr>
      <w:color w:val="A626A4"/>
    </w:rPr>
  </w:style>
  <w:style w:type="character" w:customStyle="1" w:styleId="hljs-keyword-slc">
    <w:name w:val="hljs-keyword-slc"/>
    <w:basedOn w:val="hljs-keyword"/>
    <w:uiPriority w:val="1"/>
    <w:unhideWhenUsed/>
    <w:rsid w:val="00317D6F"/>
    <w:rPr>
      <w:b/>
      <w:bCs/>
      <w:color w:val="A626A4"/>
      <w:sz w:val="20"/>
      <w:shd w:val="clear" w:color="auto" w:fill="D4D4D4"/>
    </w:rPr>
  </w:style>
  <w:style w:type="character" w:customStyle="1" w:styleId="hljs-link">
    <w:name w:val="hljs-link"/>
    <w:basedOn w:val="DefaultParagraphFont"/>
    <w:uiPriority w:val="1"/>
    <w:unhideWhenUsed/>
    <w:rsid w:val="00317D6F"/>
    <w:rPr>
      <w:color w:val="4078F2"/>
      <w:u w:val="single"/>
    </w:rPr>
  </w:style>
  <w:style w:type="character" w:customStyle="1" w:styleId="hljs-link-slc">
    <w:name w:val="hljs-link-slc"/>
    <w:basedOn w:val="hljs-link"/>
    <w:uiPriority w:val="1"/>
    <w:unhideWhenUsed/>
    <w:rsid w:val="00317D6F"/>
    <w:rPr>
      <w:b/>
      <w:bCs/>
      <w:color w:val="4078F2"/>
      <w:sz w:val="20"/>
      <w:u w:val="single"/>
      <w:shd w:val="clear" w:color="auto" w:fill="D4D4D4"/>
    </w:rPr>
  </w:style>
  <w:style w:type="character" w:customStyle="1" w:styleId="hljs-literal">
    <w:name w:val="hljs-literal"/>
    <w:basedOn w:val="DefaultParagraphFont"/>
    <w:uiPriority w:val="1"/>
    <w:unhideWhenUsed/>
    <w:rsid w:val="00317D6F"/>
    <w:rPr>
      <w:color w:val="0184BB"/>
    </w:rPr>
  </w:style>
  <w:style w:type="character" w:customStyle="1" w:styleId="hljs-literal-slc">
    <w:name w:val="hljs-literal-slc"/>
    <w:basedOn w:val="hljs-literal"/>
    <w:uiPriority w:val="1"/>
    <w:unhideWhenUsed/>
    <w:rsid w:val="00317D6F"/>
    <w:rPr>
      <w:b/>
      <w:bCs/>
      <w:color w:val="0184BB"/>
      <w:sz w:val="20"/>
      <w:shd w:val="clear" w:color="auto" w:fill="D4D4D4"/>
    </w:rPr>
  </w:style>
  <w:style w:type="character" w:customStyle="1" w:styleId="hljs-meta">
    <w:name w:val="hljs-meta"/>
    <w:basedOn w:val="DefaultParagraphFont"/>
    <w:uiPriority w:val="1"/>
    <w:unhideWhenUsed/>
    <w:rsid w:val="00317D6F"/>
    <w:rPr>
      <w:color w:val="4078F2"/>
    </w:rPr>
  </w:style>
  <w:style w:type="character" w:customStyle="1" w:styleId="hljs-meta-keyword">
    <w:name w:val="hljs-meta-keyword"/>
    <w:basedOn w:val="DefaultParagraphFont"/>
    <w:uiPriority w:val="1"/>
    <w:unhideWhenUsed/>
    <w:rsid w:val="00317D6F"/>
  </w:style>
  <w:style w:type="character" w:customStyle="1" w:styleId="hljs-meta-keyword-slc">
    <w:name w:val="hljs-meta-keyword-slc"/>
    <w:basedOn w:val="hljs-meta-keyword"/>
    <w:uiPriority w:val="1"/>
    <w:unhideWhenUsed/>
    <w:rsid w:val="00317D6F"/>
    <w:rPr>
      <w:b/>
      <w:bCs/>
      <w:sz w:val="20"/>
      <w:shd w:val="clear" w:color="auto" w:fill="D4D4D4"/>
    </w:rPr>
  </w:style>
  <w:style w:type="character" w:customStyle="1" w:styleId="hljs-meta-slc">
    <w:name w:val="hljs-meta-slc"/>
    <w:basedOn w:val="hljs-meta"/>
    <w:uiPriority w:val="1"/>
    <w:unhideWhenUsed/>
    <w:rsid w:val="00317D6F"/>
    <w:rPr>
      <w:b/>
      <w:bCs/>
      <w:color w:val="4078F2"/>
      <w:sz w:val="20"/>
      <w:shd w:val="clear" w:color="auto" w:fill="D4D4D4"/>
    </w:rPr>
  </w:style>
  <w:style w:type="character" w:customStyle="1" w:styleId="hljs-meta-string">
    <w:name w:val="hljs-meta-string"/>
    <w:basedOn w:val="DefaultParagraphFont"/>
    <w:uiPriority w:val="1"/>
    <w:unhideWhenUsed/>
    <w:rsid w:val="00317D6F"/>
    <w:rPr>
      <w:color w:val="50A14F"/>
    </w:rPr>
  </w:style>
  <w:style w:type="character" w:customStyle="1" w:styleId="hljs-meta-string-slc">
    <w:name w:val="hljs-meta-string-slc"/>
    <w:basedOn w:val="hljs-meta-string"/>
    <w:uiPriority w:val="1"/>
    <w:unhideWhenUsed/>
    <w:rsid w:val="00317D6F"/>
    <w:rPr>
      <w:b/>
      <w:bCs/>
      <w:color w:val="50A14F"/>
      <w:sz w:val="20"/>
      <w:shd w:val="clear" w:color="auto" w:fill="D4D4D4"/>
    </w:rPr>
  </w:style>
  <w:style w:type="character" w:customStyle="1" w:styleId="hljs-module">
    <w:name w:val="hljs-module"/>
    <w:basedOn w:val="DefaultParagraphFont"/>
    <w:uiPriority w:val="1"/>
    <w:unhideWhenUsed/>
    <w:rsid w:val="00317D6F"/>
  </w:style>
  <w:style w:type="character" w:customStyle="1" w:styleId="hljs-module-access">
    <w:name w:val="hljs-module-access"/>
    <w:basedOn w:val="DefaultParagraphFont"/>
    <w:uiPriority w:val="1"/>
    <w:unhideWhenUsed/>
    <w:rsid w:val="00317D6F"/>
  </w:style>
  <w:style w:type="character" w:customStyle="1" w:styleId="hljs-module-access-slc">
    <w:name w:val="hljs-module-access-slc"/>
    <w:basedOn w:val="hljs-module-access"/>
    <w:uiPriority w:val="1"/>
    <w:unhideWhenUsed/>
    <w:rsid w:val="00317D6F"/>
    <w:rPr>
      <w:b/>
      <w:bCs/>
      <w:sz w:val="20"/>
      <w:shd w:val="clear" w:color="auto" w:fill="D4D4D4"/>
    </w:rPr>
  </w:style>
  <w:style w:type="character" w:customStyle="1" w:styleId="hljs-module-slc">
    <w:name w:val="hljs-module-slc"/>
    <w:basedOn w:val="hljs-module"/>
    <w:uiPriority w:val="1"/>
    <w:unhideWhenUsed/>
    <w:rsid w:val="00317D6F"/>
    <w:rPr>
      <w:b/>
      <w:bCs/>
      <w:sz w:val="20"/>
      <w:shd w:val="clear" w:color="auto" w:fill="D4D4D4"/>
    </w:rPr>
  </w:style>
  <w:style w:type="character" w:customStyle="1" w:styleId="hljs-name">
    <w:name w:val="hljs-name"/>
    <w:basedOn w:val="DefaultParagraphFont"/>
    <w:uiPriority w:val="1"/>
    <w:unhideWhenUsed/>
    <w:rsid w:val="00317D6F"/>
    <w:rPr>
      <w:color w:val="E45649"/>
    </w:rPr>
  </w:style>
  <w:style w:type="character" w:customStyle="1" w:styleId="hljs-name-slc">
    <w:name w:val="hljs-name-slc"/>
    <w:basedOn w:val="hljs-name"/>
    <w:uiPriority w:val="1"/>
    <w:unhideWhenUsed/>
    <w:rsid w:val="00317D6F"/>
    <w:rPr>
      <w:b/>
      <w:bCs/>
      <w:color w:val="E45649"/>
      <w:sz w:val="20"/>
      <w:shd w:val="clear" w:color="auto" w:fill="D4D4D4"/>
    </w:rPr>
  </w:style>
  <w:style w:type="character" w:customStyle="1" w:styleId="hljs-number">
    <w:name w:val="hljs-number"/>
    <w:basedOn w:val="DefaultParagraphFont"/>
    <w:unhideWhenUsed/>
    <w:rsid w:val="00317D6F"/>
    <w:rPr>
      <w:color w:val="986801"/>
    </w:rPr>
  </w:style>
  <w:style w:type="character" w:customStyle="1" w:styleId="hljs-number-slc">
    <w:name w:val="hljs-number-slc"/>
    <w:basedOn w:val="hljs-number"/>
    <w:uiPriority w:val="1"/>
    <w:unhideWhenUsed/>
    <w:rsid w:val="00317D6F"/>
    <w:rPr>
      <w:b/>
      <w:bCs/>
      <w:color w:val="986801"/>
      <w:sz w:val="20"/>
      <w:shd w:val="clear" w:color="auto" w:fill="D4D4D4"/>
    </w:rPr>
  </w:style>
  <w:style w:type="character" w:customStyle="1" w:styleId="hljs-operator">
    <w:name w:val="hljs-operator"/>
    <w:basedOn w:val="DefaultParagraphFont"/>
    <w:unhideWhenUsed/>
    <w:rsid w:val="00317D6F"/>
  </w:style>
  <w:style w:type="character" w:customStyle="1" w:styleId="hljs-operator-slc">
    <w:name w:val="hljs-operator-slc"/>
    <w:basedOn w:val="hljs-operator"/>
    <w:uiPriority w:val="1"/>
    <w:unhideWhenUsed/>
    <w:rsid w:val="00317D6F"/>
    <w:rPr>
      <w:b/>
      <w:bCs/>
      <w:sz w:val="20"/>
      <w:shd w:val="clear" w:color="auto" w:fill="D4D4D4"/>
    </w:rPr>
  </w:style>
  <w:style w:type="character" w:customStyle="1" w:styleId="hljs-params">
    <w:name w:val="hljs-params"/>
    <w:basedOn w:val="DefaultParagraphFont"/>
    <w:uiPriority w:val="1"/>
    <w:unhideWhenUsed/>
    <w:rsid w:val="00317D6F"/>
  </w:style>
  <w:style w:type="character" w:customStyle="1" w:styleId="hljs-params-slc">
    <w:name w:val="hljs-params-slc"/>
    <w:basedOn w:val="hljs-params"/>
    <w:uiPriority w:val="1"/>
    <w:unhideWhenUsed/>
    <w:rsid w:val="00317D6F"/>
    <w:rPr>
      <w:b/>
      <w:bCs/>
      <w:sz w:val="20"/>
      <w:shd w:val="clear" w:color="auto" w:fill="D4D4D4"/>
    </w:rPr>
  </w:style>
  <w:style w:type="character" w:customStyle="1" w:styleId="hljs-pattern-match">
    <w:name w:val="hljs-pattern-match"/>
    <w:basedOn w:val="DefaultParagraphFont"/>
    <w:uiPriority w:val="1"/>
    <w:unhideWhenUsed/>
    <w:rsid w:val="00317D6F"/>
  </w:style>
  <w:style w:type="character" w:customStyle="1" w:styleId="hljs-pattern-match-slc">
    <w:name w:val="hljs-pattern-match-slc"/>
    <w:basedOn w:val="hljs-pattern-match"/>
    <w:uiPriority w:val="1"/>
    <w:unhideWhenUsed/>
    <w:rsid w:val="00317D6F"/>
    <w:rPr>
      <w:b/>
      <w:bCs/>
      <w:sz w:val="20"/>
      <w:shd w:val="clear" w:color="auto" w:fill="D4D4D4"/>
    </w:rPr>
  </w:style>
  <w:style w:type="character" w:customStyle="1" w:styleId="hljs-quote">
    <w:name w:val="hljs-quote"/>
    <w:basedOn w:val="DefaultParagraphFont"/>
    <w:uiPriority w:val="1"/>
    <w:unhideWhenUsed/>
    <w:rsid w:val="00317D6F"/>
    <w:rPr>
      <w:i/>
      <w:iCs/>
      <w:color w:val="A0A1A7"/>
    </w:rPr>
  </w:style>
  <w:style w:type="character" w:customStyle="1" w:styleId="hljs-quote-slc">
    <w:name w:val="hljs-quote-slc"/>
    <w:basedOn w:val="hljs-quote"/>
    <w:uiPriority w:val="1"/>
    <w:unhideWhenUsed/>
    <w:rsid w:val="00317D6F"/>
    <w:rPr>
      <w:b/>
      <w:bCs/>
      <w:i/>
      <w:iCs/>
      <w:color w:val="A0A1A7"/>
      <w:sz w:val="20"/>
      <w:shd w:val="clear" w:color="auto" w:fill="D4D4D4"/>
    </w:rPr>
  </w:style>
  <w:style w:type="character" w:customStyle="1" w:styleId="hljs-regexp">
    <w:name w:val="hljs-regexp"/>
    <w:basedOn w:val="DefaultParagraphFont"/>
    <w:uiPriority w:val="1"/>
    <w:unhideWhenUsed/>
    <w:rsid w:val="00317D6F"/>
    <w:rPr>
      <w:color w:val="50A14F"/>
    </w:rPr>
  </w:style>
  <w:style w:type="character" w:customStyle="1" w:styleId="hljs-regexp-slc">
    <w:name w:val="hljs-regexp-slc"/>
    <w:basedOn w:val="hljs-regexp"/>
    <w:uiPriority w:val="1"/>
    <w:unhideWhenUsed/>
    <w:rsid w:val="00317D6F"/>
    <w:rPr>
      <w:b/>
      <w:bCs/>
      <w:color w:val="50A14F"/>
      <w:sz w:val="20"/>
      <w:shd w:val="clear" w:color="auto" w:fill="D4D4D4"/>
    </w:rPr>
  </w:style>
  <w:style w:type="character" w:customStyle="1" w:styleId="hljs-section">
    <w:name w:val="hljs-section"/>
    <w:basedOn w:val="DefaultParagraphFont"/>
    <w:uiPriority w:val="1"/>
    <w:unhideWhenUsed/>
    <w:rsid w:val="00317D6F"/>
    <w:rPr>
      <w:color w:val="E45649"/>
    </w:rPr>
  </w:style>
  <w:style w:type="character" w:customStyle="1" w:styleId="hljs-section-slc">
    <w:name w:val="hljs-section-slc"/>
    <w:basedOn w:val="hljs-section"/>
    <w:uiPriority w:val="1"/>
    <w:unhideWhenUsed/>
    <w:rsid w:val="00317D6F"/>
    <w:rPr>
      <w:b/>
      <w:bCs/>
      <w:color w:val="E45649"/>
      <w:sz w:val="20"/>
      <w:shd w:val="clear" w:color="auto" w:fill="D4D4D4"/>
    </w:rPr>
  </w:style>
  <w:style w:type="character" w:customStyle="1" w:styleId="hljs-selector-attr">
    <w:name w:val="hljs-selector-attr"/>
    <w:basedOn w:val="DefaultParagraphFont"/>
    <w:uiPriority w:val="1"/>
    <w:unhideWhenUsed/>
    <w:rsid w:val="00317D6F"/>
    <w:rPr>
      <w:color w:val="986801"/>
    </w:rPr>
  </w:style>
  <w:style w:type="character" w:customStyle="1" w:styleId="hljs-selector-attr-slc">
    <w:name w:val="hljs-selector-attr-slc"/>
    <w:basedOn w:val="hljs-selector-attr"/>
    <w:uiPriority w:val="1"/>
    <w:unhideWhenUsed/>
    <w:rsid w:val="00317D6F"/>
    <w:rPr>
      <w:b/>
      <w:bCs/>
      <w:color w:val="986801"/>
      <w:sz w:val="20"/>
      <w:shd w:val="clear" w:color="auto" w:fill="D4D4D4"/>
    </w:rPr>
  </w:style>
  <w:style w:type="character" w:customStyle="1" w:styleId="hljs-selector-class">
    <w:name w:val="hljs-selector-class"/>
    <w:basedOn w:val="DefaultParagraphFont"/>
    <w:uiPriority w:val="1"/>
    <w:unhideWhenUsed/>
    <w:rsid w:val="00317D6F"/>
    <w:rPr>
      <w:color w:val="986801"/>
    </w:rPr>
  </w:style>
  <w:style w:type="character" w:customStyle="1" w:styleId="hljs-selector-class-slc">
    <w:name w:val="hljs-selector-class-slc"/>
    <w:basedOn w:val="hljs-selector-class"/>
    <w:uiPriority w:val="1"/>
    <w:unhideWhenUsed/>
    <w:rsid w:val="00317D6F"/>
    <w:rPr>
      <w:b/>
      <w:bCs/>
      <w:color w:val="986801"/>
      <w:sz w:val="20"/>
      <w:shd w:val="clear" w:color="auto" w:fill="D4D4D4"/>
    </w:rPr>
  </w:style>
  <w:style w:type="character" w:customStyle="1" w:styleId="hljs-selector-id">
    <w:name w:val="hljs-selector-id"/>
    <w:basedOn w:val="DefaultParagraphFont"/>
    <w:uiPriority w:val="1"/>
    <w:unhideWhenUsed/>
    <w:rsid w:val="00317D6F"/>
    <w:rPr>
      <w:color w:val="4078F2"/>
    </w:rPr>
  </w:style>
  <w:style w:type="character" w:customStyle="1" w:styleId="hljs-selector-id-slc">
    <w:name w:val="hljs-selector-id-slc"/>
    <w:basedOn w:val="hljs-selector-id"/>
    <w:uiPriority w:val="1"/>
    <w:unhideWhenUsed/>
    <w:rsid w:val="00317D6F"/>
    <w:rPr>
      <w:b/>
      <w:bCs/>
      <w:color w:val="4078F2"/>
      <w:sz w:val="20"/>
      <w:shd w:val="clear" w:color="auto" w:fill="D4D4D4"/>
    </w:rPr>
  </w:style>
  <w:style w:type="character" w:customStyle="1" w:styleId="hljs-selector-pseudo">
    <w:name w:val="hljs-selector-pseudo"/>
    <w:basedOn w:val="DefaultParagraphFont"/>
    <w:uiPriority w:val="1"/>
    <w:unhideWhenUsed/>
    <w:rsid w:val="00317D6F"/>
    <w:rPr>
      <w:color w:val="986801"/>
    </w:rPr>
  </w:style>
  <w:style w:type="character" w:customStyle="1" w:styleId="hljs-selector-pseudo-slc">
    <w:name w:val="hljs-selector-pseudo-slc"/>
    <w:basedOn w:val="hljs-selector-pseudo"/>
    <w:uiPriority w:val="1"/>
    <w:unhideWhenUsed/>
    <w:rsid w:val="00317D6F"/>
    <w:rPr>
      <w:b/>
      <w:bCs/>
      <w:color w:val="986801"/>
      <w:sz w:val="20"/>
      <w:shd w:val="clear" w:color="auto" w:fill="D4D4D4"/>
    </w:rPr>
  </w:style>
  <w:style w:type="character" w:customStyle="1" w:styleId="hljs-selector-tag">
    <w:name w:val="hljs-selector-tag"/>
    <w:basedOn w:val="DefaultParagraphFont"/>
    <w:uiPriority w:val="1"/>
    <w:unhideWhenUsed/>
    <w:rsid w:val="00317D6F"/>
    <w:rPr>
      <w:color w:val="E45649"/>
    </w:rPr>
  </w:style>
  <w:style w:type="character" w:customStyle="1" w:styleId="hljs-selector-tag-slc">
    <w:name w:val="hljs-selector-tag-slc"/>
    <w:basedOn w:val="hljs-selector-tag"/>
    <w:uiPriority w:val="1"/>
    <w:unhideWhenUsed/>
    <w:rsid w:val="00317D6F"/>
    <w:rPr>
      <w:b/>
      <w:bCs/>
      <w:color w:val="E45649"/>
      <w:sz w:val="20"/>
      <w:shd w:val="clear" w:color="auto" w:fill="D4D4D4"/>
    </w:rPr>
  </w:style>
  <w:style w:type="character" w:customStyle="1" w:styleId="hljs-slc">
    <w:name w:val="hljs-slc"/>
    <w:basedOn w:val="DefaultParagraphFont"/>
    <w:uiPriority w:val="1"/>
    <w:unhideWhenUsed/>
    <w:rsid w:val="00317D6F"/>
    <w:rPr>
      <w:b/>
      <w:bCs/>
      <w:shd w:val="clear" w:color="auto" w:fill="D4D4D4"/>
      <w:lang w:val="en-IN"/>
    </w:rPr>
  </w:style>
  <w:style w:type="character" w:customStyle="1" w:styleId="hljs-string">
    <w:name w:val="hljs-string"/>
    <w:basedOn w:val="DefaultParagraphFont"/>
    <w:uiPriority w:val="1"/>
    <w:unhideWhenUsed/>
    <w:rsid w:val="00317D6F"/>
    <w:rPr>
      <w:color w:val="50A14F"/>
    </w:rPr>
  </w:style>
  <w:style w:type="character" w:customStyle="1" w:styleId="hljs-string-slc">
    <w:name w:val="hljs-string-slc"/>
    <w:basedOn w:val="hljs-string"/>
    <w:uiPriority w:val="1"/>
    <w:unhideWhenUsed/>
    <w:rsid w:val="00317D6F"/>
    <w:rPr>
      <w:b/>
      <w:bCs/>
      <w:color w:val="50A14F"/>
      <w:sz w:val="20"/>
      <w:shd w:val="clear" w:color="auto" w:fill="D4D4D4"/>
    </w:rPr>
  </w:style>
  <w:style w:type="character" w:customStyle="1" w:styleId="hljs-strong">
    <w:name w:val="hljs-strong"/>
    <w:basedOn w:val="DefaultParagraphFont"/>
    <w:uiPriority w:val="1"/>
    <w:unhideWhenUsed/>
    <w:rsid w:val="00317D6F"/>
    <w:rPr>
      <w:b/>
      <w:bCs/>
    </w:rPr>
  </w:style>
  <w:style w:type="character" w:customStyle="1" w:styleId="hljs-strong-slc">
    <w:name w:val="hljs-strong-slc"/>
    <w:basedOn w:val="hljs-strong"/>
    <w:uiPriority w:val="1"/>
    <w:unhideWhenUsed/>
    <w:rsid w:val="00317D6F"/>
    <w:rPr>
      <w:b/>
      <w:bCs/>
      <w:sz w:val="20"/>
      <w:shd w:val="clear" w:color="auto" w:fill="D4D4D4"/>
    </w:rPr>
  </w:style>
  <w:style w:type="character" w:customStyle="1" w:styleId="hljs-subst">
    <w:name w:val="hljs-subst"/>
    <w:basedOn w:val="DefaultParagraphFont"/>
    <w:uiPriority w:val="1"/>
    <w:unhideWhenUsed/>
    <w:rsid w:val="00317D6F"/>
    <w:rPr>
      <w:color w:val="E45649"/>
    </w:rPr>
  </w:style>
  <w:style w:type="character" w:customStyle="1" w:styleId="hljs-subst-slc">
    <w:name w:val="hljs-subst-slc"/>
    <w:basedOn w:val="hljs-subst"/>
    <w:uiPriority w:val="1"/>
    <w:unhideWhenUsed/>
    <w:rsid w:val="00317D6F"/>
    <w:rPr>
      <w:b/>
      <w:bCs/>
      <w:color w:val="E45649"/>
      <w:sz w:val="20"/>
      <w:shd w:val="clear" w:color="auto" w:fill="D4D4D4"/>
    </w:rPr>
  </w:style>
  <w:style w:type="character" w:customStyle="1" w:styleId="hljs-symbol">
    <w:name w:val="hljs-symbol"/>
    <w:basedOn w:val="DefaultParagraphFont"/>
    <w:uiPriority w:val="1"/>
    <w:unhideWhenUsed/>
    <w:rsid w:val="00317D6F"/>
    <w:rPr>
      <w:color w:val="4078F2"/>
    </w:rPr>
  </w:style>
  <w:style w:type="character" w:customStyle="1" w:styleId="hljs-symbol-slc">
    <w:name w:val="hljs-symbol-slc"/>
    <w:basedOn w:val="hljs-symbol"/>
    <w:uiPriority w:val="1"/>
    <w:unhideWhenUsed/>
    <w:rsid w:val="00317D6F"/>
    <w:rPr>
      <w:b/>
      <w:bCs/>
      <w:color w:val="4078F2"/>
      <w:sz w:val="20"/>
      <w:shd w:val="clear" w:color="auto" w:fill="D4D4D4"/>
    </w:rPr>
  </w:style>
  <w:style w:type="character" w:customStyle="1" w:styleId="hljs-tag">
    <w:name w:val="hljs-tag"/>
    <w:basedOn w:val="DefaultParagraphFont"/>
    <w:uiPriority w:val="1"/>
    <w:unhideWhenUsed/>
    <w:rsid w:val="00317D6F"/>
  </w:style>
  <w:style w:type="character" w:customStyle="1" w:styleId="hljs-tag-slc">
    <w:name w:val="hljs-tag-slc"/>
    <w:basedOn w:val="hljs-tag"/>
    <w:uiPriority w:val="1"/>
    <w:unhideWhenUsed/>
    <w:rsid w:val="00317D6F"/>
    <w:rPr>
      <w:b/>
      <w:bCs/>
      <w:sz w:val="20"/>
      <w:shd w:val="clear" w:color="auto" w:fill="D4D4D4"/>
    </w:rPr>
  </w:style>
  <w:style w:type="character" w:customStyle="1" w:styleId="hljs-template-tag">
    <w:name w:val="hljs-template-tag"/>
    <w:basedOn w:val="DefaultParagraphFont"/>
    <w:uiPriority w:val="1"/>
    <w:unhideWhenUsed/>
    <w:rsid w:val="00317D6F"/>
  </w:style>
  <w:style w:type="character" w:customStyle="1" w:styleId="hljs-template-tag-slc">
    <w:name w:val="hljs-template-tag-slc"/>
    <w:basedOn w:val="hljs-template-tag"/>
    <w:uiPriority w:val="1"/>
    <w:unhideWhenUsed/>
    <w:rsid w:val="00317D6F"/>
    <w:rPr>
      <w:b/>
      <w:bCs/>
      <w:sz w:val="20"/>
      <w:shd w:val="clear" w:color="auto" w:fill="D4D4D4"/>
    </w:rPr>
  </w:style>
  <w:style w:type="character" w:customStyle="1" w:styleId="hljs-template-variable">
    <w:name w:val="hljs-template-variable"/>
    <w:basedOn w:val="DefaultParagraphFont"/>
    <w:uiPriority w:val="1"/>
    <w:unhideWhenUsed/>
    <w:rsid w:val="00317D6F"/>
    <w:rPr>
      <w:color w:val="986801"/>
    </w:rPr>
  </w:style>
  <w:style w:type="character" w:customStyle="1" w:styleId="hljs-template-variable-slc">
    <w:name w:val="hljs-template-variable-slc"/>
    <w:basedOn w:val="hljs-template-variable"/>
    <w:uiPriority w:val="1"/>
    <w:unhideWhenUsed/>
    <w:rsid w:val="00317D6F"/>
    <w:rPr>
      <w:b/>
      <w:bCs/>
      <w:color w:val="986801"/>
      <w:sz w:val="20"/>
      <w:shd w:val="clear" w:color="auto" w:fill="D4D4D4"/>
    </w:rPr>
  </w:style>
  <w:style w:type="character" w:customStyle="1" w:styleId="hljs-title">
    <w:name w:val="hljs-title"/>
    <w:basedOn w:val="DefaultParagraphFont"/>
    <w:uiPriority w:val="1"/>
    <w:unhideWhenUsed/>
    <w:rsid w:val="00317D6F"/>
    <w:rPr>
      <w:color w:val="4078F2"/>
    </w:rPr>
  </w:style>
  <w:style w:type="character" w:customStyle="1" w:styleId="hljs-title-slc">
    <w:name w:val="hljs-title-slc"/>
    <w:basedOn w:val="hljs-title"/>
    <w:uiPriority w:val="1"/>
    <w:unhideWhenUsed/>
    <w:rsid w:val="00317D6F"/>
    <w:rPr>
      <w:b/>
      <w:bCs/>
      <w:color w:val="4078F2"/>
      <w:sz w:val="20"/>
      <w:shd w:val="clear" w:color="auto" w:fill="D4D4D4"/>
    </w:rPr>
  </w:style>
  <w:style w:type="character" w:customStyle="1" w:styleId="hljs-type">
    <w:name w:val="hljs-type"/>
    <w:basedOn w:val="DefaultParagraphFont"/>
    <w:uiPriority w:val="1"/>
    <w:unhideWhenUsed/>
    <w:rsid w:val="00317D6F"/>
    <w:rPr>
      <w:color w:val="986801"/>
    </w:rPr>
  </w:style>
  <w:style w:type="character" w:customStyle="1" w:styleId="hljs-type-slc">
    <w:name w:val="hljs-type-slc"/>
    <w:basedOn w:val="hljs-type"/>
    <w:uiPriority w:val="1"/>
    <w:unhideWhenUsed/>
    <w:rsid w:val="00317D6F"/>
    <w:rPr>
      <w:b/>
      <w:bCs/>
      <w:color w:val="986801"/>
      <w:sz w:val="20"/>
      <w:shd w:val="clear" w:color="auto" w:fill="D4D4D4"/>
    </w:rPr>
  </w:style>
  <w:style w:type="character" w:customStyle="1" w:styleId="hljs-typing">
    <w:name w:val="hljs-typing"/>
    <w:basedOn w:val="DefaultParagraphFont"/>
    <w:uiPriority w:val="1"/>
    <w:unhideWhenUsed/>
    <w:rsid w:val="00317D6F"/>
  </w:style>
  <w:style w:type="character" w:customStyle="1" w:styleId="hljs-typing-slc">
    <w:name w:val="hljs-typing-slc"/>
    <w:basedOn w:val="hljs-typing"/>
    <w:uiPriority w:val="1"/>
    <w:unhideWhenUsed/>
    <w:rsid w:val="00317D6F"/>
    <w:rPr>
      <w:b/>
      <w:bCs/>
      <w:sz w:val="20"/>
      <w:shd w:val="clear" w:color="auto" w:fill="D4D4D4"/>
    </w:rPr>
  </w:style>
  <w:style w:type="character" w:customStyle="1" w:styleId="hljs-variable">
    <w:name w:val="hljs-variable"/>
    <w:basedOn w:val="DefaultParagraphFont"/>
    <w:unhideWhenUsed/>
    <w:rsid w:val="00317D6F"/>
    <w:rPr>
      <w:color w:val="986801"/>
    </w:rPr>
  </w:style>
  <w:style w:type="character" w:customStyle="1" w:styleId="hljs-variable-slc">
    <w:name w:val="hljs-variable-slc"/>
    <w:basedOn w:val="hljs-variable"/>
    <w:uiPriority w:val="1"/>
    <w:unhideWhenUsed/>
    <w:rsid w:val="00317D6F"/>
    <w:rPr>
      <w:b/>
      <w:bCs/>
      <w:color w:val="986801"/>
      <w:sz w:val="20"/>
      <w:shd w:val="clear" w:color="auto" w:fill="D4D4D4"/>
    </w:rPr>
  </w:style>
  <w:style w:type="paragraph" w:customStyle="1" w:styleId="HS-ChapterNumber">
    <w:name w:val="HS - ChapterNumber"/>
    <w:next w:val="Normal"/>
    <w:rsid w:val="00317D6F"/>
    <w:pPr>
      <w:spacing w:after="450"/>
    </w:pPr>
    <w:rPr>
      <w:rFonts w:ascii="Jost* Medium" w:hAnsi="Jost* Medium" w:cs="Arial"/>
      <w:bCs/>
      <w:color w:val="000000"/>
      <w:kern w:val="32"/>
      <w:sz w:val="168"/>
      <w:szCs w:val="32"/>
      <w:lang w:val="en-GB"/>
    </w:rPr>
  </w:style>
  <w:style w:type="paragraph" w:customStyle="1" w:styleId="HS-ChapterTitle">
    <w:name w:val="HS - ChapterTitle"/>
    <w:next w:val="P0-Paragraph"/>
    <w:rsid w:val="00317D6F"/>
    <w:pPr>
      <w:spacing w:after="720"/>
    </w:pPr>
    <w:rPr>
      <w:rFonts w:ascii="Jost* Medium" w:hAnsi="Jost* Medium" w:cs="Arial"/>
      <w:bCs/>
      <w:color w:val="000000"/>
      <w:kern w:val="32"/>
      <w:sz w:val="56"/>
      <w:szCs w:val="32"/>
      <w:lang w:val="en-GB"/>
    </w:rPr>
  </w:style>
  <w:style w:type="paragraph" w:customStyle="1" w:styleId="HS-Heading1">
    <w:name w:val="HS - Heading 1"/>
    <w:next w:val="P0-Paragraph"/>
    <w:link w:val="HS-Heading1Char"/>
    <w:qFormat/>
    <w:rsid w:val="00317D6F"/>
    <w:pPr>
      <w:keepNext/>
      <w:spacing w:before="90" w:after="50"/>
      <w:outlineLvl w:val="0"/>
    </w:pPr>
    <w:rPr>
      <w:rFonts w:ascii="Jost*" w:hAnsi="Jost*"/>
      <w:b/>
      <w:sz w:val="32"/>
      <w:szCs w:val="24"/>
    </w:rPr>
  </w:style>
  <w:style w:type="character" w:customStyle="1" w:styleId="HS-Heading1Char">
    <w:name w:val="HS - Heading 1 Char"/>
    <w:basedOn w:val="DefaultParagraphFont"/>
    <w:link w:val="HS-Heading1"/>
    <w:rsid w:val="00317D6F"/>
    <w:rPr>
      <w:rFonts w:ascii="Jost*" w:hAnsi="Jost*"/>
      <w:b/>
      <w:sz w:val="32"/>
      <w:szCs w:val="24"/>
    </w:rPr>
  </w:style>
  <w:style w:type="paragraph" w:customStyle="1" w:styleId="HS-Heading2">
    <w:name w:val="HS - Heading 2"/>
    <w:basedOn w:val="HS-Heading1"/>
    <w:next w:val="P0-Paragraph"/>
    <w:rsid w:val="00317D6F"/>
    <w:pPr>
      <w:outlineLvl w:val="1"/>
    </w:pPr>
    <w:rPr>
      <w:sz w:val="28"/>
    </w:rPr>
  </w:style>
  <w:style w:type="paragraph" w:customStyle="1" w:styleId="HS-Heading3">
    <w:name w:val="HS - Heading 3"/>
    <w:basedOn w:val="HS-Heading1"/>
    <w:next w:val="P0-Paragraph"/>
    <w:rsid w:val="00317D6F"/>
    <w:pPr>
      <w:spacing w:before="72"/>
      <w:outlineLvl w:val="2"/>
    </w:pPr>
    <w:rPr>
      <w:sz w:val="26"/>
    </w:rPr>
  </w:style>
  <w:style w:type="paragraph" w:customStyle="1" w:styleId="HS-Heading4">
    <w:name w:val="HS - Heading 4"/>
    <w:basedOn w:val="HS-Heading1"/>
    <w:next w:val="P0-Paragraph"/>
    <w:rsid w:val="00317D6F"/>
    <w:pPr>
      <w:spacing w:before="72"/>
      <w:outlineLvl w:val="3"/>
    </w:pPr>
    <w:rPr>
      <w:sz w:val="24"/>
    </w:rPr>
  </w:style>
  <w:style w:type="paragraph" w:customStyle="1" w:styleId="HS-Heading5">
    <w:name w:val="HS - Heading 5"/>
    <w:basedOn w:val="HS-Heading1"/>
    <w:next w:val="P0-Paragraph"/>
    <w:rsid w:val="00317D6F"/>
    <w:pPr>
      <w:spacing w:before="50"/>
      <w:outlineLvl w:val="4"/>
    </w:pPr>
    <w:rPr>
      <w:rFonts w:ascii="Jost* Semi" w:hAnsi="Jost* Semi"/>
      <w:b w:val="0"/>
      <w:sz w:val="24"/>
    </w:rPr>
  </w:style>
  <w:style w:type="paragraph" w:customStyle="1" w:styleId="HS-Heading6">
    <w:name w:val="HS - Heading 6"/>
    <w:basedOn w:val="HS-Heading1"/>
    <w:next w:val="P0-Paragraph"/>
    <w:rsid w:val="00317D6F"/>
    <w:pPr>
      <w:spacing w:before="50"/>
      <w:outlineLvl w:val="5"/>
    </w:pPr>
    <w:rPr>
      <w:rFonts w:ascii="Jost* Semi" w:hAnsi="Jost* Semi"/>
      <w:b w:val="0"/>
      <w:sz w:val="24"/>
    </w:rPr>
  </w:style>
  <w:style w:type="paragraph" w:customStyle="1" w:styleId="HS-MainHeading">
    <w:name w:val="HS - MainHeading"/>
    <w:basedOn w:val="HS-ChapterTitle"/>
    <w:rsid w:val="00317D6F"/>
    <w:pPr>
      <w:spacing w:before="900"/>
      <w:jc w:val="right"/>
    </w:pPr>
    <w:rPr>
      <w:rFonts w:ascii="Jost* Semi" w:hAnsi="Jost* Semi"/>
    </w:rPr>
  </w:style>
  <w:style w:type="paragraph" w:customStyle="1" w:styleId="HS-PartNumber">
    <w:name w:val="HS - PartNumber"/>
    <w:basedOn w:val="HS-ChapterTitle"/>
    <w:next w:val="Normal"/>
    <w:rsid w:val="00317D6F"/>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317D6F"/>
    <w:rPr>
      <w:rFonts w:ascii="Jost*" w:hAnsi="Jost*"/>
      <w:sz w:val="72"/>
    </w:rPr>
  </w:style>
  <w:style w:type="paragraph" w:customStyle="1" w:styleId="I0-InfoBox">
    <w:name w:val="I0 - InfoBox"/>
    <w:basedOn w:val="P0-Paragraph"/>
    <w:link w:val="I0-InfoBoxChar"/>
    <w:qFormat/>
    <w:rsid w:val="00317D6F"/>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317D6F"/>
    <w:rPr>
      <w:rFonts w:ascii="Crimson Pro" w:hAnsi="Crimson Pro"/>
      <w:szCs w:val="24"/>
      <w:shd w:val="clear" w:color="auto" w:fill="FFFFFF"/>
    </w:rPr>
  </w:style>
  <w:style w:type="paragraph" w:customStyle="1" w:styleId="I0-InfoBoxBullet">
    <w:name w:val="I0 - InfoBoxBullet"/>
    <w:basedOn w:val="I0-InfoBox"/>
    <w:qFormat/>
    <w:rsid w:val="00317D6F"/>
    <w:pPr>
      <w:numPr>
        <w:numId w:val="13"/>
      </w:numPr>
      <w:spacing w:after="0"/>
      <w:ind w:left="360"/>
      <w:contextualSpacing/>
    </w:pPr>
  </w:style>
  <w:style w:type="paragraph" w:customStyle="1" w:styleId="I0-InfoBoxFigure">
    <w:name w:val="I0 - InfoBoxFigure"/>
    <w:basedOn w:val="I0-InfoBox"/>
    <w:qFormat/>
    <w:rsid w:val="00317D6F"/>
    <w:pPr>
      <w:jc w:val="center"/>
    </w:pPr>
    <w:rPr>
      <w:sz w:val="16"/>
    </w:rPr>
  </w:style>
  <w:style w:type="paragraph" w:customStyle="1" w:styleId="I0-InfoBoxCaption">
    <w:name w:val="I0 - InfoBoxCaption"/>
    <w:basedOn w:val="I0-InfoBoxFigure"/>
    <w:rsid w:val="00317D6F"/>
  </w:style>
  <w:style w:type="paragraph" w:customStyle="1" w:styleId="I0-InfoBoxCenter">
    <w:name w:val="I0 - InfoBoxCenter"/>
    <w:basedOn w:val="I0-InfoBox"/>
    <w:rsid w:val="00317D6F"/>
    <w:pPr>
      <w:jc w:val="center"/>
    </w:pPr>
  </w:style>
  <w:style w:type="paragraph" w:customStyle="1" w:styleId="I0-InfoBoxCode">
    <w:name w:val="I0 - InfoBoxCode"/>
    <w:basedOn w:val="I0-InfoBox"/>
    <w:rsid w:val="00317D6F"/>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317D6F"/>
    <w:pPr>
      <w:shd w:val="clear" w:color="auto" w:fill="282A36"/>
    </w:pPr>
    <w:rPr>
      <w:color w:val="F8F8F2"/>
    </w:rPr>
  </w:style>
  <w:style w:type="paragraph" w:customStyle="1" w:styleId="I0-InfoBoxNumberedList">
    <w:name w:val="I0 - InfoBoxNumberedList"/>
    <w:basedOn w:val="I0-InfoBoxBullet"/>
    <w:rsid w:val="00317D6F"/>
    <w:pPr>
      <w:numPr>
        <w:numId w:val="3"/>
      </w:numPr>
      <w:ind w:left="360"/>
    </w:pPr>
  </w:style>
  <w:style w:type="paragraph" w:customStyle="1" w:styleId="L1-Bullet">
    <w:name w:val="L1 - Bullet"/>
    <w:basedOn w:val="P0-Paragraph"/>
    <w:autoRedefine/>
    <w:rsid w:val="00317D6F"/>
    <w:pPr>
      <w:numPr>
        <w:numId w:val="15"/>
      </w:numPr>
      <w:tabs>
        <w:tab w:val="left" w:pos="360"/>
      </w:tabs>
      <w:suppressAutoHyphens/>
      <w:spacing w:after="126"/>
      <w:ind w:left="990"/>
      <w:contextualSpacing/>
    </w:pPr>
  </w:style>
  <w:style w:type="paragraph" w:customStyle="1" w:styleId="L1-Alphabet">
    <w:name w:val="L1 - Alphabet"/>
    <w:basedOn w:val="L1-Bullet"/>
    <w:rsid w:val="00317D6F"/>
    <w:pPr>
      <w:numPr>
        <w:numId w:val="4"/>
      </w:numPr>
      <w:spacing w:after="2"/>
      <w:ind w:left="990"/>
    </w:pPr>
  </w:style>
  <w:style w:type="paragraph" w:customStyle="1" w:styleId="L1-Numbered">
    <w:name w:val="L1 - Numbered"/>
    <w:basedOn w:val="L1-Bullet"/>
    <w:rsid w:val="00317D6F"/>
    <w:pPr>
      <w:numPr>
        <w:numId w:val="5"/>
      </w:numPr>
      <w:ind w:left="990" w:hanging="360"/>
    </w:pPr>
  </w:style>
  <w:style w:type="paragraph" w:customStyle="1" w:styleId="L2-Bullet">
    <w:name w:val="L2 - Bullet"/>
    <w:basedOn w:val="L1-Bullet"/>
    <w:rsid w:val="00317D6F"/>
    <w:pPr>
      <w:ind w:left="1620"/>
    </w:pPr>
  </w:style>
  <w:style w:type="paragraph" w:customStyle="1" w:styleId="L2-Alphabet">
    <w:name w:val="L2 - Alphabet"/>
    <w:basedOn w:val="L2-Bullet"/>
    <w:qFormat/>
    <w:rsid w:val="00317D6F"/>
    <w:pPr>
      <w:numPr>
        <w:numId w:val="7"/>
      </w:numPr>
      <w:ind w:left="1620"/>
    </w:pPr>
    <w:rPr>
      <w:bCs/>
    </w:rPr>
  </w:style>
  <w:style w:type="paragraph" w:customStyle="1" w:styleId="L2-Numbered">
    <w:name w:val="L2 - Numbered"/>
    <w:basedOn w:val="L2-Bullet"/>
    <w:rsid w:val="00317D6F"/>
    <w:pPr>
      <w:numPr>
        <w:numId w:val="8"/>
      </w:numPr>
      <w:ind w:left="1620"/>
    </w:pPr>
  </w:style>
  <w:style w:type="paragraph" w:customStyle="1" w:styleId="L3-Bullet">
    <w:name w:val="L3 - Bullet"/>
    <w:basedOn w:val="L2-Bullet"/>
    <w:rsid w:val="00317D6F"/>
    <w:pPr>
      <w:ind w:left="2250"/>
    </w:pPr>
  </w:style>
  <w:style w:type="paragraph" w:customStyle="1" w:styleId="L3-Alphabet">
    <w:name w:val="L3 - Alphabet"/>
    <w:basedOn w:val="L3-Bullet"/>
    <w:rsid w:val="00317D6F"/>
    <w:pPr>
      <w:numPr>
        <w:numId w:val="10"/>
      </w:numPr>
      <w:ind w:left="2250"/>
    </w:pPr>
  </w:style>
  <w:style w:type="paragraph" w:customStyle="1" w:styleId="L3-Numbered">
    <w:name w:val="L3 - Numbered"/>
    <w:basedOn w:val="L3-Bullet"/>
    <w:rsid w:val="00317D6F"/>
    <w:pPr>
      <w:numPr>
        <w:numId w:val="11"/>
      </w:numPr>
      <w:ind w:left="2250"/>
    </w:pPr>
  </w:style>
  <w:style w:type="paragraph" w:customStyle="1" w:styleId="P0-ParagraphCenter">
    <w:name w:val="P0 - ParagraphCenter"/>
    <w:basedOn w:val="P0-Paragraph"/>
    <w:rsid w:val="00317D6F"/>
    <w:pPr>
      <w:jc w:val="center"/>
    </w:pPr>
  </w:style>
  <w:style w:type="paragraph" w:customStyle="1" w:styleId="P1-Paragraph">
    <w:name w:val="P1 - Paragraph"/>
    <w:basedOn w:val="L1-Bullet"/>
    <w:rsid w:val="00317D6F"/>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317D6F"/>
    <w:pPr>
      <w:ind w:left="634"/>
      <w:jc w:val="center"/>
    </w:pPr>
  </w:style>
  <w:style w:type="paragraph" w:customStyle="1" w:styleId="P2-Paragraph">
    <w:name w:val="P2 - Paragraph"/>
    <w:basedOn w:val="P1-Paragraph"/>
    <w:rsid w:val="00317D6F"/>
    <w:pPr>
      <w:ind w:left="1260"/>
    </w:pPr>
  </w:style>
  <w:style w:type="paragraph" w:customStyle="1" w:styleId="P2-ParagraphCenter">
    <w:name w:val="P2 - ParagraphCenter"/>
    <w:basedOn w:val="P2-Paragraph"/>
    <w:rsid w:val="00317D6F"/>
    <w:pPr>
      <w:ind w:left="1267"/>
      <w:jc w:val="center"/>
    </w:pPr>
  </w:style>
  <w:style w:type="paragraph" w:customStyle="1" w:styleId="QS-Quote">
    <w:name w:val="QS - Quote"/>
    <w:basedOn w:val="P0-Paragraph"/>
    <w:rsid w:val="00317D6F"/>
    <w:pPr>
      <w:shd w:val="clear" w:color="auto" w:fill="FFFF00"/>
      <w:spacing w:after="126"/>
      <w:ind w:left="540"/>
    </w:pPr>
    <w:rPr>
      <w:i/>
      <w:sz w:val="22"/>
    </w:rPr>
  </w:style>
  <w:style w:type="paragraph" w:customStyle="1" w:styleId="QS-Cite">
    <w:name w:val="QS - Cite"/>
    <w:basedOn w:val="QS-Quote"/>
    <w:next w:val="P0-Paragraph"/>
    <w:rsid w:val="00317D6F"/>
    <w:pPr>
      <w:ind w:left="547"/>
      <w:jc w:val="right"/>
    </w:pPr>
  </w:style>
  <w:style w:type="paragraph" w:customStyle="1" w:styleId="T0-TipBox">
    <w:name w:val="T0 - TipBox"/>
    <w:basedOn w:val="I0-InfoBox"/>
    <w:qFormat/>
    <w:rsid w:val="00317D6F"/>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317D6F"/>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317D6F"/>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317D6F"/>
  </w:style>
  <w:style w:type="paragraph" w:customStyle="1" w:styleId="T0-TipBoxCenter">
    <w:name w:val="T0 - TipBoxCenter"/>
    <w:basedOn w:val="T0-TipBox"/>
    <w:rsid w:val="00317D6F"/>
    <w:pPr>
      <w:jc w:val="center"/>
    </w:pPr>
  </w:style>
  <w:style w:type="paragraph" w:customStyle="1" w:styleId="T0-TipBoxCode">
    <w:name w:val="T0 - TipBoxCode"/>
    <w:basedOn w:val="I0-InfoBoxCode"/>
    <w:rsid w:val="00317D6F"/>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317D6F"/>
    <w:pPr>
      <w:shd w:val="clear" w:color="auto" w:fill="282A36"/>
    </w:pPr>
    <w:rPr>
      <w:color w:val="F8F8F2"/>
    </w:rPr>
  </w:style>
  <w:style w:type="paragraph" w:customStyle="1" w:styleId="T0-TipBoxNumberedList">
    <w:name w:val="T0 - TipBoxNumberedList"/>
    <w:basedOn w:val="T0-TipBoxBullet"/>
    <w:rsid w:val="00317D6F"/>
    <w:pPr>
      <w:numPr>
        <w:numId w:val="14"/>
      </w:numPr>
      <w:ind w:left="360"/>
    </w:pPr>
  </w:style>
  <w:style w:type="paragraph" w:customStyle="1" w:styleId="T0-Table">
    <w:name w:val="T0 - Table"/>
    <w:basedOn w:val="Normal"/>
    <w:rsid w:val="00317D6F"/>
    <w:pPr>
      <w:spacing w:after="126"/>
    </w:pPr>
    <w:rPr>
      <w:rFonts w:ascii="Crimson Pro" w:hAnsi="Crimson Pro" w:cs="Arial"/>
      <w:bCs/>
      <w:kern w:val="0"/>
      <w:sz w:val="20"/>
      <w14:ligatures w14:val="none"/>
    </w:rPr>
  </w:style>
  <w:style w:type="paragraph" w:customStyle="1" w:styleId="T0-TableBullet">
    <w:name w:val="T0 - TableBullet"/>
    <w:basedOn w:val="L1-Bullet"/>
    <w:qFormat/>
    <w:rsid w:val="00317D6F"/>
    <w:pPr>
      <w:spacing w:before="60" w:after="60"/>
      <w:ind w:left="432" w:right="72"/>
    </w:pPr>
    <w:rPr>
      <w:sz w:val="20"/>
      <w:lang w:eastAsia="ar-SA"/>
    </w:rPr>
  </w:style>
  <w:style w:type="paragraph" w:customStyle="1" w:styleId="T0-TableFigure">
    <w:name w:val="T0 - TableFigure"/>
    <w:basedOn w:val="T0-Table"/>
    <w:next w:val="Normal"/>
    <w:qFormat/>
    <w:rsid w:val="00317D6F"/>
    <w:pPr>
      <w:spacing w:before="120" w:after="120"/>
      <w:jc w:val="center"/>
    </w:pPr>
    <w:rPr>
      <w:sz w:val="16"/>
    </w:rPr>
  </w:style>
  <w:style w:type="paragraph" w:customStyle="1" w:styleId="T0-TableCaption">
    <w:name w:val="T0 - TableCaption"/>
    <w:basedOn w:val="T0-TableFigure"/>
    <w:next w:val="T0-Table"/>
    <w:rsid w:val="00317D6F"/>
  </w:style>
  <w:style w:type="paragraph" w:customStyle="1" w:styleId="T0-TableCenter">
    <w:name w:val="T0 - TableCenter"/>
    <w:basedOn w:val="T0-Table"/>
    <w:rsid w:val="00317D6F"/>
    <w:pPr>
      <w:jc w:val="center"/>
    </w:pPr>
  </w:style>
  <w:style w:type="paragraph" w:customStyle="1" w:styleId="T0-TableCode">
    <w:name w:val="T0 - TableCode"/>
    <w:basedOn w:val="T0-Table"/>
    <w:rsid w:val="00317D6F"/>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317D6F"/>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317D6F"/>
    <w:pPr>
      <w:numPr>
        <w:numId w:val="16"/>
      </w:numPr>
    </w:pPr>
  </w:style>
  <w:style w:type="paragraph" w:styleId="HTMLPreformatted">
    <w:name w:val="HTML Preformatted"/>
    <w:basedOn w:val="Normal"/>
    <w:link w:val="HTMLPreformattedChar"/>
    <w:uiPriority w:val="99"/>
    <w:semiHidden/>
    <w:unhideWhenUsed/>
    <w:rsid w:val="00317D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7D6F"/>
    <w:rPr>
      <w:rFonts w:ascii="Consolas" w:eastAsiaTheme="minorHAnsi" w:hAnsi="Consolas" w:cstheme="minorBidi"/>
      <w:kern w:val="2"/>
      <w14:ligatures w14:val="standardContextual"/>
    </w:rPr>
  </w:style>
  <w:style w:type="character" w:customStyle="1" w:styleId="TitleChar">
    <w:name w:val="Title Char"/>
    <w:basedOn w:val="DefaultParagraphFont"/>
    <w:link w:val="Title"/>
    <w:uiPriority w:val="10"/>
    <w:rsid w:val="00317D6F"/>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rsid w:val="00317D6F"/>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317D6F"/>
    <w:pPr>
      <w:spacing w:before="160"/>
      <w:jc w:val="center"/>
    </w:pPr>
    <w:rPr>
      <w:i/>
      <w:iCs/>
      <w:color w:val="404040" w:themeColor="text1" w:themeTint="BF"/>
    </w:rPr>
  </w:style>
  <w:style w:type="character" w:customStyle="1" w:styleId="QuoteChar">
    <w:name w:val="Quote Char"/>
    <w:basedOn w:val="DefaultParagraphFont"/>
    <w:link w:val="Quote"/>
    <w:uiPriority w:val="29"/>
    <w:rsid w:val="00317D6F"/>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317D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17D6F"/>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Emphasis">
    <w:name w:val="Intense Emphasis"/>
    <w:basedOn w:val="DefaultParagraphFont"/>
    <w:uiPriority w:val="21"/>
    <w:qFormat/>
    <w:rsid w:val="00317D6F"/>
    <w:rPr>
      <w:i/>
      <w:iCs/>
      <w:color w:val="365F91" w:themeColor="accent1" w:themeShade="BF"/>
    </w:rPr>
  </w:style>
  <w:style w:type="character" w:styleId="IntenseReference">
    <w:name w:val="Intense Reference"/>
    <w:basedOn w:val="DefaultParagraphFont"/>
    <w:uiPriority w:val="32"/>
    <w:qFormat/>
    <w:rsid w:val="00317D6F"/>
    <w:rPr>
      <w:b/>
      <w:bCs/>
      <w:smallCaps/>
      <w:color w:val="365F91" w:themeColor="accent1" w:themeShade="BF"/>
      <w:spacing w:val="5"/>
    </w:rPr>
  </w:style>
  <w:style w:type="paragraph" w:styleId="NoSpacing">
    <w:name w:val="No Spacing"/>
    <w:uiPriority w:val="1"/>
    <w:qFormat/>
    <w:rsid w:val="00317D6F"/>
    <w:rPr>
      <w:rFonts w:asciiTheme="minorHAnsi" w:eastAsiaTheme="minorHAnsi" w:hAnsiTheme="minorHAnsi" w:cstheme="minorBidi"/>
      <w:kern w:val="2"/>
      <w:sz w:val="24"/>
      <w:szCs w:val="24"/>
      <w14:ligatures w14:val="standardContextual"/>
    </w:rPr>
  </w:style>
  <w:style w:type="paragraph" w:customStyle="1" w:styleId="EQ-Normal">
    <w:name w:val="EQ - Normal"/>
    <w:rsid w:val="00317D6F"/>
    <w:pPr>
      <w:spacing w:line="278" w:lineRule="auto"/>
    </w:pPr>
    <w:rPr>
      <w:rFonts w:ascii="Book Antiqua" w:hAnsi="Book Antiqua"/>
      <w:sz w:val="19"/>
      <w:szCs w:val="24"/>
    </w:rPr>
  </w:style>
  <w:style w:type="character" w:customStyle="1" w:styleId="EQ-Ruler">
    <w:name w:val="EQ - Ruler"/>
    <w:basedOn w:val="DefaultParagraphFont"/>
    <w:uiPriority w:val="1"/>
    <w:rsid w:val="00317D6F"/>
    <w:rPr>
      <w:rFonts w:ascii="Book Antiqua" w:hAnsi="Book Antiqua"/>
      <w:position w:val="490"/>
      <w:sz w:val="10"/>
    </w:rPr>
  </w:style>
  <w:style w:type="paragraph" w:customStyle="1" w:styleId="EQ-Small">
    <w:name w:val="EQ - Small"/>
    <w:rsid w:val="00317D6F"/>
    <w:pPr>
      <w:spacing w:line="278" w:lineRule="auto"/>
    </w:pPr>
    <w:rPr>
      <w:rFonts w:ascii="Book Antiqua" w:hAnsi="Book Antiqua"/>
      <w:sz w:val="18"/>
      <w:szCs w:val="24"/>
    </w:rPr>
  </w:style>
  <w:style w:type="character" w:styleId="PlaceholderText">
    <w:name w:val="Placeholder Text"/>
    <w:basedOn w:val="DefaultParagraphFont"/>
    <w:uiPriority w:val="99"/>
    <w:semiHidden/>
    <w:rsid w:val="00317D6F"/>
    <w:rPr>
      <w:color w:val="666666"/>
    </w:rPr>
  </w:style>
  <w:style w:type="character" w:styleId="CommentReference">
    <w:name w:val="annotation reference"/>
    <w:basedOn w:val="DefaultParagraphFont"/>
    <w:uiPriority w:val="99"/>
    <w:semiHidden/>
    <w:unhideWhenUsed/>
    <w:rsid w:val="00317D6F"/>
    <w:rPr>
      <w:sz w:val="16"/>
      <w:szCs w:val="16"/>
    </w:rPr>
  </w:style>
  <w:style w:type="paragraph" w:styleId="CommentText">
    <w:name w:val="annotation text"/>
    <w:basedOn w:val="Normal"/>
    <w:link w:val="CommentTextChar"/>
    <w:uiPriority w:val="99"/>
    <w:semiHidden/>
    <w:unhideWhenUsed/>
    <w:rsid w:val="00317D6F"/>
    <w:pPr>
      <w:spacing w:line="240" w:lineRule="auto"/>
    </w:pPr>
    <w:rPr>
      <w:sz w:val="20"/>
      <w:szCs w:val="20"/>
    </w:rPr>
  </w:style>
  <w:style w:type="character" w:customStyle="1" w:styleId="CommentTextChar">
    <w:name w:val="Comment Text Char"/>
    <w:basedOn w:val="DefaultParagraphFont"/>
    <w:link w:val="CommentText"/>
    <w:uiPriority w:val="99"/>
    <w:semiHidden/>
    <w:rsid w:val="00317D6F"/>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317D6F"/>
    <w:rPr>
      <w:b/>
      <w:bCs/>
    </w:rPr>
  </w:style>
  <w:style w:type="character" w:customStyle="1" w:styleId="CommentSubjectChar">
    <w:name w:val="Comment Subject Char"/>
    <w:basedOn w:val="CommentTextChar"/>
    <w:link w:val="CommentSubject"/>
    <w:uiPriority w:val="99"/>
    <w:semiHidden/>
    <w:rsid w:val="00317D6F"/>
    <w:rPr>
      <w:rFonts w:asciiTheme="minorHAnsi" w:eastAsiaTheme="minorHAnsi" w:hAnsiTheme="minorHAnsi" w:cstheme="minorBidi"/>
      <w:b/>
      <w:bCs/>
      <w:kern w:val="2"/>
      <w14:ligatures w14:val="standardContextual"/>
    </w:rPr>
  </w:style>
  <w:style w:type="character" w:customStyle="1" w:styleId="IC-Icon-Packt">
    <w:name w:val="IC - Icon-Packt"/>
    <w:basedOn w:val="CS-Italic"/>
    <w:uiPriority w:val="1"/>
    <w:qFormat/>
    <w:rsid w:val="00317D6F"/>
    <w:rPr>
      <w:i w:val="0"/>
      <w:color w:val="000000" w:themeColor="text1"/>
    </w:rPr>
  </w:style>
  <w:style w:type="paragraph" w:customStyle="1" w:styleId="I1-InfoBox">
    <w:name w:val="I1 - InfoBox"/>
    <w:basedOn w:val="I0-InfoBox"/>
    <w:qFormat/>
    <w:rsid w:val="00317D6F"/>
    <w:pPr>
      <w:ind w:left="454"/>
    </w:pPr>
  </w:style>
  <w:style w:type="paragraph" w:customStyle="1" w:styleId="I1-InfoBoxBullet">
    <w:name w:val="I1 - InfoBoxBullet"/>
    <w:basedOn w:val="I0-InfoBoxBullet"/>
    <w:qFormat/>
    <w:rsid w:val="00317D6F"/>
    <w:pPr>
      <w:ind w:left="811" w:hanging="357"/>
    </w:pPr>
  </w:style>
  <w:style w:type="paragraph" w:customStyle="1" w:styleId="I1-InfoBoxCaption">
    <w:name w:val="I1 - InfoBoxCaption"/>
    <w:basedOn w:val="I0-InfoBoxCaption"/>
    <w:qFormat/>
    <w:rsid w:val="00317D6F"/>
    <w:pPr>
      <w:ind w:left="454"/>
    </w:pPr>
  </w:style>
  <w:style w:type="paragraph" w:customStyle="1" w:styleId="I1-InfoBoxCenter">
    <w:name w:val="I1 - InfoBoxCenter"/>
    <w:basedOn w:val="I0-InfoBoxCenter"/>
    <w:qFormat/>
    <w:rsid w:val="00317D6F"/>
    <w:pPr>
      <w:ind w:left="454"/>
    </w:pPr>
  </w:style>
  <w:style w:type="paragraph" w:customStyle="1" w:styleId="I1-InfoBoxCode">
    <w:name w:val="I1 - InfoBoxCode"/>
    <w:basedOn w:val="I0-InfoBoxCode"/>
    <w:qFormat/>
    <w:rsid w:val="00317D6F"/>
    <w:pPr>
      <w:ind w:left="454"/>
    </w:pPr>
  </w:style>
  <w:style w:type="paragraph" w:customStyle="1" w:styleId="I1-InfoBoxConsole">
    <w:name w:val="I1 - InfoBoxConsole"/>
    <w:basedOn w:val="I0-InfoBoxConsole"/>
    <w:qFormat/>
    <w:rsid w:val="00317D6F"/>
    <w:pPr>
      <w:ind w:left="454"/>
    </w:pPr>
  </w:style>
  <w:style w:type="paragraph" w:customStyle="1" w:styleId="I1-InfoBoxFigure">
    <w:name w:val="I1 - InfoBoxFigure"/>
    <w:basedOn w:val="I0-InfoBoxFigure"/>
    <w:qFormat/>
    <w:rsid w:val="00317D6F"/>
    <w:pPr>
      <w:ind w:left="454"/>
    </w:pPr>
  </w:style>
  <w:style w:type="paragraph" w:customStyle="1" w:styleId="I1-InfoBoxNumberedList">
    <w:name w:val="I1 - InfoBoxNumberedList"/>
    <w:basedOn w:val="I0-InfoBoxNumberedList"/>
    <w:qFormat/>
    <w:rsid w:val="00317D6F"/>
    <w:pPr>
      <w:ind w:left="811" w:hanging="357"/>
    </w:pPr>
  </w:style>
  <w:style w:type="paragraph" w:customStyle="1" w:styleId="I2-InfoBox">
    <w:name w:val="I2 - InfoBox"/>
    <w:basedOn w:val="I1-InfoBox"/>
    <w:qFormat/>
    <w:rsid w:val="00317D6F"/>
    <w:pPr>
      <w:ind w:left="794"/>
    </w:pPr>
  </w:style>
  <w:style w:type="paragraph" w:customStyle="1" w:styleId="I2-InfoBoxBullet">
    <w:name w:val="I2 - InfoBoxBullet"/>
    <w:basedOn w:val="I1-InfoBoxBullet"/>
    <w:qFormat/>
    <w:rsid w:val="00317D6F"/>
    <w:pPr>
      <w:ind w:left="1151"/>
    </w:pPr>
  </w:style>
  <w:style w:type="paragraph" w:customStyle="1" w:styleId="I2-InfoBoxCaption">
    <w:name w:val="I2 - InfoBoxCaption"/>
    <w:basedOn w:val="I1-InfoBoxCaption"/>
    <w:qFormat/>
    <w:rsid w:val="00317D6F"/>
    <w:pPr>
      <w:ind w:left="794"/>
    </w:pPr>
  </w:style>
  <w:style w:type="paragraph" w:customStyle="1" w:styleId="I2-InfoBoxCenter">
    <w:name w:val="I2 - InfoBoxCenter"/>
    <w:basedOn w:val="I1-InfoBoxCenter"/>
    <w:qFormat/>
    <w:rsid w:val="00317D6F"/>
    <w:pPr>
      <w:ind w:left="794"/>
    </w:pPr>
  </w:style>
  <w:style w:type="paragraph" w:customStyle="1" w:styleId="I2-InfoBoxCode">
    <w:name w:val="I2 - InfoBoxCode"/>
    <w:basedOn w:val="I1-InfoBoxCode"/>
    <w:qFormat/>
    <w:rsid w:val="00317D6F"/>
    <w:pPr>
      <w:ind w:left="794"/>
    </w:pPr>
  </w:style>
  <w:style w:type="paragraph" w:customStyle="1" w:styleId="I2-InfoBoxConsole">
    <w:name w:val="I2 - InfoBoxConsole"/>
    <w:basedOn w:val="I1-InfoBoxConsole"/>
    <w:qFormat/>
    <w:rsid w:val="00317D6F"/>
    <w:pPr>
      <w:ind w:left="794"/>
    </w:pPr>
  </w:style>
  <w:style w:type="paragraph" w:customStyle="1" w:styleId="I2-InfoBoxFigure">
    <w:name w:val="I2 - InfoBoxFigure"/>
    <w:basedOn w:val="I1-InfoBoxFigure"/>
    <w:qFormat/>
    <w:rsid w:val="00317D6F"/>
    <w:pPr>
      <w:ind w:left="794"/>
    </w:pPr>
  </w:style>
  <w:style w:type="paragraph" w:customStyle="1" w:styleId="I2-InfoBoxNumberedList">
    <w:name w:val="I2 - InfoBoxNumberedList"/>
    <w:basedOn w:val="I1-InfoBoxNumberedList"/>
    <w:qFormat/>
    <w:rsid w:val="00317D6F"/>
    <w:pPr>
      <w:ind w:left="1151"/>
    </w:pPr>
  </w:style>
  <w:style w:type="paragraph" w:customStyle="1" w:styleId="T1-TipBox">
    <w:name w:val="T1 - TipBox"/>
    <w:basedOn w:val="T0-TipBox"/>
    <w:qFormat/>
    <w:rsid w:val="00317D6F"/>
    <w:pPr>
      <w:ind w:left="454"/>
    </w:pPr>
  </w:style>
  <w:style w:type="paragraph" w:customStyle="1" w:styleId="T1-TipBoxBullet">
    <w:name w:val="T1 - TipBoxBullet"/>
    <w:basedOn w:val="T0-TipBoxBullet"/>
    <w:qFormat/>
    <w:rsid w:val="00317D6F"/>
    <w:pPr>
      <w:ind w:left="811" w:hanging="357"/>
    </w:pPr>
  </w:style>
  <w:style w:type="paragraph" w:customStyle="1" w:styleId="T1-TipBoxCaption">
    <w:name w:val="T1 - TipBoxCaption"/>
    <w:basedOn w:val="T0-TipBoxCaption"/>
    <w:qFormat/>
    <w:rsid w:val="00317D6F"/>
    <w:pPr>
      <w:ind w:left="454"/>
    </w:pPr>
  </w:style>
  <w:style w:type="paragraph" w:customStyle="1" w:styleId="T1-TipBoxCenter">
    <w:name w:val="T1 - TipBoxCenter"/>
    <w:basedOn w:val="T0-TipBoxCenter"/>
    <w:qFormat/>
    <w:rsid w:val="00317D6F"/>
    <w:pPr>
      <w:ind w:left="454"/>
    </w:pPr>
  </w:style>
  <w:style w:type="paragraph" w:customStyle="1" w:styleId="T1-TipBoxCode">
    <w:name w:val="T1 - TipBoxCode"/>
    <w:basedOn w:val="T0-TipBoxCode"/>
    <w:qFormat/>
    <w:rsid w:val="00317D6F"/>
    <w:pPr>
      <w:ind w:left="454"/>
    </w:pPr>
  </w:style>
  <w:style w:type="paragraph" w:customStyle="1" w:styleId="T1-TipBoxConsole">
    <w:name w:val="T1 - TipBoxConsole"/>
    <w:basedOn w:val="T0-TipBoxConsole"/>
    <w:qFormat/>
    <w:rsid w:val="00317D6F"/>
    <w:pPr>
      <w:ind w:left="454"/>
    </w:pPr>
  </w:style>
  <w:style w:type="paragraph" w:customStyle="1" w:styleId="T1-TipBoxFigure">
    <w:name w:val="T1 - TipBoxFigure"/>
    <w:basedOn w:val="T0-TipBoxFigure"/>
    <w:qFormat/>
    <w:rsid w:val="00317D6F"/>
    <w:pPr>
      <w:ind w:left="454"/>
    </w:pPr>
  </w:style>
  <w:style w:type="paragraph" w:customStyle="1" w:styleId="T1-TipBoxNumberedList">
    <w:name w:val="T1 - TipBoxNumberedList"/>
    <w:basedOn w:val="T0-TipBoxNumberedList"/>
    <w:qFormat/>
    <w:rsid w:val="00317D6F"/>
  </w:style>
  <w:style w:type="paragraph" w:customStyle="1" w:styleId="T2-TipBox">
    <w:name w:val="T2 - TipBox"/>
    <w:basedOn w:val="T1-TipBox"/>
    <w:qFormat/>
    <w:rsid w:val="00317D6F"/>
    <w:pPr>
      <w:ind w:left="794"/>
    </w:pPr>
  </w:style>
  <w:style w:type="paragraph" w:customStyle="1" w:styleId="T2-TipBoxBullet">
    <w:name w:val="T2 - TipBoxBullet"/>
    <w:basedOn w:val="T1-TipBoxBullet"/>
    <w:qFormat/>
    <w:rsid w:val="00317D6F"/>
    <w:pPr>
      <w:ind w:left="1151"/>
    </w:pPr>
  </w:style>
  <w:style w:type="paragraph" w:customStyle="1" w:styleId="T2-TipBoxCaption">
    <w:name w:val="T2 - TipBoxCaption"/>
    <w:basedOn w:val="T1-TipBoxCaption"/>
    <w:qFormat/>
    <w:rsid w:val="00317D6F"/>
    <w:pPr>
      <w:ind w:left="794"/>
    </w:pPr>
  </w:style>
  <w:style w:type="paragraph" w:customStyle="1" w:styleId="T2-TipBoxCenter">
    <w:name w:val="T2 - TipBoxCenter"/>
    <w:basedOn w:val="T1-TipBoxCenter"/>
    <w:qFormat/>
    <w:rsid w:val="00317D6F"/>
    <w:pPr>
      <w:ind w:left="794"/>
    </w:pPr>
  </w:style>
  <w:style w:type="paragraph" w:customStyle="1" w:styleId="T2-TipBoxCode">
    <w:name w:val="T2 - TipBoxCode"/>
    <w:basedOn w:val="T1-TipBoxCode"/>
    <w:qFormat/>
    <w:rsid w:val="00317D6F"/>
    <w:pPr>
      <w:ind w:left="794"/>
    </w:pPr>
  </w:style>
  <w:style w:type="paragraph" w:customStyle="1" w:styleId="T2-TipBoxConsole">
    <w:name w:val="T2 - TipBoxConsole"/>
    <w:basedOn w:val="T1-TipBoxConsole"/>
    <w:qFormat/>
    <w:rsid w:val="00317D6F"/>
    <w:pPr>
      <w:ind w:left="794"/>
    </w:pPr>
  </w:style>
  <w:style w:type="paragraph" w:customStyle="1" w:styleId="T2-TipBoxFigure">
    <w:name w:val="T2 - TipBoxFigure"/>
    <w:basedOn w:val="T1-TipBoxFigure"/>
    <w:qFormat/>
    <w:rsid w:val="00317D6F"/>
    <w:pPr>
      <w:ind w:left="794"/>
    </w:pPr>
  </w:style>
  <w:style w:type="paragraph" w:customStyle="1" w:styleId="T2-TipBoxNumberedList">
    <w:name w:val="T2 - TipBoxNumberedList"/>
    <w:basedOn w:val="T1-TipBoxNumberedList"/>
    <w:qFormat/>
    <w:rsid w:val="00317D6F"/>
    <w:pPr>
      <w:ind w:left="1151" w:hanging="357"/>
    </w:pPr>
  </w:style>
  <w:style w:type="paragraph" w:customStyle="1" w:styleId="T1-Table">
    <w:name w:val="T1 - Table"/>
    <w:basedOn w:val="T0-Table"/>
    <w:qFormat/>
    <w:rsid w:val="00317D6F"/>
    <w:pPr>
      <w:ind w:left="454"/>
    </w:pPr>
  </w:style>
  <w:style w:type="paragraph" w:customStyle="1" w:styleId="T1-TableBullet">
    <w:name w:val="T1 - TableBullet"/>
    <w:basedOn w:val="T0-TableBullet"/>
    <w:qFormat/>
    <w:rsid w:val="00317D6F"/>
    <w:pPr>
      <w:ind w:left="476" w:right="74" w:hanging="357"/>
    </w:pPr>
  </w:style>
  <w:style w:type="paragraph" w:customStyle="1" w:styleId="T1-TableCaption">
    <w:name w:val="T1 - TableCaption"/>
    <w:basedOn w:val="T0-TableCaption"/>
    <w:qFormat/>
    <w:rsid w:val="00317D6F"/>
    <w:pPr>
      <w:ind w:left="454"/>
    </w:pPr>
  </w:style>
  <w:style w:type="paragraph" w:customStyle="1" w:styleId="T1-TableCenter">
    <w:name w:val="T1 - TableCenter"/>
    <w:basedOn w:val="T0-TableCenter"/>
    <w:qFormat/>
    <w:rsid w:val="00317D6F"/>
    <w:pPr>
      <w:ind w:left="454"/>
    </w:pPr>
  </w:style>
  <w:style w:type="paragraph" w:customStyle="1" w:styleId="T1-TableFigure">
    <w:name w:val="T1 - TableFigure"/>
    <w:basedOn w:val="T0-TableFigure"/>
    <w:qFormat/>
    <w:rsid w:val="00317D6F"/>
    <w:pPr>
      <w:ind w:left="454"/>
    </w:pPr>
  </w:style>
  <w:style w:type="paragraph" w:customStyle="1" w:styleId="T1-TableNumberedList">
    <w:name w:val="T1 - TableNumberedList"/>
    <w:basedOn w:val="T0-TableNumberedList"/>
    <w:qFormat/>
    <w:rsid w:val="00317D6F"/>
    <w:pPr>
      <w:ind w:left="1242" w:right="74" w:hanging="357"/>
    </w:pPr>
  </w:style>
  <w:style w:type="paragraph" w:customStyle="1" w:styleId="T1-TableCode">
    <w:name w:val="T1 - TableCode"/>
    <w:basedOn w:val="T0-TableCode"/>
    <w:qFormat/>
    <w:rsid w:val="00317D6F"/>
    <w:pPr>
      <w:ind w:left="278" w:right="232"/>
    </w:pPr>
  </w:style>
  <w:style w:type="paragraph" w:customStyle="1" w:styleId="T1-TableConsole">
    <w:name w:val="T1 - TableConsole"/>
    <w:basedOn w:val="T0-TableConsole"/>
    <w:qFormat/>
    <w:rsid w:val="00317D6F"/>
    <w:pPr>
      <w:ind w:left="278" w:right="232"/>
    </w:pPr>
  </w:style>
  <w:style w:type="paragraph" w:customStyle="1" w:styleId="T2-Table">
    <w:name w:val="T2 - Table"/>
    <w:basedOn w:val="T0-Table"/>
    <w:qFormat/>
    <w:rsid w:val="00317D6F"/>
    <w:pPr>
      <w:ind w:left="794"/>
    </w:pPr>
  </w:style>
  <w:style w:type="paragraph" w:customStyle="1" w:styleId="T2-TableBullet">
    <w:name w:val="T2 - TableBullet"/>
    <w:basedOn w:val="T0-TableBullet"/>
    <w:qFormat/>
    <w:rsid w:val="00317D6F"/>
    <w:pPr>
      <w:ind w:left="1225" w:right="74" w:hanging="357"/>
    </w:pPr>
  </w:style>
  <w:style w:type="paragraph" w:customStyle="1" w:styleId="T2-TableCaption">
    <w:name w:val="T2 - TableCaption"/>
    <w:basedOn w:val="T0-TableCaption"/>
    <w:qFormat/>
    <w:rsid w:val="00317D6F"/>
    <w:pPr>
      <w:ind w:left="794"/>
    </w:pPr>
  </w:style>
  <w:style w:type="paragraph" w:customStyle="1" w:styleId="T2-TableCenter">
    <w:name w:val="T2 - TableCenter"/>
    <w:basedOn w:val="T0-TableCenter"/>
    <w:qFormat/>
    <w:rsid w:val="00317D6F"/>
    <w:pPr>
      <w:ind w:left="794"/>
    </w:pPr>
  </w:style>
  <w:style w:type="paragraph" w:customStyle="1" w:styleId="T2-TableCode">
    <w:name w:val="T2 - TableCode"/>
    <w:basedOn w:val="T0-TableCode"/>
    <w:qFormat/>
    <w:rsid w:val="00317D6F"/>
    <w:pPr>
      <w:ind w:left="856" w:right="232"/>
    </w:pPr>
  </w:style>
  <w:style w:type="paragraph" w:customStyle="1" w:styleId="T2-TableConsole">
    <w:name w:val="T2 - TableConsole"/>
    <w:basedOn w:val="T0-TableConsole"/>
    <w:qFormat/>
    <w:rsid w:val="00317D6F"/>
    <w:pPr>
      <w:ind w:left="856" w:right="232"/>
    </w:pPr>
  </w:style>
  <w:style w:type="paragraph" w:customStyle="1" w:styleId="T2-TableFigure">
    <w:name w:val="T2 - TableFigure"/>
    <w:basedOn w:val="T0-TipBoxFigure"/>
    <w:qFormat/>
    <w:rsid w:val="00317D6F"/>
    <w:pPr>
      <w:ind w:left="794"/>
    </w:pPr>
  </w:style>
  <w:style w:type="paragraph" w:customStyle="1" w:styleId="T2-TableNumberedList">
    <w:name w:val="T2 - TableNumberedList"/>
    <w:basedOn w:val="T0-TableNumberedList"/>
    <w:qFormat/>
    <w:rsid w:val="00317D6F"/>
    <w:pPr>
      <w:ind w:left="2149" w:right="74" w:hanging="357"/>
    </w:pPr>
  </w:style>
  <w:style w:type="paragraph" w:customStyle="1" w:styleId="FM-Dedication">
    <w:name w:val="FM - Dedication"/>
    <w:basedOn w:val="FM-CopyrightText"/>
    <w:qFormat/>
    <w:rsid w:val="00317D6F"/>
    <w:pPr>
      <w:jc w:val="center"/>
    </w:pPr>
    <w:rPr>
      <w:i/>
    </w:rPr>
  </w:style>
  <w:style w:type="character" w:customStyle="1" w:styleId="CS-ColumnHeader">
    <w:name w:val="CS - ColumnHeader"/>
    <w:basedOn w:val="CS-Keyword"/>
    <w:uiPriority w:val="1"/>
    <w:qFormat/>
    <w:rsid w:val="00317D6F"/>
    <w:rPr>
      <w:b/>
    </w:rPr>
  </w:style>
  <w:style w:type="character" w:customStyle="1" w:styleId="CS-RowHeader">
    <w:name w:val="CS - RowHeader"/>
    <w:basedOn w:val="CS-ColumnHeader"/>
    <w:uiPriority w:val="1"/>
    <w:qFormat/>
    <w:rsid w:val="00317D6F"/>
    <w:rPr>
      <w:b/>
    </w:rPr>
  </w:style>
  <w:style w:type="paragraph" w:customStyle="1" w:styleId="Important0-ImportantBoxBullet">
    <w:name w:val="Important0 - ImportantBoxBullet"/>
    <w:basedOn w:val="I0-InfoBoxBullet"/>
    <w:link w:val="Important0-ImportantBoxBulletChar"/>
    <w:rsid w:val="00317D6F"/>
    <w:rPr>
      <w:sz w:val="21"/>
    </w:rPr>
  </w:style>
  <w:style w:type="character" w:customStyle="1" w:styleId="P0-ParagraphChar">
    <w:name w:val="P0 - Paragraph Char"/>
    <w:basedOn w:val="DefaultParagraphFont"/>
    <w:link w:val="P0-Paragraph"/>
    <w:rsid w:val="00317D6F"/>
    <w:rPr>
      <w:rFonts w:ascii="Crimson Pro" w:hAnsi="Crimson Pro"/>
      <w:sz w:val="21"/>
      <w:szCs w:val="24"/>
    </w:rPr>
  </w:style>
  <w:style w:type="character" w:customStyle="1" w:styleId="Important0-ImportantBoxBulletChar">
    <w:name w:val="Important0 - ImportantBoxBullet Char"/>
    <w:basedOn w:val="P0-ParagraphChar"/>
    <w:link w:val="Important0-ImportantBoxBullet"/>
    <w:rsid w:val="00317D6F"/>
    <w:rPr>
      <w:rFonts w:ascii="Crimson Pro" w:hAnsi="Crimson Pro"/>
      <w:sz w:val="21"/>
      <w:szCs w:val="24"/>
      <w:shd w:val="clear" w:color="auto" w:fill="FFFFFF"/>
    </w:rPr>
  </w:style>
  <w:style w:type="paragraph" w:customStyle="1" w:styleId="Important0-ImportantBoxCenter">
    <w:name w:val="Important0 - ImportantBoxCenter"/>
    <w:basedOn w:val="I0-InfoBoxCenter"/>
    <w:link w:val="Important0-ImportantBoxCenterChar"/>
    <w:rsid w:val="00317D6F"/>
    <w:rPr>
      <w:sz w:val="21"/>
    </w:rPr>
  </w:style>
  <w:style w:type="character" w:customStyle="1" w:styleId="Important0-ImportantBoxCenterChar">
    <w:name w:val="Important0 - ImportantBoxCenter Char"/>
    <w:basedOn w:val="P0-ParagraphChar"/>
    <w:link w:val="Important0-ImportantBoxCenter"/>
    <w:rsid w:val="00317D6F"/>
    <w:rPr>
      <w:rFonts w:ascii="Crimson Pro" w:hAnsi="Crimson Pro"/>
      <w:sz w:val="21"/>
      <w:szCs w:val="24"/>
      <w:shd w:val="clear" w:color="auto" w:fill="FFFFFF"/>
    </w:rPr>
  </w:style>
  <w:style w:type="paragraph" w:customStyle="1" w:styleId="Important0-ImportantBoxFigure">
    <w:name w:val="Important0 - ImportantBoxFigure"/>
    <w:basedOn w:val="I0-InfoBoxFigure"/>
    <w:link w:val="Important0-ImportantBoxFigureChar"/>
    <w:rsid w:val="00317D6F"/>
  </w:style>
  <w:style w:type="character" w:customStyle="1" w:styleId="Important0-ImportantBoxFigureChar">
    <w:name w:val="Important0 - ImportantBoxFigure Char"/>
    <w:basedOn w:val="P0-ParagraphChar"/>
    <w:link w:val="Important0-ImportantBoxFigure"/>
    <w:rsid w:val="00317D6F"/>
    <w:rPr>
      <w:rFonts w:ascii="Crimson Pro" w:hAnsi="Crimson Pro"/>
      <w:sz w:val="16"/>
      <w:szCs w:val="24"/>
      <w:shd w:val="clear" w:color="auto" w:fill="FFFFFF"/>
    </w:rPr>
  </w:style>
  <w:style w:type="paragraph" w:customStyle="1" w:styleId="Important0-ImportantBoxCaption">
    <w:name w:val="Important0 - ImportantBoxCaption"/>
    <w:basedOn w:val="I0-InfoBoxCaption"/>
    <w:link w:val="Important0-ImportantBoxCaptionChar"/>
    <w:rsid w:val="00317D6F"/>
  </w:style>
  <w:style w:type="character" w:customStyle="1" w:styleId="Important0-ImportantBoxCaptionChar">
    <w:name w:val="Important0 - ImportantBoxCaption Char"/>
    <w:basedOn w:val="P0-ParagraphChar"/>
    <w:link w:val="Important0-ImportantBoxCaption"/>
    <w:rsid w:val="00317D6F"/>
    <w:rPr>
      <w:rFonts w:ascii="Crimson Pro" w:hAnsi="Crimson Pro"/>
      <w:sz w:val="16"/>
      <w:szCs w:val="24"/>
      <w:shd w:val="clear" w:color="auto" w:fill="FFFFFF"/>
    </w:rPr>
  </w:style>
  <w:style w:type="paragraph" w:customStyle="1" w:styleId="Important0-ImportantBox">
    <w:name w:val="Important0 - ImportantBox"/>
    <w:basedOn w:val="I0-InfoBox"/>
    <w:link w:val="Important0-ImportantBoxChar"/>
    <w:rsid w:val="00317D6F"/>
    <w:rPr>
      <w:sz w:val="21"/>
    </w:rPr>
  </w:style>
  <w:style w:type="character" w:customStyle="1" w:styleId="Important0-ImportantBoxChar">
    <w:name w:val="Important0 - ImportantBox Char"/>
    <w:basedOn w:val="P0-ParagraphChar"/>
    <w:link w:val="Important0-ImportantBox"/>
    <w:rsid w:val="00317D6F"/>
    <w:rPr>
      <w:rFonts w:ascii="Crimson Pro" w:hAnsi="Crimson Pro"/>
      <w:sz w:val="21"/>
      <w:szCs w:val="24"/>
      <w:shd w:val="clear" w:color="auto" w:fill="FFFFFF"/>
    </w:rPr>
  </w:style>
  <w:style w:type="paragraph" w:customStyle="1" w:styleId="Important0-ImportantBoxNumberedList">
    <w:name w:val="Important0 - ImportantBoxNumberedList"/>
    <w:basedOn w:val="I0-InfoBoxNumberedList"/>
    <w:link w:val="Important0-ImportantBoxNumberedListChar"/>
    <w:rsid w:val="00317D6F"/>
    <w:rPr>
      <w:sz w:val="21"/>
    </w:rPr>
  </w:style>
  <w:style w:type="character" w:customStyle="1" w:styleId="Important0-ImportantBoxNumberedListChar">
    <w:name w:val="Important0 - ImportantBoxNumberedList Char"/>
    <w:basedOn w:val="P0-ParagraphChar"/>
    <w:link w:val="Important0-ImportantBoxNumberedList"/>
    <w:rsid w:val="00317D6F"/>
    <w:rPr>
      <w:rFonts w:ascii="Crimson Pro" w:hAnsi="Crimson Pro"/>
      <w:sz w:val="21"/>
      <w:szCs w:val="24"/>
      <w:shd w:val="clear" w:color="auto" w:fill="FFFFFF"/>
    </w:rPr>
  </w:style>
  <w:style w:type="paragraph" w:customStyle="1" w:styleId="Important0-ImportantBoxCode">
    <w:name w:val="Important0 - ImportantBoxCode"/>
    <w:basedOn w:val="I0-InfoBoxCode"/>
    <w:link w:val="Important0-ImportantBoxCodeChar"/>
    <w:rsid w:val="00317D6F"/>
  </w:style>
  <w:style w:type="character" w:customStyle="1" w:styleId="Important0-ImportantBoxCodeChar">
    <w:name w:val="Important0 - ImportantBoxCode Char"/>
    <w:basedOn w:val="P0-ParagraphChar"/>
    <w:link w:val="Important0-ImportantBoxCode"/>
    <w:rsid w:val="00317D6F"/>
    <w:rPr>
      <w:rFonts w:ascii="Consolas" w:hAnsi="Consolas"/>
      <w:color w:val="383A42"/>
      <w:sz w:val="18"/>
      <w:szCs w:val="24"/>
      <w:shd w:val="clear" w:color="auto" w:fill="FAFAFA"/>
    </w:rPr>
  </w:style>
  <w:style w:type="paragraph" w:customStyle="1" w:styleId="Important0-ImportantBoxConsole">
    <w:name w:val="Important0 - ImportantBoxConsole"/>
    <w:basedOn w:val="I0-InfoBoxConsole"/>
    <w:link w:val="Important0-ImportantBoxConsoleChar"/>
    <w:rsid w:val="00317D6F"/>
  </w:style>
  <w:style w:type="character" w:customStyle="1" w:styleId="Important0-ImportantBoxConsoleChar">
    <w:name w:val="Important0 - ImportantBoxConsole Char"/>
    <w:basedOn w:val="P0-ParagraphChar"/>
    <w:link w:val="Important0-ImportantBoxConsole"/>
    <w:rsid w:val="00317D6F"/>
    <w:rPr>
      <w:rFonts w:ascii="Consolas" w:hAnsi="Consolas"/>
      <w:color w:val="F8F8F2"/>
      <w:sz w:val="18"/>
      <w:szCs w:val="24"/>
      <w:shd w:val="clear" w:color="auto" w:fill="282A36"/>
    </w:rPr>
  </w:style>
  <w:style w:type="paragraph" w:customStyle="1" w:styleId="Important1-ImportantBoxBullet">
    <w:name w:val="Important1 - ImportantBoxBullet"/>
    <w:basedOn w:val="I1-InfoBoxBullet"/>
    <w:link w:val="Important1-ImportantBoxBulletChar"/>
    <w:rsid w:val="00317D6F"/>
    <w:rPr>
      <w:sz w:val="21"/>
    </w:rPr>
  </w:style>
  <w:style w:type="character" w:customStyle="1" w:styleId="Important1-ImportantBoxBulletChar">
    <w:name w:val="Important1 - ImportantBoxBullet Char"/>
    <w:basedOn w:val="P0-ParagraphChar"/>
    <w:link w:val="Important1-ImportantBoxBullet"/>
    <w:rsid w:val="00317D6F"/>
    <w:rPr>
      <w:rFonts w:ascii="Crimson Pro" w:hAnsi="Crimson Pro"/>
      <w:sz w:val="21"/>
      <w:szCs w:val="24"/>
      <w:shd w:val="clear" w:color="auto" w:fill="FFFFFF"/>
    </w:rPr>
  </w:style>
  <w:style w:type="paragraph" w:customStyle="1" w:styleId="Important1-ImportantBoxCenter">
    <w:name w:val="Important1 - ImportantBoxCenter"/>
    <w:basedOn w:val="I1-InfoBoxCenter"/>
    <w:link w:val="Important1-ImportantBoxCenterChar"/>
    <w:rsid w:val="00317D6F"/>
    <w:rPr>
      <w:sz w:val="21"/>
    </w:rPr>
  </w:style>
  <w:style w:type="character" w:customStyle="1" w:styleId="Important1-ImportantBoxCenterChar">
    <w:name w:val="Important1 - ImportantBoxCenter Char"/>
    <w:basedOn w:val="P0-ParagraphChar"/>
    <w:link w:val="Important1-ImportantBoxCenter"/>
    <w:rsid w:val="00317D6F"/>
    <w:rPr>
      <w:rFonts w:ascii="Crimson Pro" w:hAnsi="Crimson Pro"/>
      <w:sz w:val="21"/>
      <w:szCs w:val="24"/>
      <w:shd w:val="clear" w:color="auto" w:fill="FFFFFF"/>
    </w:rPr>
  </w:style>
  <w:style w:type="paragraph" w:customStyle="1" w:styleId="Important1-ImportantBoxFigure">
    <w:name w:val="Important1 - ImportantBoxFigure"/>
    <w:basedOn w:val="I1-InfoBoxFigure"/>
    <w:link w:val="Important1-ImportantBoxFigureChar"/>
    <w:rsid w:val="00317D6F"/>
  </w:style>
  <w:style w:type="character" w:customStyle="1" w:styleId="Important1-ImportantBoxFigureChar">
    <w:name w:val="Important1 - ImportantBoxFigure Char"/>
    <w:basedOn w:val="P0-ParagraphChar"/>
    <w:link w:val="Important1-ImportantBoxFigure"/>
    <w:rsid w:val="00317D6F"/>
    <w:rPr>
      <w:rFonts w:ascii="Crimson Pro" w:hAnsi="Crimson Pro"/>
      <w:sz w:val="16"/>
      <w:szCs w:val="24"/>
      <w:shd w:val="clear" w:color="auto" w:fill="FFFFFF"/>
    </w:rPr>
  </w:style>
  <w:style w:type="paragraph" w:customStyle="1" w:styleId="Important1-ImportantBoxCaption">
    <w:name w:val="Important1 - ImportantBoxCaption"/>
    <w:basedOn w:val="I1-InfoBoxCaption"/>
    <w:link w:val="Important1-ImportantBoxCaptionChar"/>
    <w:rsid w:val="00317D6F"/>
  </w:style>
  <w:style w:type="character" w:customStyle="1" w:styleId="Important1-ImportantBoxCaptionChar">
    <w:name w:val="Important1 - ImportantBoxCaption Char"/>
    <w:basedOn w:val="P0-ParagraphChar"/>
    <w:link w:val="Important1-ImportantBoxCaption"/>
    <w:rsid w:val="00317D6F"/>
    <w:rPr>
      <w:rFonts w:ascii="Crimson Pro" w:hAnsi="Crimson Pro"/>
      <w:sz w:val="16"/>
      <w:szCs w:val="24"/>
      <w:shd w:val="clear" w:color="auto" w:fill="FFFFFF"/>
    </w:rPr>
  </w:style>
  <w:style w:type="paragraph" w:customStyle="1" w:styleId="Important1-ImportantBox">
    <w:name w:val="Important1 - ImportantBox"/>
    <w:basedOn w:val="I1-InfoBox"/>
    <w:link w:val="Important1-ImportantBoxChar"/>
    <w:rsid w:val="00317D6F"/>
    <w:rPr>
      <w:sz w:val="21"/>
    </w:rPr>
  </w:style>
  <w:style w:type="character" w:customStyle="1" w:styleId="Important1-ImportantBoxChar">
    <w:name w:val="Important1 - ImportantBox Char"/>
    <w:basedOn w:val="P0-ParagraphChar"/>
    <w:link w:val="Important1-ImportantBox"/>
    <w:rsid w:val="00317D6F"/>
    <w:rPr>
      <w:rFonts w:ascii="Crimson Pro" w:hAnsi="Crimson Pro"/>
      <w:sz w:val="21"/>
      <w:szCs w:val="24"/>
      <w:shd w:val="clear" w:color="auto" w:fill="FFFFFF"/>
    </w:rPr>
  </w:style>
  <w:style w:type="paragraph" w:customStyle="1" w:styleId="Important1-ImportantBoxNumberedList">
    <w:name w:val="Important1 - ImportantBoxNumberedList"/>
    <w:basedOn w:val="I1-InfoBoxNumberedList"/>
    <w:link w:val="Important1-ImportantBoxNumberedListChar"/>
    <w:rsid w:val="00317D6F"/>
    <w:rPr>
      <w:sz w:val="21"/>
    </w:rPr>
  </w:style>
  <w:style w:type="character" w:customStyle="1" w:styleId="Important1-ImportantBoxNumberedListChar">
    <w:name w:val="Important1 - ImportantBoxNumberedList Char"/>
    <w:basedOn w:val="P0-ParagraphChar"/>
    <w:link w:val="Important1-ImportantBoxNumberedList"/>
    <w:rsid w:val="00317D6F"/>
    <w:rPr>
      <w:rFonts w:ascii="Crimson Pro" w:hAnsi="Crimson Pro"/>
      <w:sz w:val="21"/>
      <w:szCs w:val="24"/>
      <w:shd w:val="clear" w:color="auto" w:fill="FFFFFF"/>
    </w:rPr>
  </w:style>
  <w:style w:type="paragraph" w:customStyle="1" w:styleId="Important1-ImportantBoxCode">
    <w:name w:val="Important1 - ImportantBoxCode"/>
    <w:basedOn w:val="I1-InfoBoxCode"/>
    <w:link w:val="Important1-ImportantBoxCodeChar"/>
    <w:rsid w:val="00317D6F"/>
  </w:style>
  <w:style w:type="character" w:customStyle="1" w:styleId="Important1-ImportantBoxCodeChar">
    <w:name w:val="Important1 - ImportantBoxCode Char"/>
    <w:basedOn w:val="P0-ParagraphChar"/>
    <w:link w:val="Important1-ImportantBoxCode"/>
    <w:rsid w:val="00317D6F"/>
    <w:rPr>
      <w:rFonts w:ascii="Consolas" w:hAnsi="Consolas"/>
      <w:color w:val="383A42"/>
      <w:sz w:val="18"/>
      <w:szCs w:val="24"/>
      <w:shd w:val="clear" w:color="auto" w:fill="FAFAFA"/>
    </w:rPr>
  </w:style>
  <w:style w:type="paragraph" w:customStyle="1" w:styleId="Important1-ImportantBoxConsole">
    <w:name w:val="Important1 - ImportantBoxConsole"/>
    <w:basedOn w:val="I1-InfoBoxConsole"/>
    <w:link w:val="Important1-ImportantBoxConsoleChar"/>
    <w:rsid w:val="00317D6F"/>
  </w:style>
  <w:style w:type="character" w:customStyle="1" w:styleId="Important1-ImportantBoxConsoleChar">
    <w:name w:val="Important1 - ImportantBoxConsole Char"/>
    <w:basedOn w:val="P0-ParagraphChar"/>
    <w:link w:val="Important1-ImportantBoxConsole"/>
    <w:rsid w:val="00317D6F"/>
    <w:rPr>
      <w:rFonts w:ascii="Consolas" w:hAnsi="Consolas"/>
      <w:color w:val="F8F8F2"/>
      <w:sz w:val="18"/>
      <w:szCs w:val="24"/>
      <w:shd w:val="clear" w:color="auto" w:fill="282A36"/>
    </w:rPr>
  </w:style>
  <w:style w:type="paragraph" w:customStyle="1" w:styleId="Important2-ImportantBoxBullet">
    <w:name w:val="Important2 - ImportantBoxBullet"/>
    <w:basedOn w:val="I2-InfoBoxBullet"/>
    <w:link w:val="Important2-ImportantBoxBulletChar"/>
    <w:rsid w:val="00317D6F"/>
    <w:rPr>
      <w:sz w:val="21"/>
    </w:rPr>
  </w:style>
  <w:style w:type="character" w:customStyle="1" w:styleId="Important2-ImportantBoxBulletChar">
    <w:name w:val="Important2 - ImportantBoxBullet Char"/>
    <w:basedOn w:val="P0-ParagraphChar"/>
    <w:link w:val="Important2-ImportantBoxBullet"/>
    <w:rsid w:val="00317D6F"/>
    <w:rPr>
      <w:rFonts w:ascii="Crimson Pro" w:hAnsi="Crimson Pro"/>
      <w:sz w:val="21"/>
      <w:szCs w:val="24"/>
      <w:shd w:val="clear" w:color="auto" w:fill="FFFFFF"/>
    </w:rPr>
  </w:style>
  <w:style w:type="paragraph" w:customStyle="1" w:styleId="Important2-ImportantBoxCenter">
    <w:name w:val="Important2 - ImportantBoxCenter"/>
    <w:basedOn w:val="I2-InfoBoxCenter"/>
    <w:link w:val="Important2-ImportantBoxCenterChar"/>
    <w:rsid w:val="00317D6F"/>
    <w:rPr>
      <w:sz w:val="21"/>
    </w:rPr>
  </w:style>
  <w:style w:type="character" w:customStyle="1" w:styleId="Important2-ImportantBoxCenterChar">
    <w:name w:val="Important2 - ImportantBoxCenter Char"/>
    <w:basedOn w:val="P0-ParagraphChar"/>
    <w:link w:val="Important2-ImportantBoxCenter"/>
    <w:rsid w:val="00317D6F"/>
    <w:rPr>
      <w:rFonts w:ascii="Crimson Pro" w:hAnsi="Crimson Pro"/>
      <w:sz w:val="21"/>
      <w:szCs w:val="24"/>
      <w:shd w:val="clear" w:color="auto" w:fill="FFFFFF"/>
    </w:rPr>
  </w:style>
  <w:style w:type="paragraph" w:customStyle="1" w:styleId="Important2-ImportantBoxFigure">
    <w:name w:val="Important2 - ImportantBoxFigure"/>
    <w:basedOn w:val="I2-InfoBoxFigure"/>
    <w:link w:val="Important2-ImportantBoxFigureChar"/>
    <w:rsid w:val="00317D6F"/>
  </w:style>
  <w:style w:type="character" w:customStyle="1" w:styleId="Important2-ImportantBoxFigureChar">
    <w:name w:val="Important2 - ImportantBoxFigure Char"/>
    <w:basedOn w:val="P0-ParagraphChar"/>
    <w:link w:val="Important2-ImportantBoxFigure"/>
    <w:rsid w:val="00317D6F"/>
    <w:rPr>
      <w:rFonts w:ascii="Crimson Pro" w:hAnsi="Crimson Pro"/>
      <w:sz w:val="16"/>
      <w:szCs w:val="24"/>
      <w:shd w:val="clear" w:color="auto" w:fill="FFFFFF"/>
    </w:rPr>
  </w:style>
  <w:style w:type="paragraph" w:customStyle="1" w:styleId="Important2-ImportantBoxCaption">
    <w:name w:val="Important2 - ImportantBoxCaption"/>
    <w:basedOn w:val="I2-InfoBoxCaption"/>
    <w:link w:val="Important2-ImportantBoxCaptionChar"/>
    <w:rsid w:val="00317D6F"/>
  </w:style>
  <w:style w:type="character" w:customStyle="1" w:styleId="Important2-ImportantBoxCaptionChar">
    <w:name w:val="Important2 - ImportantBoxCaption Char"/>
    <w:basedOn w:val="P0-ParagraphChar"/>
    <w:link w:val="Important2-ImportantBoxCaption"/>
    <w:rsid w:val="00317D6F"/>
    <w:rPr>
      <w:rFonts w:ascii="Crimson Pro" w:hAnsi="Crimson Pro"/>
      <w:sz w:val="16"/>
      <w:szCs w:val="24"/>
      <w:shd w:val="clear" w:color="auto" w:fill="FFFFFF"/>
    </w:rPr>
  </w:style>
  <w:style w:type="paragraph" w:customStyle="1" w:styleId="Important2-ImportantBox">
    <w:name w:val="Important2 - ImportantBox"/>
    <w:basedOn w:val="I2-InfoBox"/>
    <w:link w:val="Important2-ImportantBoxChar"/>
    <w:rsid w:val="00317D6F"/>
    <w:rPr>
      <w:sz w:val="21"/>
    </w:rPr>
  </w:style>
  <w:style w:type="character" w:customStyle="1" w:styleId="Important2-ImportantBoxChar">
    <w:name w:val="Important2 - ImportantBox Char"/>
    <w:basedOn w:val="P0-ParagraphChar"/>
    <w:link w:val="Important2-ImportantBox"/>
    <w:rsid w:val="00317D6F"/>
    <w:rPr>
      <w:rFonts w:ascii="Crimson Pro" w:hAnsi="Crimson Pro"/>
      <w:sz w:val="21"/>
      <w:szCs w:val="24"/>
      <w:shd w:val="clear" w:color="auto" w:fill="FFFFFF"/>
    </w:rPr>
  </w:style>
  <w:style w:type="paragraph" w:customStyle="1" w:styleId="Important2-ImportantBoxNumberedList">
    <w:name w:val="Important2 - ImportantBoxNumberedList"/>
    <w:basedOn w:val="I2-InfoBoxNumberedList"/>
    <w:link w:val="Important2-ImportantBoxNumberedListChar"/>
    <w:rsid w:val="00317D6F"/>
    <w:rPr>
      <w:sz w:val="21"/>
    </w:rPr>
  </w:style>
  <w:style w:type="character" w:customStyle="1" w:styleId="Important2-ImportantBoxNumberedListChar">
    <w:name w:val="Important2 - ImportantBoxNumberedList Char"/>
    <w:basedOn w:val="P0-ParagraphChar"/>
    <w:link w:val="Important2-ImportantBoxNumberedList"/>
    <w:rsid w:val="00317D6F"/>
    <w:rPr>
      <w:rFonts w:ascii="Crimson Pro" w:hAnsi="Crimson Pro"/>
      <w:sz w:val="21"/>
      <w:szCs w:val="24"/>
      <w:shd w:val="clear" w:color="auto" w:fill="FFFFFF"/>
    </w:rPr>
  </w:style>
  <w:style w:type="paragraph" w:customStyle="1" w:styleId="Important2-ImportantBoxCode">
    <w:name w:val="Important2 - ImportantBoxCode"/>
    <w:basedOn w:val="I2-InfoBoxCode"/>
    <w:link w:val="Important2-ImportantBoxCodeChar"/>
    <w:rsid w:val="00317D6F"/>
  </w:style>
  <w:style w:type="character" w:customStyle="1" w:styleId="Important2-ImportantBoxCodeChar">
    <w:name w:val="Important2 - ImportantBoxCode Char"/>
    <w:basedOn w:val="P0-ParagraphChar"/>
    <w:link w:val="Important2-ImportantBoxCode"/>
    <w:rsid w:val="00317D6F"/>
    <w:rPr>
      <w:rFonts w:ascii="Consolas" w:hAnsi="Consolas"/>
      <w:color w:val="383A42"/>
      <w:sz w:val="18"/>
      <w:szCs w:val="24"/>
      <w:shd w:val="clear" w:color="auto" w:fill="FAFAFA"/>
    </w:rPr>
  </w:style>
  <w:style w:type="paragraph" w:customStyle="1" w:styleId="Important2-ImportantBoxConsole">
    <w:name w:val="Important2 - ImportantBoxConsole"/>
    <w:basedOn w:val="I2-InfoBoxConsole"/>
    <w:link w:val="Important2-ImportantBoxConsoleChar"/>
    <w:rsid w:val="00317D6F"/>
  </w:style>
  <w:style w:type="character" w:customStyle="1" w:styleId="Important2-ImportantBoxConsoleChar">
    <w:name w:val="Important2 - ImportantBoxConsole Char"/>
    <w:basedOn w:val="P0-ParagraphChar"/>
    <w:link w:val="Important2-ImportantBoxConsole"/>
    <w:rsid w:val="00317D6F"/>
    <w:rPr>
      <w:rFonts w:ascii="Consolas" w:hAnsi="Consolas"/>
      <w:color w:val="F8F8F2"/>
      <w:sz w:val="18"/>
      <w:szCs w:val="24"/>
      <w:shd w:val="clear" w:color="auto" w:fill="282A36"/>
    </w:rPr>
  </w:style>
  <w:style w:type="paragraph" w:customStyle="1" w:styleId="Caution0-CautionBoxBullet">
    <w:name w:val="Caution0 - CautionBoxBullet"/>
    <w:basedOn w:val="I0-InfoBoxBullet"/>
    <w:link w:val="Caution0-CautionBoxBulletChar"/>
    <w:rsid w:val="00317D6F"/>
    <w:rPr>
      <w:sz w:val="21"/>
    </w:rPr>
  </w:style>
  <w:style w:type="character" w:customStyle="1" w:styleId="Caution0-CautionBoxBulletChar">
    <w:name w:val="Caution0 - CautionBoxBullet Char"/>
    <w:basedOn w:val="P0-ParagraphChar"/>
    <w:link w:val="Caution0-CautionBoxBullet"/>
    <w:rsid w:val="00317D6F"/>
    <w:rPr>
      <w:rFonts w:ascii="Crimson Pro" w:hAnsi="Crimson Pro"/>
      <w:sz w:val="21"/>
      <w:szCs w:val="24"/>
      <w:shd w:val="clear" w:color="auto" w:fill="FFFFFF"/>
    </w:rPr>
  </w:style>
  <w:style w:type="paragraph" w:customStyle="1" w:styleId="Caution0-CautionBoxCenter">
    <w:name w:val="Caution0 - CautionBoxCenter"/>
    <w:basedOn w:val="I0-InfoBoxCenter"/>
    <w:link w:val="Caution0-CautionBoxCenterChar"/>
    <w:rsid w:val="00317D6F"/>
    <w:rPr>
      <w:sz w:val="21"/>
    </w:rPr>
  </w:style>
  <w:style w:type="character" w:customStyle="1" w:styleId="Caution0-CautionBoxCenterChar">
    <w:name w:val="Caution0 - CautionBoxCenter Char"/>
    <w:basedOn w:val="P0-ParagraphChar"/>
    <w:link w:val="Caution0-CautionBoxCenter"/>
    <w:rsid w:val="00317D6F"/>
    <w:rPr>
      <w:rFonts w:ascii="Crimson Pro" w:hAnsi="Crimson Pro"/>
      <w:sz w:val="21"/>
      <w:szCs w:val="24"/>
      <w:shd w:val="clear" w:color="auto" w:fill="FFFFFF"/>
    </w:rPr>
  </w:style>
  <w:style w:type="paragraph" w:customStyle="1" w:styleId="Caution0-CautionBoxFigure">
    <w:name w:val="Caution0 - CautionBoxFigure"/>
    <w:basedOn w:val="I0-InfoBoxFigure"/>
    <w:link w:val="Caution0-CautionBoxFigureChar"/>
    <w:rsid w:val="00317D6F"/>
  </w:style>
  <w:style w:type="character" w:customStyle="1" w:styleId="Caution0-CautionBoxFigureChar">
    <w:name w:val="Caution0 - CautionBoxFigure Char"/>
    <w:basedOn w:val="P0-ParagraphChar"/>
    <w:link w:val="Caution0-CautionBoxFigure"/>
    <w:rsid w:val="00317D6F"/>
    <w:rPr>
      <w:rFonts w:ascii="Crimson Pro" w:hAnsi="Crimson Pro"/>
      <w:sz w:val="16"/>
      <w:szCs w:val="24"/>
      <w:shd w:val="clear" w:color="auto" w:fill="FFFFFF"/>
    </w:rPr>
  </w:style>
  <w:style w:type="paragraph" w:customStyle="1" w:styleId="Caution0-CautionBoxCaption">
    <w:name w:val="Caution0 - CautionBoxCaption"/>
    <w:basedOn w:val="I0-InfoBoxCaption"/>
    <w:link w:val="Caution0-CautionBoxCaptionChar"/>
    <w:rsid w:val="00317D6F"/>
  </w:style>
  <w:style w:type="character" w:customStyle="1" w:styleId="Caution0-CautionBoxCaptionChar">
    <w:name w:val="Caution0 - CautionBoxCaption Char"/>
    <w:basedOn w:val="P0-ParagraphChar"/>
    <w:link w:val="Caution0-CautionBoxCaption"/>
    <w:rsid w:val="00317D6F"/>
    <w:rPr>
      <w:rFonts w:ascii="Crimson Pro" w:hAnsi="Crimson Pro"/>
      <w:sz w:val="16"/>
      <w:szCs w:val="24"/>
      <w:shd w:val="clear" w:color="auto" w:fill="FFFFFF"/>
    </w:rPr>
  </w:style>
  <w:style w:type="paragraph" w:customStyle="1" w:styleId="Caution0-CautionBox">
    <w:name w:val="Caution0 - CautionBox"/>
    <w:basedOn w:val="I0-InfoBox"/>
    <w:link w:val="Caution0-CautionBoxChar"/>
    <w:rsid w:val="00317D6F"/>
    <w:rPr>
      <w:sz w:val="21"/>
    </w:rPr>
  </w:style>
  <w:style w:type="character" w:customStyle="1" w:styleId="Caution0-CautionBoxChar">
    <w:name w:val="Caution0 - CautionBox Char"/>
    <w:basedOn w:val="P0-ParagraphChar"/>
    <w:link w:val="Caution0-CautionBox"/>
    <w:rsid w:val="00317D6F"/>
    <w:rPr>
      <w:rFonts w:ascii="Crimson Pro" w:hAnsi="Crimson Pro"/>
      <w:sz w:val="21"/>
      <w:szCs w:val="24"/>
      <w:shd w:val="clear" w:color="auto" w:fill="FFFFFF"/>
    </w:rPr>
  </w:style>
  <w:style w:type="paragraph" w:customStyle="1" w:styleId="Caution0-CautionBoxNumberedList">
    <w:name w:val="Caution0 - CautionBoxNumberedList"/>
    <w:basedOn w:val="I0-InfoBoxNumberedList"/>
    <w:link w:val="Caution0-CautionBoxNumberedListChar"/>
    <w:rsid w:val="00317D6F"/>
    <w:rPr>
      <w:sz w:val="21"/>
    </w:rPr>
  </w:style>
  <w:style w:type="character" w:customStyle="1" w:styleId="Caution0-CautionBoxNumberedListChar">
    <w:name w:val="Caution0 - CautionBoxNumberedList Char"/>
    <w:basedOn w:val="P0-ParagraphChar"/>
    <w:link w:val="Caution0-CautionBoxNumberedList"/>
    <w:rsid w:val="00317D6F"/>
    <w:rPr>
      <w:rFonts w:ascii="Crimson Pro" w:hAnsi="Crimson Pro"/>
      <w:sz w:val="21"/>
      <w:szCs w:val="24"/>
      <w:shd w:val="clear" w:color="auto" w:fill="FFFFFF"/>
    </w:rPr>
  </w:style>
  <w:style w:type="paragraph" w:customStyle="1" w:styleId="Caution0-CautionBoxCode">
    <w:name w:val="Caution0 - CautionBoxCode"/>
    <w:basedOn w:val="I0-InfoBoxCode"/>
    <w:link w:val="Caution0-CautionBoxCodeChar"/>
    <w:rsid w:val="00317D6F"/>
  </w:style>
  <w:style w:type="character" w:customStyle="1" w:styleId="Caution0-CautionBoxCodeChar">
    <w:name w:val="Caution0 - CautionBoxCode Char"/>
    <w:basedOn w:val="P0-ParagraphChar"/>
    <w:link w:val="Caution0-CautionBoxCode"/>
    <w:rsid w:val="00317D6F"/>
    <w:rPr>
      <w:rFonts w:ascii="Consolas" w:hAnsi="Consolas"/>
      <w:color w:val="383A42"/>
      <w:sz w:val="18"/>
      <w:szCs w:val="24"/>
      <w:shd w:val="clear" w:color="auto" w:fill="FAFAFA"/>
    </w:rPr>
  </w:style>
  <w:style w:type="paragraph" w:customStyle="1" w:styleId="Caution0-CautionBoxConsole">
    <w:name w:val="Caution0 - CautionBoxConsole"/>
    <w:basedOn w:val="I0-InfoBoxConsole"/>
    <w:link w:val="Caution0-CautionBoxConsoleChar"/>
    <w:rsid w:val="00317D6F"/>
  </w:style>
  <w:style w:type="character" w:customStyle="1" w:styleId="Caution0-CautionBoxConsoleChar">
    <w:name w:val="Caution0 - CautionBoxConsole Char"/>
    <w:basedOn w:val="P0-ParagraphChar"/>
    <w:link w:val="Caution0-CautionBoxConsole"/>
    <w:rsid w:val="00317D6F"/>
    <w:rPr>
      <w:rFonts w:ascii="Consolas" w:hAnsi="Consolas"/>
      <w:color w:val="F8F8F2"/>
      <w:sz w:val="18"/>
      <w:szCs w:val="24"/>
      <w:shd w:val="clear" w:color="auto" w:fill="282A36"/>
    </w:rPr>
  </w:style>
  <w:style w:type="paragraph" w:customStyle="1" w:styleId="Caution1-CautionBoxBullet">
    <w:name w:val="Caution1 - CautionBoxBullet"/>
    <w:basedOn w:val="I1-InfoBoxBullet"/>
    <w:link w:val="Caution1-CautionBoxBulletChar"/>
    <w:rsid w:val="00317D6F"/>
    <w:rPr>
      <w:sz w:val="21"/>
    </w:rPr>
  </w:style>
  <w:style w:type="character" w:customStyle="1" w:styleId="Caution1-CautionBoxBulletChar">
    <w:name w:val="Caution1 - CautionBoxBullet Char"/>
    <w:basedOn w:val="P0-ParagraphChar"/>
    <w:link w:val="Caution1-CautionBoxBullet"/>
    <w:rsid w:val="00317D6F"/>
    <w:rPr>
      <w:rFonts w:ascii="Crimson Pro" w:hAnsi="Crimson Pro"/>
      <w:sz w:val="21"/>
      <w:szCs w:val="24"/>
      <w:shd w:val="clear" w:color="auto" w:fill="FFFFFF"/>
    </w:rPr>
  </w:style>
  <w:style w:type="paragraph" w:customStyle="1" w:styleId="Caution1-CautionBoxCenter">
    <w:name w:val="Caution1 - CautionBoxCenter"/>
    <w:basedOn w:val="I1-InfoBoxCenter"/>
    <w:link w:val="Caution1-CautionBoxCenterChar"/>
    <w:rsid w:val="00317D6F"/>
    <w:rPr>
      <w:sz w:val="21"/>
    </w:rPr>
  </w:style>
  <w:style w:type="character" w:customStyle="1" w:styleId="Caution1-CautionBoxCenterChar">
    <w:name w:val="Caution1 - CautionBoxCenter Char"/>
    <w:basedOn w:val="P0-ParagraphChar"/>
    <w:link w:val="Caution1-CautionBoxCenter"/>
    <w:rsid w:val="00317D6F"/>
    <w:rPr>
      <w:rFonts w:ascii="Crimson Pro" w:hAnsi="Crimson Pro"/>
      <w:sz w:val="21"/>
      <w:szCs w:val="24"/>
      <w:shd w:val="clear" w:color="auto" w:fill="FFFFFF"/>
    </w:rPr>
  </w:style>
  <w:style w:type="paragraph" w:customStyle="1" w:styleId="Caution1-CautionBoxFigure">
    <w:name w:val="Caution1 - CautionBoxFigure"/>
    <w:basedOn w:val="I1-InfoBoxFigure"/>
    <w:link w:val="Caution1-CautionBoxFigureChar"/>
    <w:rsid w:val="00317D6F"/>
  </w:style>
  <w:style w:type="character" w:customStyle="1" w:styleId="Caution1-CautionBoxFigureChar">
    <w:name w:val="Caution1 - CautionBoxFigure Char"/>
    <w:basedOn w:val="P0-ParagraphChar"/>
    <w:link w:val="Caution1-CautionBoxFigure"/>
    <w:rsid w:val="00317D6F"/>
    <w:rPr>
      <w:rFonts w:ascii="Crimson Pro" w:hAnsi="Crimson Pro"/>
      <w:sz w:val="16"/>
      <w:szCs w:val="24"/>
      <w:shd w:val="clear" w:color="auto" w:fill="FFFFFF"/>
    </w:rPr>
  </w:style>
  <w:style w:type="paragraph" w:customStyle="1" w:styleId="Caution1-CautionBoxCaption">
    <w:name w:val="Caution1 - CautionBoxCaption"/>
    <w:basedOn w:val="I1-InfoBoxCaption"/>
    <w:link w:val="Caution1-CautionBoxCaptionChar"/>
    <w:rsid w:val="00317D6F"/>
  </w:style>
  <w:style w:type="character" w:customStyle="1" w:styleId="Caution1-CautionBoxCaptionChar">
    <w:name w:val="Caution1 - CautionBoxCaption Char"/>
    <w:basedOn w:val="P0-ParagraphChar"/>
    <w:link w:val="Caution1-CautionBoxCaption"/>
    <w:rsid w:val="00317D6F"/>
    <w:rPr>
      <w:rFonts w:ascii="Crimson Pro" w:hAnsi="Crimson Pro"/>
      <w:sz w:val="16"/>
      <w:szCs w:val="24"/>
      <w:shd w:val="clear" w:color="auto" w:fill="FFFFFF"/>
    </w:rPr>
  </w:style>
  <w:style w:type="paragraph" w:customStyle="1" w:styleId="Caution1-CautionBox">
    <w:name w:val="Caution1 - CautionBox"/>
    <w:basedOn w:val="I1-InfoBox"/>
    <w:link w:val="Caution1-CautionBoxChar"/>
    <w:rsid w:val="00317D6F"/>
    <w:rPr>
      <w:sz w:val="21"/>
    </w:rPr>
  </w:style>
  <w:style w:type="character" w:customStyle="1" w:styleId="Caution1-CautionBoxChar">
    <w:name w:val="Caution1 - CautionBox Char"/>
    <w:basedOn w:val="P0-ParagraphChar"/>
    <w:link w:val="Caution1-CautionBox"/>
    <w:rsid w:val="00317D6F"/>
    <w:rPr>
      <w:rFonts w:ascii="Crimson Pro" w:hAnsi="Crimson Pro"/>
      <w:sz w:val="21"/>
      <w:szCs w:val="24"/>
      <w:shd w:val="clear" w:color="auto" w:fill="FFFFFF"/>
    </w:rPr>
  </w:style>
  <w:style w:type="paragraph" w:customStyle="1" w:styleId="Caution1-CautionBoxNumberedList">
    <w:name w:val="Caution1 - CautionBoxNumberedList"/>
    <w:basedOn w:val="I1-InfoBoxNumberedList"/>
    <w:link w:val="Caution1-CautionBoxNumberedListChar"/>
    <w:rsid w:val="00317D6F"/>
    <w:rPr>
      <w:sz w:val="21"/>
    </w:rPr>
  </w:style>
  <w:style w:type="character" w:customStyle="1" w:styleId="Caution1-CautionBoxNumberedListChar">
    <w:name w:val="Caution1 - CautionBoxNumberedList Char"/>
    <w:basedOn w:val="P0-ParagraphChar"/>
    <w:link w:val="Caution1-CautionBoxNumberedList"/>
    <w:rsid w:val="00317D6F"/>
    <w:rPr>
      <w:rFonts w:ascii="Crimson Pro" w:hAnsi="Crimson Pro"/>
      <w:sz w:val="21"/>
      <w:szCs w:val="24"/>
      <w:shd w:val="clear" w:color="auto" w:fill="FFFFFF"/>
    </w:rPr>
  </w:style>
  <w:style w:type="paragraph" w:customStyle="1" w:styleId="Caution1-CautionBoxCode">
    <w:name w:val="Caution1 - CautionBoxCode"/>
    <w:basedOn w:val="I1-InfoBoxCode"/>
    <w:link w:val="Caution1-CautionBoxCodeChar"/>
    <w:rsid w:val="00317D6F"/>
  </w:style>
  <w:style w:type="character" w:customStyle="1" w:styleId="Caution1-CautionBoxCodeChar">
    <w:name w:val="Caution1 - CautionBoxCode Char"/>
    <w:basedOn w:val="P0-ParagraphChar"/>
    <w:link w:val="Caution1-CautionBoxCode"/>
    <w:rsid w:val="00317D6F"/>
    <w:rPr>
      <w:rFonts w:ascii="Consolas" w:hAnsi="Consolas"/>
      <w:color w:val="383A42"/>
      <w:sz w:val="18"/>
      <w:szCs w:val="24"/>
      <w:shd w:val="clear" w:color="auto" w:fill="FAFAFA"/>
    </w:rPr>
  </w:style>
  <w:style w:type="paragraph" w:customStyle="1" w:styleId="Caution1-CautionBoxConsole">
    <w:name w:val="Caution1 - CautionBoxConsole"/>
    <w:basedOn w:val="I1-InfoBoxConsole"/>
    <w:link w:val="Caution1-CautionBoxConsoleChar"/>
    <w:rsid w:val="00317D6F"/>
  </w:style>
  <w:style w:type="character" w:customStyle="1" w:styleId="Caution1-CautionBoxConsoleChar">
    <w:name w:val="Caution1 - CautionBoxConsole Char"/>
    <w:basedOn w:val="P0-ParagraphChar"/>
    <w:link w:val="Caution1-CautionBoxConsole"/>
    <w:rsid w:val="00317D6F"/>
    <w:rPr>
      <w:rFonts w:ascii="Consolas" w:hAnsi="Consolas"/>
      <w:color w:val="F8F8F2"/>
      <w:sz w:val="18"/>
      <w:szCs w:val="24"/>
      <w:shd w:val="clear" w:color="auto" w:fill="282A36"/>
    </w:rPr>
  </w:style>
  <w:style w:type="paragraph" w:customStyle="1" w:styleId="Caution2-CautionBoxBullet">
    <w:name w:val="Caution2 - CautionBoxBullet"/>
    <w:basedOn w:val="I2-InfoBoxBullet"/>
    <w:link w:val="Caution2-CautionBoxBulletChar"/>
    <w:rsid w:val="00317D6F"/>
    <w:rPr>
      <w:sz w:val="21"/>
    </w:rPr>
  </w:style>
  <w:style w:type="character" w:customStyle="1" w:styleId="Caution2-CautionBoxBulletChar">
    <w:name w:val="Caution2 - CautionBoxBullet Char"/>
    <w:basedOn w:val="P0-ParagraphChar"/>
    <w:link w:val="Caution2-CautionBoxBullet"/>
    <w:rsid w:val="00317D6F"/>
    <w:rPr>
      <w:rFonts w:ascii="Crimson Pro" w:hAnsi="Crimson Pro"/>
      <w:sz w:val="21"/>
      <w:szCs w:val="24"/>
      <w:shd w:val="clear" w:color="auto" w:fill="FFFFFF"/>
    </w:rPr>
  </w:style>
  <w:style w:type="paragraph" w:customStyle="1" w:styleId="Caution2-CautionBoxCenter">
    <w:name w:val="Caution2 - CautionBoxCenter"/>
    <w:basedOn w:val="I2-InfoBoxCenter"/>
    <w:link w:val="Caution2-CautionBoxCenterChar"/>
    <w:rsid w:val="00317D6F"/>
    <w:rPr>
      <w:sz w:val="21"/>
    </w:rPr>
  </w:style>
  <w:style w:type="character" w:customStyle="1" w:styleId="Caution2-CautionBoxCenterChar">
    <w:name w:val="Caution2 - CautionBoxCenter Char"/>
    <w:basedOn w:val="P0-ParagraphChar"/>
    <w:link w:val="Caution2-CautionBoxCenter"/>
    <w:rsid w:val="00317D6F"/>
    <w:rPr>
      <w:rFonts w:ascii="Crimson Pro" w:hAnsi="Crimson Pro"/>
      <w:sz w:val="21"/>
      <w:szCs w:val="24"/>
      <w:shd w:val="clear" w:color="auto" w:fill="FFFFFF"/>
    </w:rPr>
  </w:style>
  <w:style w:type="paragraph" w:customStyle="1" w:styleId="Caution2-CautionBoxFigure">
    <w:name w:val="Caution2 - CautionBoxFigure"/>
    <w:basedOn w:val="I2-InfoBoxFigure"/>
    <w:link w:val="Caution2-CautionBoxFigureChar"/>
    <w:rsid w:val="00317D6F"/>
  </w:style>
  <w:style w:type="character" w:customStyle="1" w:styleId="Caution2-CautionBoxFigureChar">
    <w:name w:val="Caution2 - CautionBoxFigure Char"/>
    <w:basedOn w:val="P0-ParagraphChar"/>
    <w:link w:val="Caution2-CautionBoxFigure"/>
    <w:rsid w:val="00317D6F"/>
    <w:rPr>
      <w:rFonts w:ascii="Crimson Pro" w:hAnsi="Crimson Pro"/>
      <w:sz w:val="16"/>
      <w:szCs w:val="24"/>
      <w:shd w:val="clear" w:color="auto" w:fill="FFFFFF"/>
    </w:rPr>
  </w:style>
  <w:style w:type="paragraph" w:customStyle="1" w:styleId="Caution2-CautionBoxCaption">
    <w:name w:val="Caution2 - CautionBoxCaption"/>
    <w:basedOn w:val="I2-InfoBoxCaption"/>
    <w:link w:val="Caution2-CautionBoxCaptionChar"/>
    <w:rsid w:val="00317D6F"/>
  </w:style>
  <w:style w:type="character" w:customStyle="1" w:styleId="Caution2-CautionBoxCaptionChar">
    <w:name w:val="Caution2 - CautionBoxCaption Char"/>
    <w:basedOn w:val="P0-ParagraphChar"/>
    <w:link w:val="Caution2-CautionBoxCaption"/>
    <w:rsid w:val="00317D6F"/>
    <w:rPr>
      <w:rFonts w:ascii="Crimson Pro" w:hAnsi="Crimson Pro"/>
      <w:sz w:val="16"/>
      <w:szCs w:val="24"/>
      <w:shd w:val="clear" w:color="auto" w:fill="FFFFFF"/>
    </w:rPr>
  </w:style>
  <w:style w:type="paragraph" w:customStyle="1" w:styleId="Caution2-CautionBox">
    <w:name w:val="Caution2 - CautionBox"/>
    <w:basedOn w:val="I2-InfoBox"/>
    <w:link w:val="Caution2-CautionBoxChar"/>
    <w:rsid w:val="00317D6F"/>
    <w:rPr>
      <w:sz w:val="21"/>
    </w:rPr>
  </w:style>
  <w:style w:type="character" w:customStyle="1" w:styleId="Caution2-CautionBoxChar">
    <w:name w:val="Caution2 - CautionBox Char"/>
    <w:basedOn w:val="P0-ParagraphChar"/>
    <w:link w:val="Caution2-CautionBox"/>
    <w:rsid w:val="00317D6F"/>
    <w:rPr>
      <w:rFonts w:ascii="Crimson Pro" w:hAnsi="Crimson Pro"/>
      <w:sz w:val="21"/>
      <w:szCs w:val="24"/>
      <w:shd w:val="clear" w:color="auto" w:fill="FFFFFF"/>
    </w:rPr>
  </w:style>
  <w:style w:type="paragraph" w:customStyle="1" w:styleId="Caution2-CautionBoxNumberedList">
    <w:name w:val="Caution2 - CautionBoxNumberedList"/>
    <w:basedOn w:val="I2-InfoBoxNumberedList"/>
    <w:link w:val="Caution2-CautionBoxNumberedListChar"/>
    <w:rsid w:val="00317D6F"/>
    <w:rPr>
      <w:sz w:val="21"/>
    </w:rPr>
  </w:style>
  <w:style w:type="character" w:customStyle="1" w:styleId="Caution2-CautionBoxNumberedListChar">
    <w:name w:val="Caution2 - CautionBoxNumberedList Char"/>
    <w:basedOn w:val="P0-ParagraphChar"/>
    <w:link w:val="Caution2-CautionBoxNumberedList"/>
    <w:rsid w:val="00317D6F"/>
    <w:rPr>
      <w:rFonts w:ascii="Crimson Pro" w:hAnsi="Crimson Pro"/>
      <w:sz w:val="21"/>
      <w:szCs w:val="24"/>
      <w:shd w:val="clear" w:color="auto" w:fill="FFFFFF"/>
    </w:rPr>
  </w:style>
  <w:style w:type="paragraph" w:customStyle="1" w:styleId="Caution2-CautionBoxCode">
    <w:name w:val="Caution2 - CautionBoxCode"/>
    <w:basedOn w:val="I2-InfoBoxCode"/>
    <w:link w:val="Caution2-CautionBoxCodeChar"/>
    <w:rsid w:val="00317D6F"/>
  </w:style>
  <w:style w:type="character" w:customStyle="1" w:styleId="Caution2-CautionBoxCodeChar">
    <w:name w:val="Caution2 - CautionBoxCode Char"/>
    <w:basedOn w:val="P0-ParagraphChar"/>
    <w:link w:val="Caution2-CautionBoxCode"/>
    <w:rsid w:val="00317D6F"/>
    <w:rPr>
      <w:rFonts w:ascii="Consolas" w:hAnsi="Consolas"/>
      <w:color w:val="383A42"/>
      <w:sz w:val="18"/>
      <w:szCs w:val="24"/>
      <w:shd w:val="clear" w:color="auto" w:fill="FAFAFA"/>
    </w:rPr>
  </w:style>
  <w:style w:type="paragraph" w:customStyle="1" w:styleId="Caution2-CautionBoxConsole">
    <w:name w:val="Caution2 - CautionBoxConsole"/>
    <w:basedOn w:val="I2-InfoBoxConsole"/>
    <w:link w:val="Caution2-CautionBoxConsoleChar"/>
    <w:rsid w:val="00317D6F"/>
  </w:style>
  <w:style w:type="character" w:customStyle="1" w:styleId="Caution2-CautionBoxConsoleChar">
    <w:name w:val="Caution2 - CautionBoxConsole Char"/>
    <w:basedOn w:val="P0-ParagraphChar"/>
    <w:link w:val="Caution2-CautionBoxConsole"/>
    <w:rsid w:val="00317D6F"/>
    <w:rPr>
      <w:rFonts w:ascii="Consolas" w:hAnsi="Consolas"/>
      <w:color w:val="F8F8F2"/>
      <w:sz w:val="18"/>
      <w:szCs w:val="24"/>
      <w:shd w:val="clear" w:color="auto" w:fill="282A36"/>
    </w:rPr>
  </w:style>
  <w:style w:type="paragraph" w:customStyle="1" w:styleId="AIHelper0-AIHelperBoxBullet">
    <w:name w:val="AI Helper0 - AIHelperBoxBullet"/>
    <w:basedOn w:val="I0-InfoBoxBullet"/>
    <w:link w:val="AIHelper0-AIHelperBoxBulletChar"/>
    <w:rsid w:val="00317D6F"/>
    <w:rPr>
      <w:sz w:val="21"/>
    </w:rPr>
  </w:style>
  <w:style w:type="character" w:customStyle="1" w:styleId="AIHelper0-AIHelperBoxBulletChar">
    <w:name w:val="AI Helper0 - AIHelperBoxBullet Char"/>
    <w:basedOn w:val="P0-ParagraphChar"/>
    <w:link w:val="AIHelper0-AIHelperBoxBullet"/>
    <w:rsid w:val="00317D6F"/>
    <w:rPr>
      <w:rFonts w:ascii="Crimson Pro" w:hAnsi="Crimson Pro"/>
      <w:sz w:val="21"/>
      <w:szCs w:val="24"/>
      <w:shd w:val="clear" w:color="auto" w:fill="FFFFFF"/>
    </w:rPr>
  </w:style>
  <w:style w:type="paragraph" w:customStyle="1" w:styleId="AIHelper0-AIHelperBoxCenter">
    <w:name w:val="AI Helper0 - AIHelperBoxCenter"/>
    <w:basedOn w:val="I0-InfoBoxCenter"/>
    <w:link w:val="AIHelper0-AIHelperBoxCenterChar"/>
    <w:rsid w:val="00317D6F"/>
    <w:rPr>
      <w:sz w:val="21"/>
    </w:rPr>
  </w:style>
  <w:style w:type="character" w:customStyle="1" w:styleId="AIHelper0-AIHelperBoxCenterChar">
    <w:name w:val="AI Helper0 - AIHelperBoxCenter Char"/>
    <w:basedOn w:val="P0-ParagraphChar"/>
    <w:link w:val="AIHelper0-AIHelperBoxCenter"/>
    <w:rsid w:val="00317D6F"/>
    <w:rPr>
      <w:rFonts w:ascii="Crimson Pro" w:hAnsi="Crimson Pro"/>
      <w:sz w:val="21"/>
      <w:szCs w:val="24"/>
      <w:shd w:val="clear" w:color="auto" w:fill="FFFFFF"/>
    </w:rPr>
  </w:style>
  <w:style w:type="paragraph" w:customStyle="1" w:styleId="AIHelper0-AIHelperBoxFigure">
    <w:name w:val="AI Helper0 - AIHelperBoxFigure"/>
    <w:basedOn w:val="I0-InfoBoxFigure"/>
    <w:link w:val="AIHelper0-AIHelperBoxFigureChar"/>
    <w:rsid w:val="00317D6F"/>
  </w:style>
  <w:style w:type="character" w:customStyle="1" w:styleId="AIHelper0-AIHelperBoxFigureChar">
    <w:name w:val="AI Helper0 - AIHelperBoxFigure Char"/>
    <w:basedOn w:val="P0-ParagraphChar"/>
    <w:link w:val="AIHelper0-AIHelperBoxFigure"/>
    <w:rsid w:val="00317D6F"/>
    <w:rPr>
      <w:rFonts w:ascii="Crimson Pro" w:hAnsi="Crimson Pro"/>
      <w:sz w:val="16"/>
      <w:szCs w:val="24"/>
      <w:shd w:val="clear" w:color="auto" w:fill="FFFFFF"/>
    </w:rPr>
  </w:style>
  <w:style w:type="paragraph" w:customStyle="1" w:styleId="AIHelper0-AIHelperBoxCaption">
    <w:name w:val="AI Helper0 - AIHelperBoxCaption"/>
    <w:basedOn w:val="I0-InfoBoxCaption"/>
    <w:link w:val="AIHelper0-AIHelperBoxCaptionChar"/>
    <w:rsid w:val="00317D6F"/>
  </w:style>
  <w:style w:type="character" w:customStyle="1" w:styleId="AIHelper0-AIHelperBoxCaptionChar">
    <w:name w:val="AI Helper0 - AIHelperBoxCaption Char"/>
    <w:basedOn w:val="P0-ParagraphChar"/>
    <w:link w:val="AIHelper0-AIHelperBoxCaption"/>
    <w:rsid w:val="00317D6F"/>
    <w:rPr>
      <w:rFonts w:ascii="Crimson Pro" w:hAnsi="Crimson Pro"/>
      <w:sz w:val="16"/>
      <w:szCs w:val="24"/>
      <w:shd w:val="clear" w:color="auto" w:fill="FFFFFF"/>
    </w:rPr>
  </w:style>
  <w:style w:type="paragraph" w:customStyle="1" w:styleId="AIHelper0-AIHelperBox">
    <w:name w:val="AI Helper0 - AIHelperBox"/>
    <w:basedOn w:val="I0-InfoBox"/>
    <w:link w:val="AIHelper0-AIHelperBoxChar"/>
    <w:rsid w:val="00317D6F"/>
    <w:rPr>
      <w:sz w:val="21"/>
    </w:rPr>
  </w:style>
  <w:style w:type="character" w:customStyle="1" w:styleId="AIHelper0-AIHelperBoxChar">
    <w:name w:val="AI Helper0 - AIHelperBox Char"/>
    <w:basedOn w:val="P0-ParagraphChar"/>
    <w:link w:val="AIHelper0-AIHelperBox"/>
    <w:rsid w:val="00317D6F"/>
    <w:rPr>
      <w:rFonts w:ascii="Crimson Pro" w:hAnsi="Crimson Pro"/>
      <w:sz w:val="21"/>
      <w:szCs w:val="24"/>
      <w:shd w:val="clear" w:color="auto" w:fill="FFFFFF"/>
    </w:rPr>
  </w:style>
  <w:style w:type="paragraph" w:customStyle="1" w:styleId="AIHelper0-AIHelperBoxNumberedList">
    <w:name w:val="AI Helper0 - AIHelperBoxNumberedList"/>
    <w:basedOn w:val="I0-InfoBoxNumberedList"/>
    <w:link w:val="AIHelper0-AIHelperBoxNumberedListChar"/>
    <w:rsid w:val="00317D6F"/>
    <w:rPr>
      <w:sz w:val="21"/>
    </w:rPr>
  </w:style>
  <w:style w:type="character" w:customStyle="1" w:styleId="AIHelper0-AIHelperBoxNumberedListChar">
    <w:name w:val="AI Helper0 - AIHelperBoxNumberedList Char"/>
    <w:basedOn w:val="P0-ParagraphChar"/>
    <w:link w:val="AIHelper0-AIHelperBoxNumberedList"/>
    <w:rsid w:val="00317D6F"/>
    <w:rPr>
      <w:rFonts w:ascii="Crimson Pro" w:hAnsi="Crimson Pro"/>
      <w:sz w:val="21"/>
      <w:szCs w:val="24"/>
      <w:shd w:val="clear" w:color="auto" w:fill="FFFFFF"/>
    </w:rPr>
  </w:style>
  <w:style w:type="paragraph" w:customStyle="1" w:styleId="AIHelper0-AIHelperBoxCode">
    <w:name w:val="AI Helper0 - AIHelperBoxCode"/>
    <w:basedOn w:val="I0-InfoBoxCode"/>
    <w:link w:val="AIHelper0-AIHelperBoxCodeChar"/>
    <w:rsid w:val="00317D6F"/>
  </w:style>
  <w:style w:type="character" w:customStyle="1" w:styleId="AIHelper0-AIHelperBoxCodeChar">
    <w:name w:val="AI Helper0 - AIHelperBoxCode Char"/>
    <w:basedOn w:val="P0-ParagraphChar"/>
    <w:link w:val="AIHelper0-AIHelperBoxCode"/>
    <w:rsid w:val="00317D6F"/>
    <w:rPr>
      <w:rFonts w:ascii="Consolas" w:hAnsi="Consolas"/>
      <w:color w:val="383A42"/>
      <w:sz w:val="18"/>
      <w:szCs w:val="24"/>
      <w:shd w:val="clear" w:color="auto" w:fill="FAFAFA"/>
    </w:rPr>
  </w:style>
  <w:style w:type="paragraph" w:customStyle="1" w:styleId="AIHelper0-AIHelperBoxConsole">
    <w:name w:val="AI Helper0 - AIHelperBoxConsole"/>
    <w:basedOn w:val="I0-InfoBoxConsole"/>
    <w:link w:val="AIHelper0-AIHelperBoxConsoleChar"/>
    <w:rsid w:val="00317D6F"/>
  </w:style>
  <w:style w:type="character" w:customStyle="1" w:styleId="AIHelper0-AIHelperBoxConsoleChar">
    <w:name w:val="AI Helper0 - AIHelperBoxConsole Char"/>
    <w:basedOn w:val="P0-ParagraphChar"/>
    <w:link w:val="AIHelper0-AIHelperBoxConsole"/>
    <w:rsid w:val="00317D6F"/>
    <w:rPr>
      <w:rFonts w:ascii="Consolas" w:hAnsi="Consolas"/>
      <w:color w:val="F8F8F2"/>
      <w:sz w:val="18"/>
      <w:szCs w:val="24"/>
      <w:shd w:val="clear" w:color="auto" w:fill="282A36"/>
    </w:rPr>
  </w:style>
  <w:style w:type="paragraph" w:customStyle="1" w:styleId="AIHelper1-AIHelperBoxBullet">
    <w:name w:val="AI Helper1 - AIHelperBoxBullet"/>
    <w:basedOn w:val="I1-InfoBoxBullet"/>
    <w:link w:val="AIHelper1-AIHelperBoxBulletChar"/>
    <w:rsid w:val="00317D6F"/>
    <w:rPr>
      <w:sz w:val="21"/>
    </w:rPr>
  </w:style>
  <w:style w:type="character" w:customStyle="1" w:styleId="AIHelper1-AIHelperBoxBulletChar">
    <w:name w:val="AI Helper1 - AIHelperBoxBullet Char"/>
    <w:basedOn w:val="P0-ParagraphChar"/>
    <w:link w:val="AIHelper1-AIHelperBoxBullet"/>
    <w:rsid w:val="00317D6F"/>
    <w:rPr>
      <w:rFonts w:ascii="Crimson Pro" w:hAnsi="Crimson Pro"/>
      <w:sz w:val="21"/>
      <w:szCs w:val="24"/>
      <w:shd w:val="clear" w:color="auto" w:fill="FFFFFF"/>
    </w:rPr>
  </w:style>
  <w:style w:type="paragraph" w:customStyle="1" w:styleId="AIHelper1-AIHelperBoxCenter">
    <w:name w:val="AI Helper1 - AIHelperBoxCenter"/>
    <w:basedOn w:val="I1-InfoBoxCenter"/>
    <w:link w:val="AIHelper1-AIHelperBoxCenterChar"/>
    <w:rsid w:val="00317D6F"/>
    <w:rPr>
      <w:sz w:val="21"/>
    </w:rPr>
  </w:style>
  <w:style w:type="character" w:customStyle="1" w:styleId="AIHelper1-AIHelperBoxCenterChar">
    <w:name w:val="AI Helper1 - AIHelperBoxCenter Char"/>
    <w:basedOn w:val="P0-ParagraphChar"/>
    <w:link w:val="AIHelper1-AIHelperBoxCenter"/>
    <w:rsid w:val="00317D6F"/>
    <w:rPr>
      <w:rFonts w:ascii="Crimson Pro" w:hAnsi="Crimson Pro"/>
      <w:sz w:val="21"/>
      <w:szCs w:val="24"/>
      <w:shd w:val="clear" w:color="auto" w:fill="FFFFFF"/>
    </w:rPr>
  </w:style>
  <w:style w:type="paragraph" w:customStyle="1" w:styleId="AIHelper1-AIHelperBoxFigure">
    <w:name w:val="AI Helper1 - AIHelperBoxFigure"/>
    <w:basedOn w:val="I1-InfoBoxFigure"/>
    <w:link w:val="AIHelper1-AIHelperBoxFigureChar"/>
    <w:rsid w:val="00317D6F"/>
  </w:style>
  <w:style w:type="character" w:customStyle="1" w:styleId="AIHelper1-AIHelperBoxFigureChar">
    <w:name w:val="AI Helper1 - AIHelperBoxFigure Char"/>
    <w:basedOn w:val="P0-ParagraphChar"/>
    <w:link w:val="AIHelper1-AIHelperBoxFigure"/>
    <w:rsid w:val="00317D6F"/>
    <w:rPr>
      <w:rFonts w:ascii="Crimson Pro" w:hAnsi="Crimson Pro"/>
      <w:sz w:val="16"/>
      <w:szCs w:val="24"/>
      <w:shd w:val="clear" w:color="auto" w:fill="FFFFFF"/>
    </w:rPr>
  </w:style>
  <w:style w:type="paragraph" w:customStyle="1" w:styleId="AIHelper1-AIHelperBoxCaption">
    <w:name w:val="AI Helper1 - AIHelperBoxCaption"/>
    <w:basedOn w:val="I1-InfoBoxCaption"/>
    <w:link w:val="AIHelper1-AIHelperBoxCaptionChar"/>
    <w:rsid w:val="00317D6F"/>
  </w:style>
  <w:style w:type="character" w:customStyle="1" w:styleId="AIHelper1-AIHelperBoxCaptionChar">
    <w:name w:val="AI Helper1 - AIHelperBoxCaption Char"/>
    <w:basedOn w:val="P0-ParagraphChar"/>
    <w:link w:val="AIHelper1-AIHelperBoxCaption"/>
    <w:rsid w:val="00317D6F"/>
    <w:rPr>
      <w:rFonts w:ascii="Crimson Pro" w:hAnsi="Crimson Pro"/>
      <w:sz w:val="16"/>
      <w:szCs w:val="24"/>
      <w:shd w:val="clear" w:color="auto" w:fill="FFFFFF"/>
    </w:rPr>
  </w:style>
  <w:style w:type="paragraph" w:customStyle="1" w:styleId="AIHelper1-AIHelperBox">
    <w:name w:val="AI Helper1 - AIHelperBox"/>
    <w:basedOn w:val="I1-InfoBox"/>
    <w:link w:val="AIHelper1-AIHelperBoxChar"/>
    <w:rsid w:val="00317D6F"/>
    <w:rPr>
      <w:sz w:val="21"/>
    </w:rPr>
  </w:style>
  <w:style w:type="character" w:customStyle="1" w:styleId="AIHelper1-AIHelperBoxChar">
    <w:name w:val="AI Helper1 - AIHelperBox Char"/>
    <w:basedOn w:val="P0-ParagraphChar"/>
    <w:link w:val="AIHelper1-AIHelperBox"/>
    <w:rsid w:val="00317D6F"/>
    <w:rPr>
      <w:rFonts w:ascii="Crimson Pro" w:hAnsi="Crimson Pro"/>
      <w:sz w:val="21"/>
      <w:szCs w:val="24"/>
      <w:shd w:val="clear" w:color="auto" w:fill="FFFFFF"/>
    </w:rPr>
  </w:style>
  <w:style w:type="paragraph" w:customStyle="1" w:styleId="AIHelper1-AIHelperBoxNumberedList">
    <w:name w:val="AI Helper1 - AIHelperBoxNumberedList"/>
    <w:basedOn w:val="I1-InfoBoxNumberedList"/>
    <w:link w:val="AIHelper1-AIHelperBoxNumberedListChar"/>
    <w:rsid w:val="00317D6F"/>
    <w:rPr>
      <w:sz w:val="21"/>
    </w:rPr>
  </w:style>
  <w:style w:type="character" w:customStyle="1" w:styleId="AIHelper1-AIHelperBoxNumberedListChar">
    <w:name w:val="AI Helper1 - AIHelperBoxNumberedList Char"/>
    <w:basedOn w:val="P0-ParagraphChar"/>
    <w:link w:val="AIHelper1-AIHelperBoxNumberedList"/>
    <w:rsid w:val="00317D6F"/>
    <w:rPr>
      <w:rFonts w:ascii="Crimson Pro" w:hAnsi="Crimson Pro"/>
      <w:sz w:val="21"/>
      <w:szCs w:val="24"/>
      <w:shd w:val="clear" w:color="auto" w:fill="FFFFFF"/>
    </w:rPr>
  </w:style>
  <w:style w:type="paragraph" w:customStyle="1" w:styleId="AIHelper1-AIHelperBoxCode">
    <w:name w:val="AI Helper1 - AIHelperBoxCode"/>
    <w:basedOn w:val="I1-InfoBoxCode"/>
    <w:link w:val="AIHelper1-AIHelperBoxCodeChar"/>
    <w:rsid w:val="00317D6F"/>
  </w:style>
  <w:style w:type="character" w:customStyle="1" w:styleId="AIHelper1-AIHelperBoxCodeChar">
    <w:name w:val="AI Helper1 - AIHelperBoxCode Char"/>
    <w:basedOn w:val="P0-ParagraphChar"/>
    <w:link w:val="AIHelper1-AIHelperBoxCode"/>
    <w:rsid w:val="00317D6F"/>
    <w:rPr>
      <w:rFonts w:ascii="Consolas" w:hAnsi="Consolas"/>
      <w:color w:val="383A42"/>
      <w:sz w:val="18"/>
      <w:szCs w:val="24"/>
      <w:shd w:val="clear" w:color="auto" w:fill="FAFAFA"/>
    </w:rPr>
  </w:style>
  <w:style w:type="paragraph" w:customStyle="1" w:styleId="AIHelper1-AIHelperBoxConsole">
    <w:name w:val="AI Helper1 - AIHelperBoxConsole"/>
    <w:basedOn w:val="I1-InfoBoxConsole"/>
    <w:link w:val="AIHelper1-AIHelperBoxConsoleChar"/>
    <w:rsid w:val="00317D6F"/>
  </w:style>
  <w:style w:type="character" w:customStyle="1" w:styleId="AIHelper1-AIHelperBoxConsoleChar">
    <w:name w:val="AI Helper1 - AIHelperBoxConsole Char"/>
    <w:basedOn w:val="P0-ParagraphChar"/>
    <w:link w:val="AIHelper1-AIHelperBoxConsole"/>
    <w:rsid w:val="00317D6F"/>
    <w:rPr>
      <w:rFonts w:ascii="Consolas" w:hAnsi="Consolas"/>
      <w:color w:val="F8F8F2"/>
      <w:sz w:val="18"/>
      <w:szCs w:val="24"/>
      <w:shd w:val="clear" w:color="auto" w:fill="282A36"/>
    </w:rPr>
  </w:style>
  <w:style w:type="paragraph" w:customStyle="1" w:styleId="AIHelper2-AIHelperBoxBullet">
    <w:name w:val="AI Helper2 - AIHelperBoxBullet"/>
    <w:basedOn w:val="I2-InfoBoxBullet"/>
    <w:link w:val="AIHelper2-AIHelperBoxBulletChar"/>
    <w:rsid w:val="00317D6F"/>
    <w:rPr>
      <w:sz w:val="21"/>
    </w:rPr>
  </w:style>
  <w:style w:type="character" w:customStyle="1" w:styleId="AIHelper2-AIHelperBoxBulletChar">
    <w:name w:val="AI Helper2 - AIHelperBoxBullet Char"/>
    <w:basedOn w:val="P0-ParagraphChar"/>
    <w:link w:val="AIHelper2-AIHelperBoxBullet"/>
    <w:rsid w:val="00317D6F"/>
    <w:rPr>
      <w:rFonts w:ascii="Crimson Pro" w:hAnsi="Crimson Pro"/>
      <w:sz w:val="21"/>
      <w:szCs w:val="24"/>
      <w:shd w:val="clear" w:color="auto" w:fill="FFFFFF"/>
    </w:rPr>
  </w:style>
  <w:style w:type="paragraph" w:customStyle="1" w:styleId="AIHelper2-AIHelperBoxCenter">
    <w:name w:val="AI Helper2 - AIHelperBoxCenter"/>
    <w:basedOn w:val="I2-InfoBoxCenter"/>
    <w:link w:val="AIHelper2-AIHelperBoxCenterChar"/>
    <w:rsid w:val="00317D6F"/>
    <w:rPr>
      <w:sz w:val="21"/>
    </w:rPr>
  </w:style>
  <w:style w:type="character" w:customStyle="1" w:styleId="AIHelper2-AIHelperBoxCenterChar">
    <w:name w:val="AI Helper2 - AIHelperBoxCenter Char"/>
    <w:basedOn w:val="P0-ParagraphChar"/>
    <w:link w:val="AIHelper2-AIHelperBoxCenter"/>
    <w:rsid w:val="00317D6F"/>
    <w:rPr>
      <w:rFonts w:ascii="Crimson Pro" w:hAnsi="Crimson Pro"/>
      <w:sz w:val="21"/>
      <w:szCs w:val="24"/>
      <w:shd w:val="clear" w:color="auto" w:fill="FFFFFF"/>
    </w:rPr>
  </w:style>
  <w:style w:type="paragraph" w:customStyle="1" w:styleId="AIHelper2-AIHelperBoxFigure">
    <w:name w:val="AI Helper2 - AIHelperBoxFigure"/>
    <w:basedOn w:val="I2-InfoBoxFigure"/>
    <w:link w:val="AIHelper2-AIHelperBoxFigureChar"/>
    <w:rsid w:val="00317D6F"/>
  </w:style>
  <w:style w:type="character" w:customStyle="1" w:styleId="AIHelper2-AIHelperBoxFigureChar">
    <w:name w:val="AI Helper2 - AIHelperBoxFigure Char"/>
    <w:basedOn w:val="P0-ParagraphChar"/>
    <w:link w:val="AIHelper2-AIHelperBoxFigure"/>
    <w:rsid w:val="00317D6F"/>
    <w:rPr>
      <w:rFonts w:ascii="Crimson Pro" w:hAnsi="Crimson Pro"/>
      <w:sz w:val="16"/>
      <w:szCs w:val="24"/>
      <w:shd w:val="clear" w:color="auto" w:fill="FFFFFF"/>
    </w:rPr>
  </w:style>
  <w:style w:type="paragraph" w:customStyle="1" w:styleId="AIHelper2-AIHelperBoxCaption">
    <w:name w:val="AI Helper2 - AIHelperBoxCaption"/>
    <w:basedOn w:val="I2-InfoBoxCaption"/>
    <w:link w:val="AIHelper2-AIHelperBoxCaptionChar"/>
    <w:rsid w:val="00317D6F"/>
  </w:style>
  <w:style w:type="character" w:customStyle="1" w:styleId="AIHelper2-AIHelperBoxCaptionChar">
    <w:name w:val="AI Helper2 - AIHelperBoxCaption Char"/>
    <w:basedOn w:val="P0-ParagraphChar"/>
    <w:link w:val="AIHelper2-AIHelperBoxCaption"/>
    <w:rsid w:val="00317D6F"/>
    <w:rPr>
      <w:rFonts w:ascii="Crimson Pro" w:hAnsi="Crimson Pro"/>
      <w:sz w:val="16"/>
      <w:szCs w:val="24"/>
      <w:shd w:val="clear" w:color="auto" w:fill="FFFFFF"/>
    </w:rPr>
  </w:style>
  <w:style w:type="paragraph" w:customStyle="1" w:styleId="AIHelper2-AIHelperBox">
    <w:name w:val="AI Helper2 - AIHelperBox"/>
    <w:basedOn w:val="I2-InfoBox"/>
    <w:link w:val="AIHelper2-AIHelperBoxChar"/>
    <w:rsid w:val="00317D6F"/>
    <w:rPr>
      <w:sz w:val="21"/>
    </w:rPr>
  </w:style>
  <w:style w:type="character" w:customStyle="1" w:styleId="AIHelper2-AIHelperBoxChar">
    <w:name w:val="AI Helper2 - AIHelperBox Char"/>
    <w:basedOn w:val="P0-ParagraphChar"/>
    <w:link w:val="AIHelper2-AIHelperBox"/>
    <w:rsid w:val="00317D6F"/>
    <w:rPr>
      <w:rFonts w:ascii="Crimson Pro" w:hAnsi="Crimson Pro"/>
      <w:sz w:val="21"/>
      <w:szCs w:val="24"/>
      <w:shd w:val="clear" w:color="auto" w:fill="FFFFFF"/>
    </w:rPr>
  </w:style>
  <w:style w:type="paragraph" w:customStyle="1" w:styleId="AIHelper2-AIHelperBoxNumberedList">
    <w:name w:val="AI Helper2 - AIHelperBoxNumberedList"/>
    <w:basedOn w:val="I2-InfoBoxNumberedList"/>
    <w:link w:val="AIHelper2-AIHelperBoxNumberedListChar"/>
    <w:rsid w:val="00317D6F"/>
    <w:rPr>
      <w:sz w:val="21"/>
    </w:rPr>
  </w:style>
  <w:style w:type="character" w:customStyle="1" w:styleId="AIHelper2-AIHelperBoxNumberedListChar">
    <w:name w:val="AI Helper2 - AIHelperBoxNumberedList Char"/>
    <w:basedOn w:val="P0-ParagraphChar"/>
    <w:link w:val="AIHelper2-AIHelperBoxNumberedList"/>
    <w:rsid w:val="00317D6F"/>
    <w:rPr>
      <w:rFonts w:ascii="Crimson Pro" w:hAnsi="Crimson Pro"/>
      <w:sz w:val="21"/>
      <w:szCs w:val="24"/>
      <w:shd w:val="clear" w:color="auto" w:fill="FFFFFF"/>
    </w:rPr>
  </w:style>
  <w:style w:type="paragraph" w:customStyle="1" w:styleId="AIHelper2-AIHelperBoxCode">
    <w:name w:val="AI Helper2 - AIHelperBoxCode"/>
    <w:basedOn w:val="I2-InfoBoxCode"/>
    <w:link w:val="AIHelper2-AIHelperBoxCodeChar"/>
    <w:rsid w:val="00317D6F"/>
  </w:style>
  <w:style w:type="character" w:customStyle="1" w:styleId="AIHelper2-AIHelperBoxCodeChar">
    <w:name w:val="AI Helper2 - AIHelperBoxCode Char"/>
    <w:basedOn w:val="P0-ParagraphChar"/>
    <w:link w:val="AIHelper2-AIHelperBoxCode"/>
    <w:rsid w:val="00317D6F"/>
    <w:rPr>
      <w:rFonts w:ascii="Consolas" w:hAnsi="Consolas"/>
      <w:color w:val="383A42"/>
      <w:sz w:val="18"/>
      <w:szCs w:val="24"/>
      <w:shd w:val="clear" w:color="auto" w:fill="FAFAFA"/>
    </w:rPr>
  </w:style>
  <w:style w:type="paragraph" w:customStyle="1" w:styleId="AIHelper2-AIHelperBoxConsole">
    <w:name w:val="AI Helper2 - AIHelperBoxConsole"/>
    <w:basedOn w:val="I2-InfoBoxConsole"/>
    <w:link w:val="AIHelper2-AIHelperBoxConsoleChar"/>
    <w:rsid w:val="00317D6F"/>
  </w:style>
  <w:style w:type="character" w:customStyle="1" w:styleId="AIHelper2-AIHelperBoxConsoleChar">
    <w:name w:val="AI Helper2 - AIHelperBoxConsole Char"/>
    <w:basedOn w:val="P0-ParagraphChar"/>
    <w:link w:val="AIHelper2-AIHelperBoxConsole"/>
    <w:rsid w:val="00317D6F"/>
    <w:rPr>
      <w:rFonts w:ascii="Consolas" w:hAnsi="Consolas"/>
      <w:color w:val="F8F8F2"/>
      <w:sz w:val="18"/>
      <w:szCs w:val="24"/>
      <w:shd w:val="clear" w:color="auto" w:fill="282A36"/>
    </w:rPr>
  </w:style>
  <w:style w:type="paragraph" w:customStyle="1" w:styleId="L1-AlphabetCapital">
    <w:name w:val="L1 - AlphabetCapital"/>
    <w:basedOn w:val="L1-Alphabet"/>
    <w:qFormat/>
    <w:rsid w:val="00317D6F"/>
    <w:pPr>
      <w:numPr>
        <w:numId w:val="17"/>
      </w:numPr>
    </w:pPr>
  </w:style>
  <w:style w:type="paragraph" w:customStyle="1" w:styleId="L2-AlphabetCapital">
    <w:name w:val="L2 - AlphabetCapital"/>
    <w:basedOn w:val="L2-Alphabet"/>
    <w:qFormat/>
    <w:rsid w:val="00317D6F"/>
    <w:pPr>
      <w:numPr>
        <w:numId w:val="18"/>
      </w:numPr>
    </w:pPr>
  </w:style>
  <w:style w:type="paragraph" w:customStyle="1" w:styleId="L3-AlphabetCapital">
    <w:name w:val="L3 - AlphabetCapital"/>
    <w:basedOn w:val="L3-Alphabet"/>
    <w:qFormat/>
    <w:rsid w:val="00317D6F"/>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pJed2aE4X+9PrAreowCMTNqbA==">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57</TotalTime>
  <Pages>27</Pages>
  <Words>13240</Words>
  <Characters>75469</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3</cp:revision>
  <dcterms:created xsi:type="dcterms:W3CDTF">2026-09-29T12:21:00Z</dcterms:created>
  <dcterms:modified xsi:type="dcterms:W3CDTF">2026-09-29T13:18:00Z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MediaServiceImageTags">
    <vt:lpwstr/>
  </property>
</Properties>
</file>