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D6A8" w14:textId="77777777" w:rsidR="007F43A1" w:rsidRPr="00E66C83" w:rsidRDefault="00000000" w:rsidP="0092276A">
      <w:pPr>
        <w:pStyle w:val="HS-ChapterTitle"/>
      </w:pPr>
      <w:r w:rsidRPr="00E66C83">
        <w:rPr>
          <w:rFonts w:eastAsia="Calibri"/>
        </w:rPr>
        <w:t>ASCR-05: Reference Security Architecture</w:t>
      </w:r>
    </w:p>
    <w:p w14:paraId="4405CAA4" w14:textId="77777777" w:rsidR="007F43A1" w:rsidRPr="00E66C83" w:rsidRDefault="00000000">
      <w:pPr>
        <w:pStyle w:val="Subtitle"/>
        <w:spacing w:after="300"/>
        <w:rPr>
          <w:color w:val="auto"/>
        </w:rPr>
      </w:pPr>
      <w:r w:rsidRPr="00E66C83">
        <w:rPr>
          <w:rFonts w:ascii="Calibri" w:eastAsia="Calibri" w:hAnsi="Calibri" w:cs="Calibri"/>
          <w:i/>
          <w:iCs/>
          <w:color w:val="auto"/>
        </w:rPr>
        <w:t>Trust Boundary Documentation, Signal Flow Specification, and Evidence Generation Mechanism Annotation for Agentic AI Systems Integrated with Cyber-Physical Infrastructure</w:t>
      </w:r>
    </w:p>
    <w:p w14:paraId="2D3BC6BA" w14:textId="77777777" w:rsidR="007F43A1" w:rsidRPr="00E66C83" w:rsidRDefault="00000000">
      <w:pPr>
        <w:pStyle w:val="Heading2"/>
        <w:spacing w:before="320" w:after="160"/>
        <w:rPr>
          <w:color w:val="auto"/>
        </w:rPr>
      </w:pPr>
      <w:r w:rsidRPr="00E66C83">
        <w:rPr>
          <w:rFonts w:ascii="Calibri" w:eastAsia="Calibri" w:hAnsi="Calibri" w:cs="Calibri"/>
          <w:color w:val="auto"/>
        </w:rPr>
        <w:t>ASCR-05 definition</w:t>
      </w:r>
    </w:p>
    <w:tbl>
      <w:tblPr>
        <w:tblStyle w:val="a6"/>
        <w:tblW w:w="10079" w:type="dxa"/>
        <w:tblInd w:w="0" w:type="dxa"/>
        <w:tblBorders>
          <w:top w:val="single" w:sz="4" w:space="0" w:color="B9C4D0"/>
          <w:left w:val="single" w:sz="4" w:space="0" w:color="B9C4D0"/>
          <w:bottom w:val="single" w:sz="4" w:space="0" w:color="B9C4D0"/>
          <w:right w:val="single" w:sz="4" w:space="0" w:color="B9C4D0"/>
          <w:insideH w:val="single" w:sz="4" w:space="0" w:color="B9C4D0"/>
          <w:insideV w:val="single" w:sz="4" w:space="0" w:color="B9C4D0"/>
        </w:tblBorders>
        <w:tblLayout w:type="fixed"/>
        <w:tblLook w:val="0000" w:firstRow="0" w:lastRow="0" w:firstColumn="0" w:lastColumn="0" w:noHBand="0" w:noVBand="0"/>
      </w:tblPr>
      <w:tblGrid>
        <w:gridCol w:w="1420"/>
        <w:gridCol w:w="8659"/>
      </w:tblGrid>
      <w:tr w:rsidR="007F43A1" w:rsidRPr="00E66C83" w14:paraId="6D00892B" w14:textId="77777777">
        <w:tc>
          <w:tcPr>
            <w:tcW w:w="1420" w:type="dxa"/>
            <w:shd w:val="clear" w:color="auto" w:fill="EAF0F7"/>
            <w:tcMar>
              <w:top w:w="120" w:type="dxa"/>
              <w:left w:w="140" w:type="dxa"/>
              <w:bottom w:w="120" w:type="dxa"/>
              <w:right w:w="140" w:type="dxa"/>
            </w:tcMar>
          </w:tcPr>
          <w:p w14:paraId="69439C8B" w14:textId="77777777" w:rsidR="007F43A1" w:rsidRPr="00917293" w:rsidRDefault="00000000" w:rsidP="00917293">
            <w:pPr>
              <w:pStyle w:val="T0-Table"/>
              <w:rPr>
                <w:rStyle w:val="CS-Keyword"/>
              </w:rPr>
            </w:pPr>
            <w:r w:rsidRPr="00917293">
              <w:rPr>
                <w:rStyle w:val="CS-Keyword"/>
              </w:rPr>
              <w:t>Artifact Type</w:t>
            </w:r>
          </w:p>
        </w:tc>
        <w:tc>
          <w:tcPr>
            <w:tcW w:w="8659" w:type="dxa"/>
            <w:tcMar>
              <w:top w:w="120" w:type="dxa"/>
              <w:left w:w="140" w:type="dxa"/>
              <w:bottom w:w="120" w:type="dxa"/>
              <w:right w:w="140" w:type="dxa"/>
            </w:tcMar>
          </w:tcPr>
          <w:p w14:paraId="61D96B91" w14:textId="77777777" w:rsidR="007F43A1" w:rsidRPr="00E66C83" w:rsidRDefault="00000000" w:rsidP="00917293">
            <w:pPr>
              <w:pStyle w:val="T0-Table"/>
            </w:pPr>
            <w:r w:rsidRPr="00E66C83">
              <w:rPr>
                <w:rFonts w:ascii="Calibri" w:eastAsia="Calibri" w:hAnsi="Calibri" w:cs="Calibri"/>
                <w:sz w:val="19"/>
                <w:szCs w:val="19"/>
              </w:rPr>
              <w:t>Technical Reference Architecture and System Security Plan Component</w:t>
            </w:r>
          </w:p>
        </w:tc>
      </w:tr>
      <w:tr w:rsidR="007F43A1" w:rsidRPr="00E66C83" w14:paraId="706407A5" w14:textId="77777777">
        <w:tc>
          <w:tcPr>
            <w:tcW w:w="1420" w:type="dxa"/>
            <w:shd w:val="clear" w:color="auto" w:fill="EAF0F7"/>
            <w:tcMar>
              <w:top w:w="120" w:type="dxa"/>
              <w:left w:w="140" w:type="dxa"/>
              <w:bottom w:w="120" w:type="dxa"/>
              <w:right w:w="140" w:type="dxa"/>
            </w:tcMar>
          </w:tcPr>
          <w:p w14:paraId="489B1B40" w14:textId="77777777" w:rsidR="007F43A1" w:rsidRPr="00917293" w:rsidRDefault="00000000" w:rsidP="00917293">
            <w:pPr>
              <w:pStyle w:val="T0-Table"/>
              <w:rPr>
                <w:rStyle w:val="CS-Keyword"/>
              </w:rPr>
            </w:pPr>
            <w:r w:rsidRPr="00917293">
              <w:rPr>
                <w:rStyle w:val="CS-Keyword"/>
              </w:rPr>
              <w:t>Primary Use</w:t>
            </w:r>
          </w:p>
        </w:tc>
        <w:tc>
          <w:tcPr>
            <w:tcW w:w="8659" w:type="dxa"/>
            <w:tcMar>
              <w:top w:w="120" w:type="dxa"/>
              <w:left w:w="140" w:type="dxa"/>
              <w:bottom w:w="120" w:type="dxa"/>
              <w:right w:w="140" w:type="dxa"/>
            </w:tcMar>
          </w:tcPr>
          <w:p w14:paraId="01713DFF" w14:textId="77777777" w:rsidR="007F43A1" w:rsidRPr="00E66C83" w:rsidRDefault="00000000" w:rsidP="00917293">
            <w:pPr>
              <w:pStyle w:val="T0-Table"/>
            </w:pPr>
            <w:r w:rsidRPr="00E66C83">
              <w:rPr>
                <w:rFonts w:ascii="Calibri" w:eastAsia="Calibri" w:hAnsi="Calibri" w:cs="Calibri"/>
                <w:sz w:val="19"/>
                <w:szCs w:val="19"/>
              </w:rPr>
              <w:t>Authoritative architectural specification of the trust boundaries, enforcement points, signal flow, and evidence generation mechanisms in an ASCR Blueprint deployment, providing the structural reference architecture against which all other technical artifacts are aligned</w:t>
            </w:r>
          </w:p>
        </w:tc>
      </w:tr>
      <w:tr w:rsidR="007F43A1" w:rsidRPr="00E66C83" w14:paraId="5D18E019" w14:textId="77777777">
        <w:tc>
          <w:tcPr>
            <w:tcW w:w="1420" w:type="dxa"/>
            <w:shd w:val="clear" w:color="auto" w:fill="EAF0F7"/>
            <w:tcMar>
              <w:top w:w="120" w:type="dxa"/>
              <w:left w:w="140" w:type="dxa"/>
              <w:bottom w:w="120" w:type="dxa"/>
              <w:right w:w="140" w:type="dxa"/>
            </w:tcMar>
          </w:tcPr>
          <w:p w14:paraId="488644FF" w14:textId="77777777" w:rsidR="007F43A1" w:rsidRPr="00917293" w:rsidRDefault="00000000" w:rsidP="00917293">
            <w:pPr>
              <w:pStyle w:val="T0-Table"/>
              <w:rPr>
                <w:rStyle w:val="CS-Keyword"/>
              </w:rPr>
            </w:pPr>
            <w:r w:rsidRPr="00917293">
              <w:rPr>
                <w:rStyle w:val="CS-Keyword"/>
              </w:rPr>
              <w:t>Secondary Use</w:t>
            </w:r>
          </w:p>
        </w:tc>
        <w:tc>
          <w:tcPr>
            <w:tcW w:w="8659" w:type="dxa"/>
            <w:tcMar>
              <w:top w:w="120" w:type="dxa"/>
              <w:left w:w="140" w:type="dxa"/>
              <w:bottom w:w="120" w:type="dxa"/>
              <w:right w:w="140" w:type="dxa"/>
            </w:tcMar>
          </w:tcPr>
          <w:p w14:paraId="6211B9FC" w14:textId="77777777" w:rsidR="007F43A1" w:rsidRPr="00E66C83" w:rsidRDefault="00000000" w:rsidP="00917293">
            <w:pPr>
              <w:pStyle w:val="T0-Table"/>
            </w:pPr>
            <w:r w:rsidRPr="00E66C83">
              <w:rPr>
                <w:rFonts w:ascii="Calibri" w:eastAsia="Calibri" w:hAnsi="Calibri" w:cs="Calibri"/>
                <w:sz w:val="19"/>
                <w:szCs w:val="19"/>
              </w:rPr>
              <w:t>EU AI Act technical-documentation and transparency support, primarily Article 11 and Annex IV, with Article 13 where applicable; RPLD product-liability evidence and economic-operator documentation where applicable; consulting engagement architecture review deliverable; board-level system boundary visualization; regulatory audit architecture submission</w:t>
            </w:r>
          </w:p>
        </w:tc>
      </w:tr>
      <w:tr w:rsidR="007F43A1" w:rsidRPr="00E66C83" w14:paraId="732D04A3" w14:textId="77777777">
        <w:tc>
          <w:tcPr>
            <w:tcW w:w="1420" w:type="dxa"/>
            <w:shd w:val="clear" w:color="auto" w:fill="EAF0F7"/>
            <w:tcMar>
              <w:top w:w="120" w:type="dxa"/>
              <w:left w:w="140" w:type="dxa"/>
              <w:bottom w:w="120" w:type="dxa"/>
              <w:right w:w="140" w:type="dxa"/>
            </w:tcMar>
          </w:tcPr>
          <w:p w14:paraId="1E59F9F9" w14:textId="77777777" w:rsidR="007F43A1" w:rsidRPr="00917293" w:rsidRDefault="00000000" w:rsidP="00917293">
            <w:pPr>
              <w:pStyle w:val="T0-Table"/>
              <w:rPr>
                <w:rStyle w:val="CS-Keyword"/>
              </w:rPr>
            </w:pPr>
            <w:r w:rsidRPr="00917293">
              <w:rPr>
                <w:rStyle w:val="CS-Keyword"/>
              </w:rPr>
              <w:t>Operational Phase</w:t>
            </w:r>
          </w:p>
        </w:tc>
        <w:tc>
          <w:tcPr>
            <w:tcW w:w="8659" w:type="dxa"/>
            <w:tcMar>
              <w:top w:w="120" w:type="dxa"/>
              <w:left w:w="140" w:type="dxa"/>
              <w:bottom w:w="120" w:type="dxa"/>
              <w:right w:w="140" w:type="dxa"/>
            </w:tcMar>
          </w:tcPr>
          <w:p w14:paraId="7CD78598" w14:textId="77777777" w:rsidR="007F43A1" w:rsidRPr="00E66C83" w:rsidRDefault="00000000" w:rsidP="00917293">
            <w:pPr>
              <w:pStyle w:val="T0-Table"/>
            </w:pPr>
            <w:r w:rsidRPr="00E66C83">
              <w:rPr>
                <w:rFonts w:ascii="Calibri" w:eastAsia="Calibri" w:hAnsi="Calibri" w:cs="Calibri"/>
                <w:sz w:val="19"/>
                <w:szCs w:val="19"/>
              </w:rPr>
              <w:t xml:space="preserve">Pre-deployment design · </w:t>
            </w:r>
            <w:proofErr w:type="gramStart"/>
            <w:r w:rsidRPr="00E66C83">
              <w:rPr>
                <w:rFonts w:ascii="Calibri" w:eastAsia="Calibri" w:hAnsi="Calibri" w:cs="Calibri"/>
                <w:sz w:val="19"/>
                <w:szCs w:val="19"/>
              </w:rPr>
              <w:t>Pre-deployment</w:t>
            </w:r>
            <w:proofErr w:type="gramEnd"/>
            <w:r w:rsidRPr="00E66C83">
              <w:rPr>
                <w:rFonts w:ascii="Calibri" w:eastAsia="Calibri" w:hAnsi="Calibri" w:cs="Calibri"/>
                <w:sz w:val="19"/>
                <w:szCs w:val="19"/>
              </w:rPr>
              <w:t xml:space="preserve"> configuration · </w:t>
            </w:r>
            <w:proofErr w:type="gramStart"/>
            <w:r w:rsidRPr="00E66C83">
              <w:rPr>
                <w:rFonts w:ascii="Calibri" w:eastAsia="Calibri" w:hAnsi="Calibri" w:cs="Calibri"/>
                <w:sz w:val="19"/>
                <w:szCs w:val="19"/>
              </w:rPr>
              <w:t>Post-incident</w:t>
            </w:r>
            <w:proofErr w:type="gramEnd"/>
            <w:r w:rsidRPr="00E66C83">
              <w:rPr>
                <w:rFonts w:ascii="Calibri" w:eastAsia="Calibri" w:hAnsi="Calibri" w:cs="Calibri"/>
                <w:sz w:val="19"/>
                <w:szCs w:val="19"/>
              </w:rPr>
              <w:t xml:space="preserve"> forensic reference</w:t>
            </w:r>
          </w:p>
        </w:tc>
      </w:tr>
      <w:tr w:rsidR="007F43A1" w:rsidRPr="00E66C83" w14:paraId="09BDA9F2" w14:textId="77777777">
        <w:tc>
          <w:tcPr>
            <w:tcW w:w="1420" w:type="dxa"/>
            <w:shd w:val="clear" w:color="auto" w:fill="EAF0F7"/>
            <w:tcMar>
              <w:top w:w="120" w:type="dxa"/>
              <w:left w:w="140" w:type="dxa"/>
              <w:bottom w:w="120" w:type="dxa"/>
              <w:right w:w="140" w:type="dxa"/>
            </w:tcMar>
          </w:tcPr>
          <w:p w14:paraId="2117DB20" w14:textId="77777777" w:rsidR="007F43A1" w:rsidRPr="00917293" w:rsidRDefault="00000000" w:rsidP="00917293">
            <w:pPr>
              <w:pStyle w:val="T0-Table"/>
              <w:rPr>
                <w:rStyle w:val="CS-Keyword"/>
              </w:rPr>
            </w:pPr>
            <w:r w:rsidRPr="00917293">
              <w:rPr>
                <w:rStyle w:val="CS-Keyword"/>
              </w:rPr>
              <w:t>User Role</w:t>
            </w:r>
          </w:p>
        </w:tc>
        <w:tc>
          <w:tcPr>
            <w:tcW w:w="8659" w:type="dxa"/>
            <w:tcMar>
              <w:top w:w="120" w:type="dxa"/>
              <w:left w:w="140" w:type="dxa"/>
              <w:bottom w:w="120" w:type="dxa"/>
              <w:right w:w="140" w:type="dxa"/>
            </w:tcMar>
          </w:tcPr>
          <w:p w14:paraId="2B3E227C" w14:textId="77777777" w:rsidR="007F43A1" w:rsidRPr="00E66C83" w:rsidRDefault="00000000" w:rsidP="00917293">
            <w:pPr>
              <w:pStyle w:val="T0-Table"/>
            </w:pPr>
            <w:r w:rsidRPr="00E66C83">
              <w:rPr>
                <w:rFonts w:ascii="Calibri" w:eastAsia="Calibri" w:hAnsi="Calibri" w:cs="Calibri"/>
                <w:sz w:val="19"/>
                <w:szCs w:val="19"/>
              </w:rPr>
              <w:t>OT Engineering Lead, AI/ML Engineering Lead, Security/IR Lead, Regulatory/Compliance Officer, consulting practitioner</w:t>
            </w:r>
          </w:p>
        </w:tc>
      </w:tr>
      <w:tr w:rsidR="007F43A1" w:rsidRPr="00E66C83" w14:paraId="30CF1C4B" w14:textId="77777777">
        <w:tc>
          <w:tcPr>
            <w:tcW w:w="1420" w:type="dxa"/>
            <w:shd w:val="clear" w:color="auto" w:fill="EAF0F7"/>
            <w:tcMar>
              <w:top w:w="120" w:type="dxa"/>
              <w:left w:w="140" w:type="dxa"/>
              <w:bottom w:w="120" w:type="dxa"/>
              <w:right w:w="140" w:type="dxa"/>
            </w:tcMar>
          </w:tcPr>
          <w:p w14:paraId="4C2D538C" w14:textId="77777777" w:rsidR="007F43A1" w:rsidRPr="00917293" w:rsidRDefault="00000000" w:rsidP="00917293">
            <w:pPr>
              <w:pStyle w:val="T0-Table"/>
              <w:rPr>
                <w:rStyle w:val="CS-Keyword"/>
              </w:rPr>
            </w:pPr>
            <w:r w:rsidRPr="00917293">
              <w:rPr>
                <w:rStyle w:val="CS-Keyword"/>
              </w:rPr>
              <w:t>Update Cadence</w:t>
            </w:r>
          </w:p>
        </w:tc>
        <w:tc>
          <w:tcPr>
            <w:tcW w:w="8659" w:type="dxa"/>
            <w:tcMar>
              <w:top w:w="120" w:type="dxa"/>
              <w:left w:w="140" w:type="dxa"/>
              <w:bottom w:w="120" w:type="dxa"/>
              <w:right w:w="140" w:type="dxa"/>
            </w:tcMar>
          </w:tcPr>
          <w:p w14:paraId="01EB0944" w14:textId="77777777" w:rsidR="007F43A1" w:rsidRPr="00E66C83" w:rsidRDefault="00000000" w:rsidP="00917293">
            <w:pPr>
              <w:pStyle w:val="T0-Table"/>
            </w:pPr>
            <w:r w:rsidRPr="00E66C83">
              <w:rPr>
                <w:rFonts w:ascii="Calibri" w:eastAsia="Calibri" w:hAnsi="Calibri" w:cs="Calibri"/>
                <w:sz w:val="19"/>
                <w:szCs w:val="19"/>
              </w:rPr>
              <w:t>Following any material change to the deployment scope in ASCR-03 Section 2; following addition of a new physical system or agent workload; following any ASCR-10 authorized change that alters the architecture; and quarterly architecture-accuracy verification as part of the ASCR-12 scorecard cycle in accordance with Section 6.2.</w:t>
            </w:r>
          </w:p>
        </w:tc>
      </w:tr>
      <w:tr w:rsidR="007F43A1" w:rsidRPr="00E66C83" w14:paraId="077B8EEC" w14:textId="77777777">
        <w:tc>
          <w:tcPr>
            <w:tcW w:w="1420" w:type="dxa"/>
            <w:shd w:val="clear" w:color="auto" w:fill="EAF0F7"/>
            <w:tcMar>
              <w:top w:w="120" w:type="dxa"/>
              <w:left w:w="140" w:type="dxa"/>
              <w:bottom w:w="120" w:type="dxa"/>
              <w:right w:w="140" w:type="dxa"/>
            </w:tcMar>
          </w:tcPr>
          <w:p w14:paraId="147D31A2" w14:textId="77777777" w:rsidR="007F43A1" w:rsidRPr="00917293" w:rsidRDefault="00000000" w:rsidP="00917293">
            <w:pPr>
              <w:pStyle w:val="T0-Table"/>
              <w:rPr>
                <w:rStyle w:val="CS-Keyword"/>
              </w:rPr>
            </w:pPr>
            <w:r w:rsidRPr="00917293">
              <w:rPr>
                <w:rStyle w:val="CS-Keyword"/>
              </w:rPr>
              <w:t>Update Triggers</w:t>
            </w:r>
          </w:p>
        </w:tc>
        <w:tc>
          <w:tcPr>
            <w:tcW w:w="8659" w:type="dxa"/>
            <w:tcMar>
              <w:top w:w="120" w:type="dxa"/>
              <w:left w:w="140" w:type="dxa"/>
              <w:bottom w:w="120" w:type="dxa"/>
              <w:right w:w="140" w:type="dxa"/>
            </w:tcMar>
          </w:tcPr>
          <w:p w14:paraId="21E5C9CD" w14:textId="77777777" w:rsidR="007F43A1" w:rsidRPr="00E66C83" w:rsidRDefault="00000000" w:rsidP="00917293">
            <w:pPr>
              <w:pStyle w:val="T0-Table"/>
            </w:pPr>
            <w:r w:rsidRPr="00E66C83">
              <w:rPr>
                <w:rFonts w:ascii="Calibri" w:eastAsia="Calibri" w:hAnsi="Calibri" w:cs="Calibri"/>
                <w:sz w:val="19"/>
                <w:szCs w:val="19"/>
              </w:rPr>
              <w:t xml:space="preserve">New physical system added to ASCR-03 Section 2 scope · New agent workload or tool registered · Trust boundary change · ASCR-05 documented architecture divergence identified during ASCR-12 review · </w:t>
            </w:r>
            <w:proofErr w:type="gramStart"/>
            <w:r w:rsidRPr="00E66C83">
              <w:rPr>
                <w:rFonts w:ascii="Calibri" w:eastAsia="Calibri" w:hAnsi="Calibri" w:cs="Calibri"/>
                <w:sz w:val="19"/>
                <w:szCs w:val="19"/>
              </w:rPr>
              <w:t>Post-incident</w:t>
            </w:r>
            <w:proofErr w:type="gramEnd"/>
            <w:r w:rsidRPr="00E66C83">
              <w:rPr>
                <w:rFonts w:ascii="Calibri" w:eastAsia="Calibri" w:hAnsi="Calibri" w:cs="Calibri"/>
                <w:sz w:val="19"/>
                <w:szCs w:val="19"/>
              </w:rPr>
              <w:t xml:space="preserve"> </w:t>
            </w:r>
            <w:proofErr w:type="gramStart"/>
            <w:r w:rsidRPr="00E66C83">
              <w:rPr>
                <w:rFonts w:ascii="Calibri" w:eastAsia="Calibri" w:hAnsi="Calibri" w:cs="Calibri"/>
                <w:sz w:val="19"/>
                <w:szCs w:val="19"/>
              </w:rPr>
              <w:t>finding identifying</w:t>
            </w:r>
            <w:proofErr w:type="gramEnd"/>
            <w:r w:rsidRPr="00E66C83">
              <w:rPr>
                <w:rFonts w:ascii="Calibri" w:eastAsia="Calibri" w:hAnsi="Calibri" w:cs="Calibri"/>
                <w:sz w:val="19"/>
                <w:szCs w:val="19"/>
              </w:rPr>
              <w:t xml:space="preserve"> an unmodeled signal path</w:t>
            </w:r>
          </w:p>
        </w:tc>
      </w:tr>
      <w:tr w:rsidR="007F43A1" w:rsidRPr="00E66C83" w14:paraId="0F5A9975" w14:textId="77777777">
        <w:tc>
          <w:tcPr>
            <w:tcW w:w="1420" w:type="dxa"/>
            <w:shd w:val="clear" w:color="auto" w:fill="EAF0F7"/>
            <w:tcMar>
              <w:top w:w="120" w:type="dxa"/>
              <w:left w:w="140" w:type="dxa"/>
              <w:bottom w:w="120" w:type="dxa"/>
              <w:right w:w="140" w:type="dxa"/>
            </w:tcMar>
          </w:tcPr>
          <w:p w14:paraId="2A26B838" w14:textId="77777777" w:rsidR="007F43A1" w:rsidRPr="00917293" w:rsidRDefault="00000000" w:rsidP="00917293">
            <w:pPr>
              <w:pStyle w:val="T0-Table"/>
              <w:rPr>
                <w:rStyle w:val="CS-Keyword"/>
              </w:rPr>
            </w:pPr>
            <w:r w:rsidRPr="00917293">
              <w:rPr>
                <w:rStyle w:val="CS-Keyword"/>
              </w:rPr>
              <w:t>Cross-References</w:t>
            </w:r>
          </w:p>
        </w:tc>
        <w:tc>
          <w:tcPr>
            <w:tcW w:w="8659" w:type="dxa"/>
            <w:tcMar>
              <w:top w:w="120" w:type="dxa"/>
              <w:left w:w="140" w:type="dxa"/>
              <w:bottom w:w="120" w:type="dxa"/>
              <w:right w:w="140" w:type="dxa"/>
            </w:tcMar>
          </w:tcPr>
          <w:p w14:paraId="2A7616EF" w14:textId="77777777" w:rsidR="007F43A1" w:rsidRPr="00E66C83" w:rsidRDefault="00000000" w:rsidP="00917293">
            <w:pPr>
              <w:pStyle w:val="T0-Table"/>
            </w:pPr>
            <w:r w:rsidRPr="00E66C83">
              <w:rPr>
                <w:rFonts w:ascii="Calibri" w:eastAsia="Calibri" w:hAnsi="Calibri" w:cs="Calibri"/>
                <w:sz w:val="19"/>
                <w:szCs w:val="19"/>
              </w:rPr>
              <w:t xml:space="preserve">ASCR-03 Sections 2 and 6 - deployment scope/system boundary and governed Safe-State or safe-interruption definitions · ASCR-04 - MCP gateway enforcement and authoritative gateway invocation-record schema · ASCR-06 - digital twin step-ahead verification positioned in architecture · ASCR-07 - planning-cycle decision records, evidence integrity, and correlation with gateway evidence · ASCR-08 Sections 1.1-1.2 and 2.6 - evidence-based Intent-Locus-Authority classification and Indeterminate handling · ASCR-09 - TVA validation; Section 6.1 limits TVA-01 to schema, integrity, chain-continuity, and ingestion-timing validation · ASCR-10 - controlled validation, recalibration, and authorized change management · ASCR-11 Section 11.2, </w:t>
            </w:r>
            <w:r w:rsidRPr="00E66C83">
              <w:rPr>
                <w:rFonts w:ascii="Calibri" w:eastAsia="Calibri" w:hAnsi="Calibri" w:cs="Calibri"/>
                <w:sz w:val="19"/>
                <w:szCs w:val="19"/>
              </w:rPr>
              <w:lastRenderedPageBreak/>
              <w:t>Schedule A, and Schedule D - vendor/AI-BOM/attestation obligations, divergence thresholds, and identity-continuity SLO values · ASCR-12 - quarterly governance scorecard and Section 6.2 architecture-accuracy check · ASCR-15 - adversary classes, campaign progressions, detection coverage, and hunt points informing local ASCR-05 T-CPS mappings · ASCR-16 - conditional cloud-to-edge / cloud-to-OT transit C7 through OT ingress at EP-18, with downstream EP-19 edge-admission requirements · ASCR-17 - vendor qualification inputs for vendor-admission architecture · ASCR-05-OE01-Reference-Tables.xlsx - required companion workbook</w:t>
            </w:r>
          </w:p>
        </w:tc>
      </w:tr>
      <w:tr w:rsidR="007F43A1" w:rsidRPr="00E66C83" w14:paraId="5551BDC2" w14:textId="77777777">
        <w:tc>
          <w:tcPr>
            <w:tcW w:w="1420" w:type="dxa"/>
            <w:shd w:val="clear" w:color="auto" w:fill="EAF0F7"/>
            <w:tcMar>
              <w:top w:w="120" w:type="dxa"/>
              <w:left w:w="140" w:type="dxa"/>
              <w:bottom w:w="120" w:type="dxa"/>
              <w:right w:w="140" w:type="dxa"/>
            </w:tcMar>
          </w:tcPr>
          <w:p w14:paraId="21BDCDAF" w14:textId="77777777" w:rsidR="007F43A1" w:rsidRPr="00917293" w:rsidRDefault="00000000" w:rsidP="00917293">
            <w:pPr>
              <w:pStyle w:val="T0-Table"/>
              <w:rPr>
                <w:rStyle w:val="CS-Keyword"/>
              </w:rPr>
            </w:pPr>
            <w:r w:rsidRPr="00917293">
              <w:rPr>
                <w:rStyle w:val="CS-Keyword"/>
              </w:rPr>
              <w:lastRenderedPageBreak/>
              <w:t>Regulatory Relevance</w:t>
            </w:r>
          </w:p>
        </w:tc>
        <w:tc>
          <w:tcPr>
            <w:tcW w:w="8659" w:type="dxa"/>
            <w:tcMar>
              <w:top w:w="120" w:type="dxa"/>
              <w:left w:w="140" w:type="dxa"/>
              <w:bottom w:w="120" w:type="dxa"/>
              <w:right w:w="140" w:type="dxa"/>
            </w:tcMar>
          </w:tcPr>
          <w:p w14:paraId="0988848D" w14:textId="77777777" w:rsidR="007F43A1" w:rsidRPr="00E66C83" w:rsidRDefault="00000000" w:rsidP="00917293">
            <w:pPr>
              <w:pStyle w:val="T0-Table"/>
            </w:pPr>
            <w:r w:rsidRPr="00E66C83">
              <w:rPr>
                <w:rFonts w:ascii="Calibri" w:eastAsia="Calibri" w:hAnsi="Calibri" w:cs="Calibri"/>
                <w:sz w:val="19"/>
                <w:szCs w:val="19"/>
              </w:rPr>
              <w:t>Art. 11 and Annex IV; Art. 12; Art. 13 where applicable; Art. 15; Art. 17; Art. 19 · NIS2 Art. 21(2)(b), 21(2)(d), 21(2)(f), and 21(2)(</w:t>
            </w:r>
            <w:proofErr w:type="spellStart"/>
            <w:r w:rsidRPr="00E66C83">
              <w:rPr>
                <w:rFonts w:ascii="Calibri" w:eastAsia="Calibri" w:hAnsi="Calibri" w:cs="Calibri"/>
                <w:sz w:val="19"/>
                <w:szCs w:val="19"/>
              </w:rPr>
              <w:t>i</w:t>
            </w:r>
            <w:proofErr w:type="spellEnd"/>
            <w:r w:rsidRPr="00E66C83">
              <w:rPr>
                <w:rFonts w:ascii="Calibri" w:eastAsia="Calibri" w:hAnsi="Calibri" w:cs="Calibri"/>
                <w:sz w:val="19"/>
                <w:szCs w:val="19"/>
              </w:rPr>
              <w:t>) · RPLD Art. 7, Art. 9, and Art. 10 · IEC 62443-3-2; IEC 62443-3-3; IEC 62443-4-2; IEC 62443-2-1; IEC 62443-4-1 · IEC 61508/61511 · NIST SP 800-161 Rev. 1 Update 1 · NIST SP 800-53 Rev. 5 AC-3, SR-4, SR-11</w:t>
            </w:r>
          </w:p>
        </w:tc>
      </w:tr>
      <w:tr w:rsidR="007F43A1" w:rsidRPr="00E66C83" w14:paraId="5395417E" w14:textId="77777777">
        <w:tc>
          <w:tcPr>
            <w:tcW w:w="1420" w:type="dxa"/>
            <w:shd w:val="clear" w:color="auto" w:fill="EAF0F7"/>
            <w:tcMar>
              <w:top w:w="120" w:type="dxa"/>
              <w:left w:w="140" w:type="dxa"/>
              <w:bottom w:w="120" w:type="dxa"/>
              <w:right w:w="140" w:type="dxa"/>
            </w:tcMar>
          </w:tcPr>
          <w:p w14:paraId="3BE99F95" w14:textId="77777777" w:rsidR="007F43A1" w:rsidRPr="00917293" w:rsidRDefault="00000000" w:rsidP="00917293">
            <w:pPr>
              <w:pStyle w:val="T0-Table"/>
              <w:rPr>
                <w:rStyle w:val="CS-Keyword"/>
              </w:rPr>
            </w:pPr>
            <w:r w:rsidRPr="00917293">
              <w:rPr>
                <w:rStyle w:val="CS-Keyword"/>
              </w:rPr>
              <w:t>Version</w:t>
            </w:r>
          </w:p>
        </w:tc>
        <w:tc>
          <w:tcPr>
            <w:tcW w:w="8659" w:type="dxa"/>
            <w:tcMar>
              <w:top w:w="120" w:type="dxa"/>
              <w:left w:w="140" w:type="dxa"/>
              <w:bottom w:w="120" w:type="dxa"/>
              <w:right w:w="140" w:type="dxa"/>
            </w:tcMar>
          </w:tcPr>
          <w:p w14:paraId="0C9BE462" w14:textId="77777777" w:rsidR="007F43A1" w:rsidRPr="00E66C83" w:rsidRDefault="00000000" w:rsidP="00917293">
            <w:pPr>
              <w:pStyle w:val="T0-Table"/>
            </w:pPr>
            <w:r w:rsidRPr="00E66C83">
              <w:rPr>
                <w:rFonts w:ascii="Calibri" w:eastAsia="Calibri" w:hAnsi="Calibri" w:cs="Calibri"/>
                <w:sz w:val="19"/>
                <w:szCs w:val="19"/>
              </w:rPr>
              <w:t>1.0 — June 2026</w:t>
            </w:r>
          </w:p>
        </w:tc>
      </w:tr>
    </w:tbl>
    <w:p w14:paraId="1FFE59F7" w14:textId="77777777" w:rsidR="007F43A1" w:rsidRPr="00E66C83" w:rsidRDefault="007F43A1"/>
    <w:p w14:paraId="7BCE0E60" w14:textId="77777777" w:rsidR="007F43A1" w:rsidRPr="00E66C83" w:rsidRDefault="00000000" w:rsidP="00917293">
      <w:pPr>
        <w:pStyle w:val="HS-Heading1"/>
        <w:rPr>
          <w:rFonts w:eastAsia="Calibri"/>
          <w:sz w:val="21"/>
          <w:szCs w:val="21"/>
        </w:rPr>
      </w:pPr>
      <w:r w:rsidRPr="00E66C83">
        <w:rPr>
          <w:rFonts w:eastAsia="Calibri"/>
        </w:rPr>
        <w:t>ASCR-05 operational toolkit: supporting specifications and operational extensions</w:t>
      </w:r>
    </w:p>
    <w:p w14:paraId="2B0A7B2D" w14:textId="77777777" w:rsidR="007F43A1" w:rsidRPr="00E66C83" w:rsidRDefault="00000000" w:rsidP="00917293">
      <w:pPr>
        <w:pStyle w:val="HS-Heading2"/>
      </w:pPr>
      <w:bookmarkStart w:id="0" w:name="_heading=h.uggmsfygins3" w:colFirst="0" w:colLast="0"/>
      <w:bookmarkEnd w:id="0"/>
      <w:r w:rsidRPr="00E66C83">
        <w:t>Introduction</w:t>
      </w:r>
    </w:p>
    <w:p w14:paraId="4C244264" w14:textId="77777777" w:rsidR="007F43A1" w:rsidRPr="00E66C83" w:rsidRDefault="00000000" w:rsidP="00917293">
      <w:pPr>
        <w:pStyle w:val="P0-Paragraph"/>
      </w:pPr>
      <w:r w:rsidRPr="00E66C83">
        <w:rPr>
          <w:rFonts w:eastAsia="Calibri"/>
        </w:rPr>
        <w:t>Every technical ASCR artifact specifies, governs, materializes, verifies, records, validates, or otherwise supports one or more security capabilities within the Blueprint according to its defined role. ASCR-05 specifies the reference architecture against which those capabilities are placed and evaluated. It is the reference that answers the foundational question before any other technical question can be answered: what is the system, where are its boundaries, how does signal flow through it, and where does each control enforce?</w:t>
      </w:r>
    </w:p>
    <w:p w14:paraId="2613D663" w14:textId="77777777" w:rsidR="007F43A1" w:rsidRPr="00E66C83" w:rsidRDefault="00000000" w:rsidP="00917293">
      <w:pPr>
        <w:pStyle w:val="P0-Paragraph"/>
      </w:pPr>
      <w:r w:rsidRPr="00E66C83">
        <w:rPr>
          <w:rFonts w:eastAsia="Calibri"/>
        </w:rPr>
        <w:t>Without a documented reference architecture, three failure modes emerge. First, control gaps remain invisible when controls are specified but not mapped to enforcement points. Second, signal paths remain unaccounted for: an adversary technique that exploits a lateral path between layers the organization has not modeled may evade detection instrumentation, because monitoring controls were never positioned against that path. Third, evidence chains become incomplete: a Physical Impact Attribution proceeding that requires reconstruction of the signal path associated with the event under investigation - from Intelligence Layer to Physical Layer - cannot be completed if the architecture documentation does not establish which systems participated in that path.</w:t>
      </w:r>
    </w:p>
    <w:p w14:paraId="6214688F" w14:textId="77777777" w:rsidR="007F43A1" w:rsidRPr="00E66C83" w:rsidRDefault="00000000" w:rsidP="00917293">
      <w:pPr>
        <w:pStyle w:val="P0-Paragraph"/>
      </w:pPr>
      <w:r w:rsidRPr="00E66C83">
        <w:rPr>
          <w:rFonts w:eastAsia="Calibri"/>
        </w:rPr>
        <w:t xml:space="preserve">ASCR-05 first defines zones, </w:t>
      </w:r>
      <w:proofErr w:type="gramStart"/>
      <w:r w:rsidRPr="00E66C83">
        <w:rPr>
          <w:rFonts w:eastAsia="Calibri"/>
        </w:rPr>
        <w:t>conduits</w:t>
      </w:r>
      <w:proofErr w:type="gramEnd"/>
      <w:r w:rsidRPr="00E66C83">
        <w:rPr>
          <w:rFonts w:eastAsia="Calibri"/>
        </w:rPr>
        <w:t>, and enforcement points. These structures are then used to map control placement and evidence generation.</w:t>
      </w:r>
    </w:p>
    <w:p w14:paraId="43FC1290" w14:textId="77777777" w:rsidR="007F43A1" w:rsidRPr="00E66C83" w:rsidRDefault="00000000" w:rsidP="00E66C83">
      <w:pPr>
        <w:pStyle w:val="L1-Bullet"/>
      </w:pPr>
      <w:r w:rsidRPr="00E66C83">
        <w:rPr>
          <w:rFonts w:eastAsia="Calibri"/>
        </w:rPr>
        <w:t xml:space="preserve">Trust boundary </w:t>
      </w:r>
      <w:proofErr w:type="gramStart"/>
      <w:r w:rsidRPr="00E66C83">
        <w:rPr>
          <w:rFonts w:eastAsia="Calibri"/>
        </w:rPr>
        <w:t>documentation:</w:t>
      </w:r>
      <w:proofErr w:type="gramEnd"/>
      <w:r w:rsidRPr="00E66C83">
        <w:rPr>
          <w:rFonts w:eastAsia="Calibri"/>
        </w:rPr>
        <w:t xml:space="preserve"> defines the zones and conduits of the deployment in IEC 62443-3-2 terms, establishes which systems are inside each zone, and specifies the enforcement points at every zone crossing.</w:t>
      </w:r>
    </w:p>
    <w:p w14:paraId="3860E545" w14:textId="77777777" w:rsidR="007F43A1" w:rsidRPr="00E66C83" w:rsidRDefault="00000000" w:rsidP="00E66C83">
      <w:pPr>
        <w:pStyle w:val="L1-Bullet"/>
      </w:pPr>
      <w:r w:rsidRPr="00E66C83">
        <w:rPr>
          <w:rFonts w:eastAsia="Calibri"/>
        </w:rPr>
        <w:t xml:space="preserve">Signal flow </w:t>
      </w:r>
      <w:proofErr w:type="gramStart"/>
      <w:r w:rsidRPr="00E66C83">
        <w:rPr>
          <w:rFonts w:eastAsia="Calibri"/>
        </w:rPr>
        <w:t>specification:</w:t>
      </w:r>
      <w:proofErr w:type="gramEnd"/>
      <w:r w:rsidRPr="00E66C83">
        <w:rPr>
          <w:rFonts w:eastAsia="Calibri"/>
        </w:rPr>
        <w:t xml:space="preserve"> traces every signal path from external input through the Intelligence Layer, Orchestration Layer, and Physical Layer to actuation, and from actuation through physical feedback and monitoring back to Zone 2 verification, calibration, and evidence functions.</w:t>
      </w:r>
    </w:p>
    <w:p w14:paraId="7848626D" w14:textId="77777777" w:rsidR="007F43A1" w:rsidRPr="00E66C83" w:rsidRDefault="00000000" w:rsidP="00E66C83">
      <w:pPr>
        <w:pStyle w:val="L1-Bullet"/>
      </w:pPr>
      <w:r w:rsidRPr="00E66C83">
        <w:rPr>
          <w:rFonts w:eastAsia="Calibri"/>
        </w:rPr>
        <w:t xml:space="preserve">Evidence generation mechanism </w:t>
      </w:r>
      <w:proofErr w:type="gramStart"/>
      <w:r w:rsidRPr="00E66C83">
        <w:rPr>
          <w:rFonts w:eastAsia="Calibri"/>
        </w:rPr>
        <w:t>annotation:</w:t>
      </w:r>
      <w:proofErr w:type="gramEnd"/>
      <w:r w:rsidRPr="00E66C83">
        <w:rPr>
          <w:rFonts w:eastAsia="Calibri"/>
        </w:rPr>
        <w:t xml:space="preserve"> identifies, for every enforcement point and monitoring mechanism in the architecture, which ASCR artifact produces the evidence record at that point and which regulatory provision that record satisfies.</w:t>
      </w:r>
    </w:p>
    <w:p w14:paraId="0BF4F20D" w14:textId="77777777" w:rsidR="007F43A1" w:rsidRPr="00E66C83" w:rsidRDefault="00000000" w:rsidP="00917293">
      <w:pPr>
        <w:pStyle w:val="P0-Paragraph"/>
      </w:pPr>
      <w:r w:rsidRPr="00E66C83">
        <w:rPr>
          <w:rFonts w:eastAsia="Calibri"/>
        </w:rPr>
        <w:lastRenderedPageBreak/>
        <w:t>The architecture described in this artifact is a reference architecture: the reference deployment structure used throughout the ASCR Blueprint. Specific deployments will vary in topology, vendor components, and workload composition. The reference architecture must be instantiated for each deployment, with all required practitioner and deployment-specific fields completed in the companion workbook and all operator-defined components documented, before ASCR-03 Section 2 deployment scope can be considered final.</w:t>
      </w:r>
    </w:p>
    <w:p w14:paraId="4EF69957" w14:textId="77777777" w:rsidR="007F43A1" w:rsidRPr="00E66C83" w:rsidRDefault="00000000" w:rsidP="00917293">
      <w:pPr>
        <w:pStyle w:val="HS-Heading2"/>
      </w:pPr>
      <w:r w:rsidRPr="00E66C83">
        <w:rPr>
          <w:rFonts w:eastAsia="Calibri"/>
        </w:rPr>
        <w:t xml:space="preserve">Before you </w:t>
      </w:r>
      <w:proofErr w:type="gramStart"/>
      <w:r w:rsidRPr="00E66C83">
        <w:rPr>
          <w:rFonts w:eastAsia="Calibri"/>
        </w:rPr>
        <w:t>operationalize</w:t>
      </w:r>
      <w:proofErr w:type="gramEnd"/>
      <w:r w:rsidRPr="00E66C83">
        <w:rPr>
          <w:rFonts w:eastAsia="Calibri"/>
        </w:rPr>
        <w:t xml:space="preserve"> this instrument</w:t>
      </w:r>
    </w:p>
    <w:p w14:paraId="6565766B" w14:textId="77777777" w:rsidR="007F43A1" w:rsidRPr="00E66C83" w:rsidRDefault="00000000" w:rsidP="00917293">
      <w:pPr>
        <w:pStyle w:val="P0-Paragraph"/>
      </w:pPr>
      <w:r w:rsidRPr="00E66C83">
        <w:rPr>
          <w:rFonts w:eastAsia="Calibri"/>
        </w:rPr>
        <w:t>This instrument is a jurisdiction-neutral starting template, current as of the version date above. Regulatory citations, numeric thresholds, and defaults reflect the law and standards in force at time of writing and must be re-verified before reliance - see Chapter 10, “ASCR deployment and jurisdictional scope statement,” for deployment and jurisdictional scope, and the Preface, “A Note on Framework and Regulatory Currency,” for the framework and regulatory-currency baseline.</w:t>
      </w:r>
    </w:p>
    <w:p w14:paraId="007CE295" w14:textId="77777777" w:rsidR="007F43A1" w:rsidRPr="00917293" w:rsidRDefault="00000000" w:rsidP="00917293">
      <w:pPr>
        <w:pStyle w:val="P0-Paragraph"/>
        <w:rPr>
          <w:rStyle w:val="CS-Keyword"/>
        </w:rPr>
      </w:pPr>
      <w:r w:rsidRPr="00917293">
        <w:rPr>
          <w:rStyle w:val="CS-Keyword"/>
        </w:rPr>
        <w:t>Specific to ASCR-05:</w:t>
      </w:r>
    </w:p>
    <w:p w14:paraId="520D1D55" w14:textId="77777777" w:rsidR="007F43A1" w:rsidRPr="00E66C83" w:rsidRDefault="00000000" w:rsidP="00917293">
      <w:pPr>
        <w:pStyle w:val="L1-Bullet"/>
      </w:pPr>
      <w:r w:rsidRPr="00917293">
        <w:rPr>
          <w:rStyle w:val="CS-Keyword"/>
        </w:rPr>
        <w:t>Jurisdiction-bound defaults:</w:t>
      </w:r>
      <w:r w:rsidRPr="00E66C83">
        <w:rPr>
          <w:rFonts w:eastAsia="Calibri"/>
        </w:rPr>
        <w:t xml:space="preserve"> none identified. ASCR-05 does not itself set a retention period, limitation period, or liability cap; those defaults live in other instruments (e.g., ASCR-07, ASCR-11).</w:t>
      </w:r>
    </w:p>
    <w:p w14:paraId="5C2B305A" w14:textId="77777777" w:rsidR="007F43A1" w:rsidRPr="00E66C83" w:rsidRDefault="00000000" w:rsidP="00917293">
      <w:pPr>
        <w:pStyle w:val="L1-Bullet"/>
      </w:pPr>
      <w:r w:rsidRPr="00917293">
        <w:rPr>
          <w:rStyle w:val="CS-Keyword"/>
        </w:rPr>
        <w:t>Enforceability-dependent mechanisms:</w:t>
      </w:r>
      <w:r w:rsidRPr="00E66C83">
        <w:rPr>
          <w:rFonts w:eastAsia="Calibri"/>
        </w:rPr>
        <w:t xml:space="preserve"> where Directive (EU) 2024/2853 applies, RPLD Article 9 governs disclosure of relevant evidence in qualifying proceedings and Article 10 governs rebuttable presumptions. ASCR-05 evidence records are designed to support defensible reconstruction and disclosure; the existence of a missing or incomplete ASCR record does not by itself establish that an Article 10 presumption applies. If RPLD does not apply, confirm the evidentiary treatment under the applicable product-liability framework.</w:t>
      </w:r>
    </w:p>
    <w:p w14:paraId="7FEAD644" w14:textId="77777777" w:rsidR="007F43A1" w:rsidRPr="00E66C83" w:rsidRDefault="00000000" w:rsidP="00917293">
      <w:pPr>
        <w:pStyle w:val="L1-Bullet"/>
      </w:pPr>
      <w:r w:rsidRPr="00917293">
        <w:rPr>
          <w:rStyle w:val="CS-Keyword"/>
        </w:rPr>
        <w:t>Citation currency risk:</w:t>
      </w:r>
      <w:r w:rsidRPr="00E66C83">
        <w:rPr>
          <w:rFonts w:eastAsia="Calibri"/>
        </w:rPr>
        <w:t xml:space="preserve"> the front-matter Regulatory Relevance field, the Regulatory Provision / Authoritative Cross-Reference entries in the companion workbook, and the EU AI Act / NIS2 / IEC 61508-61511 / IEC 62443 citations in Sections 3.2, 4.1, 4.2, 6.2, and 7 must be re-verified against the framework text in force for the deployment jurisdiction and industry at each ASCR-12 review cycle and whenever a cited framework is amended. Regulation (EU) 2026/1744, the Digital Omnibus on AI, amended Regulation (EU) 2024/1689 after this artifact's June 2026 version date and entered into force on 27 July 2026. Before relying on an EU AI Act mapping, confirm the current applicability date, high-risk classification basis, and amended text applicable to the deployment. The ASCR-05 article references are architectural cross-references and do not determine whether a particular deployment is legally in scope. The appropriate reviewer depends on organizational policy and applicable legal/compliance governance.</w:t>
      </w:r>
    </w:p>
    <w:p w14:paraId="6F2AEC48" w14:textId="77777777" w:rsidR="007F43A1" w:rsidRPr="00E66C83" w:rsidRDefault="00000000" w:rsidP="00917293">
      <w:pPr>
        <w:pStyle w:val="L1-Bullet"/>
      </w:pPr>
      <w:r w:rsidRPr="00917293">
        <w:rPr>
          <w:rStyle w:val="CS-Keyword"/>
        </w:rPr>
        <w:t xml:space="preserve">Unresolved or </w:t>
      </w:r>
      <w:proofErr w:type="gramStart"/>
      <w:r w:rsidRPr="00917293">
        <w:rPr>
          <w:rStyle w:val="CS-Keyword"/>
        </w:rPr>
        <w:t>externally-defined</w:t>
      </w:r>
      <w:proofErr w:type="gramEnd"/>
      <w:r w:rsidRPr="00917293">
        <w:rPr>
          <w:rStyle w:val="CS-Keyword"/>
        </w:rPr>
        <w:t xml:space="preserve"> cross-references:</w:t>
      </w:r>
      <w:r w:rsidRPr="00E66C83">
        <w:rPr>
          <w:rFonts w:eastAsia="Calibri"/>
        </w:rPr>
        <w:t xml:space="preserve"> no unresolved in-series ASCR reference omission is identified in the current set. Book-level references remain intentionally external to the artifact set, including Chapter 7 for identity-continuity metric definitions, Chapter 10 for deployment/jurisdictional scope, and the Preface for framework and regulatory currency.</w:t>
      </w:r>
    </w:p>
    <w:p w14:paraId="5CB7707A" w14:textId="77777777" w:rsidR="007F43A1" w:rsidRPr="00E66C83" w:rsidRDefault="00000000" w:rsidP="00917293">
      <w:pPr>
        <w:pStyle w:val="L1-Bullet"/>
      </w:pPr>
      <w:r w:rsidRPr="00917293">
        <w:rPr>
          <w:rStyle w:val="CS-Keyword"/>
        </w:rPr>
        <w:t>Industry/sector calibration:</w:t>
      </w:r>
      <w:r w:rsidRPr="00E66C83">
        <w:rPr>
          <w:rFonts w:eastAsia="Calibri"/>
        </w:rPr>
        <w:t xml:space="preserve"> the Zone 4 sensor examples (joint position, velocity, torque, conveyor load) and the named OT protocols (Modbus, OPC UA, PROFINET) are drawn from a discrete-manufacturing/industrial-robotics operating context. A P99.9 ≤ 50 </w:t>
      </w:r>
      <w:proofErr w:type="spellStart"/>
      <w:r w:rsidRPr="00E66C83">
        <w:rPr>
          <w:rFonts w:eastAsia="Calibri"/>
        </w:rPr>
        <w:t>ms</w:t>
      </w:r>
      <w:proofErr w:type="spellEnd"/>
      <w:r w:rsidRPr="00E66C83">
        <w:rPr>
          <w:rFonts w:eastAsia="Calibri"/>
        </w:rPr>
        <w:t xml:space="preserve"> value is illustrative only and is not a universal ASCR-05 requirement. Each deployment must define DP-03 in companion-workbook sheet “6.1 Deployment Parameters” as the application-specific maximum safe-response latency derived from actuator kinematics, hazard analysis, and the validated enforcement path; the deployment-specific DP-03 value is binding.</w:t>
      </w:r>
    </w:p>
    <w:p w14:paraId="0462EEF0" w14:textId="77777777" w:rsidR="007F43A1" w:rsidRPr="00E66C83" w:rsidRDefault="00000000" w:rsidP="00917293">
      <w:pPr>
        <w:pStyle w:val="HS-Heading2"/>
        <w:rPr>
          <w:rFonts w:eastAsia="Calibri"/>
          <w:bCs/>
          <w:sz w:val="26"/>
          <w:szCs w:val="26"/>
        </w:rPr>
      </w:pPr>
      <w:r w:rsidRPr="00E66C83">
        <w:rPr>
          <w:rFonts w:eastAsia="Calibri"/>
        </w:rPr>
        <w:t>Artifact structure and usage</w:t>
      </w:r>
    </w:p>
    <w:p w14:paraId="62750EE7" w14:textId="77777777" w:rsidR="007F43A1" w:rsidRPr="00E66C83" w:rsidRDefault="00000000" w:rsidP="0005145B">
      <w:pPr>
        <w:pStyle w:val="P0-Paragraph"/>
      </w:pPr>
      <w:r w:rsidRPr="00E66C83">
        <w:rPr>
          <w:rFonts w:eastAsia="Calibri"/>
        </w:rPr>
        <w:t xml:space="preserve">ASCR-05 is supported by one companion workbook that separates the reference-architecture narrative and structural definitions from four structured reference-data tables and four deployment-specific practitioner registers. The main </w:t>
      </w:r>
      <w:r w:rsidRPr="00E66C83">
        <w:rPr>
          <w:rFonts w:eastAsia="Calibri"/>
        </w:rPr>
        <w:lastRenderedPageBreak/>
        <w:t>document is authoritative for ASCR-05 narrative requirements and architectural rules; the companion workbook is authoritative for the structured reference-data tables and deployment-recording fields identified in its Index. Any change that affects shared architectural meaning, including a zone, conduit, enforcement point, control mapping, regulatory mapping, or required practitioner-recording field, must be synchronized across both files through controlled change.</w:t>
      </w:r>
    </w:p>
    <w:p w14:paraId="3FC9AA15" w14:textId="77777777" w:rsidR="007F43A1" w:rsidRPr="00E66C83" w:rsidRDefault="00000000" w:rsidP="00917293">
      <w:pPr>
        <w:pStyle w:val="P0-Paragraph"/>
      </w:pPr>
      <w:r w:rsidRPr="00E66C83">
        <w:rPr>
          <w:rFonts w:eastAsia="Calibri"/>
        </w:rPr>
        <w:t>The companion workbook is intended to reduce document length and improve lookup and tracking usability, while preserving a clear separation between architecture definition and reference data. The following table defines its operational context and primary audience.</w:t>
      </w:r>
    </w:p>
    <w:tbl>
      <w:tblPr>
        <w:tblStyle w:val="a7"/>
        <w:tblW w:w="96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550"/>
        <w:gridCol w:w="6485"/>
        <w:gridCol w:w="1565"/>
      </w:tblGrid>
      <w:tr w:rsidR="007F43A1" w:rsidRPr="00E66C83" w14:paraId="5EA8198F" w14:textId="77777777" w:rsidTr="00E66C83">
        <w:trPr>
          <w:trHeight w:val="785"/>
        </w:trPr>
        <w:tc>
          <w:tcPr>
            <w:tcW w:w="1550" w:type="dxa"/>
            <w:tcMar>
              <w:top w:w="100" w:type="dxa"/>
              <w:left w:w="100" w:type="dxa"/>
              <w:bottom w:w="100" w:type="dxa"/>
              <w:right w:w="100" w:type="dxa"/>
            </w:tcMar>
          </w:tcPr>
          <w:p w14:paraId="368EAC44" w14:textId="77777777" w:rsidR="007F43A1" w:rsidRPr="00917293" w:rsidRDefault="00000000" w:rsidP="00917293">
            <w:pPr>
              <w:pStyle w:val="T0-Table"/>
              <w:rPr>
                <w:rStyle w:val="CS-Keyword"/>
              </w:rPr>
            </w:pPr>
            <w:r w:rsidRPr="00917293">
              <w:rPr>
                <w:rStyle w:val="CS-Keyword"/>
              </w:rPr>
              <w:t>Document</w:t>
            </w:r>
          </w:p>
        </w:tc>
        <w:tc>
          <w:tcPr>
            <w:tcW w:w="6485" w:type="dxa"/>
            <w:tcMar>
              <w:top w:w="100" w:type="dxa"/>
              <w:left w:w="100" w:type="dxa"/>
              <w:bottom w:w="100" w:type="dxa"/>
              <w:right w:w="100" w:type="dxa"/>
            </w:tcMar>
          </w:tcPr>
          <w:p w14:paraId="1A736EDE" w14:textId="77777777" w:rsidR="007F43A1" w:rsidRPr="00917293" w:rsidRDefault="00000000" w:rsidP="00917293">
            <w:pPr>
              <w:pStyle w:val="T0-Table"/>
              <w:rPr>
                <w:rStyle w:val="CS-Keyword"/>
              </w:rPr>
            </w:pPr>
            <w:r w:rsidRPr="00917293">
              <w:rPr>
                <w:rStyle w:val="CS-Keyword"/>
              </w:rPr>
              <w:t>Operational Context</w:t>
            </w:r>
          </w:p>
        </w:tc>
        <w:tc>
          <w:tcPr>
            <w:tcW w:w="1565" w:type="dxa"/>
            <w:tcMar>
              <w:top w:w="100" w:type="dxa"/>
              <w:left w:w="100" w:type="dxa"/>
              <w:bottom w:w="100" w:type="dxa"/>
              <w:right w:w="100" w:type="dxa"/>
            </w:tcMar>
          </w:tcPr>
          <w:p w14:paraId="5970FD09" w14:textId="77777777" w:rsidR="007F43A1" w:rsidRPr="00917293" w:rsidRDefault="00000000" w:rsidP="00917293">
            <w:pPr>
              <w:pStyle w:val="T0-Table"/>
              <w:rPr>
                <w:rStyle w:val="CS-Keyword"/>
              </w:rPr>
            </w:pPr>
            <w:r w:rsidRPr="00917293">
              <w:rPr>
                <w:rStyle w:val="CS-Keyword"/>
              </w:rPr>
              <w:t>Primary Audience</w:t>
            </w:r>
          </w:p>
        </w:tc>
      </w:tr>
      <w:tr w:rsidR="007F43A1" w:rsidRPr="00E66C83" w14:paraId="5B08CAE1" w14:textId="77777777" w:rsidTr="00E66C83">
        <w:trPr>
          <w:trHeight w:val="3282"/>
        </w:trPr>
        <w:tc>
          <w:tcPr>
            <w:tcW w:w="1550" w:type="dxa"/>
            <w:tcMar>
              <w:top w:w="100" w:type="dxa"/>
              <w:left w:w="100" w:type="dxa"/>
              <w:bottom w:w="100" w:type="dxa"/>
              <w:right w:w="100" w:type="dxa"/>
            </w:tcMar>
          </w:tcPr>
          <w:p w14:paraId="71E9743D" w14:textId="77777777" w:rsidR="007F43A1" w:rsidRPr="00E66C83" w:rsidRDefault="00000000" w:rsidP="00917293">
            <w:pPr>
              <w:pStyle w:val="T0-Table"/>
            </w:pPr>
            <w:r w:rsidRPr="00E66C83">
              <w:rPr>
                <w:rFonts w:ascii="Calibri" w:eastAsia="Calibri" w:hAnsi="Calibri" w:cs="Calibri"/>
                <w:sz w:val="19"/>
                <w:szCs w:val="19"/>
              </w:rPr>
              <w:t>ASCR-05-OE01 - Reference Tables Workbook</w:t>
            </w:r>
          </w:p>
        </w:tc>
        <w:tc>
          <w:tcPr>
            <w:tcW w:w="6485" w:type="dxa"/>
            <w:tcMar>
              <w:top w:w="100" w:type="dxa"/>
              <w:left w:w="100" w:type="dxa"/>
              <w:bottom w:w="100" w:type="dxa"/>
              <w:right w:w="100" w:type="dxa"/>
            </w:tcMar>
          </w:tcPr>
          <w:p w14:paraId="241D3A94" w14:textId="77777777" w:rsidR="007F43A1" w:rsidRPr="00E66C83" w:rsidRDefault="00000000" w:rsidP="00917293">
            <w:pPr>
              <w:pStyle w:val="T0-Table"/>
            </w:pPr>
            <w:r w:rsidRPr="00E66C83">
              <w:rPr>
                <w:rFonts w:ascii="Calibri" w:eastAsia="Calibri" w:hAnsi="Calibri" w:cs="Calibri"/>
                <w:sz w:val="19"/>
                <w:szCs w:val="19"/>
              </w:rPr>
              <w:t xml:space="preserve">Use when instantiating the reference architecture for a specific deployment (Section 6.1): document conduit topology and deployment conduit fields in sheet "1.3 Conduits"; mark enforcement-point implementation, risk, and verification state in "3.1 Enforcement Points"; confirm zone security-level assignments in "4.1 Zone SL Assignments"; cross-check local ASCR-05 threat mappings in "5.1 Adversary Techniques"; record systems/workloads in "6.1 System Inventory"; record directional cross-domain trust relationships in "6.1 Federation Relationships"; complete define-before-use values in "6.1 Deployment Parameters"; and record required external/supporting services in "6.1 Supporting Dependencies". Use the workbook during </w:t>
            </w:r>
            <w:proofErr w:type="gramStart"/>
            <w:r w:rsidRPr="00E66C83">
              <w:rPr>
                <w:rFonts w:ascii="Calibri" w:eastAsia="Calibri" w:hAnsi="Calibri" w:cs="Calibri"/>
                <w:sz w:val="19"/>
                <w:szCs w:val="19"/>
              </w:rPr>
              <w:t>the Section</w:t>
            </w:r>
            <w:proofErr w:type="gramEnd"/>
            <w:r w:rsidRPr="00E66C83">
              <w:rPr>
                <w:rFonts w:ascii="Calibri" w:eastAsia="Calibri" w:hAnsi="Calibri" w:cs="Calibri"/>
                <w:sz w:val="19"/>
                <w:szCs w:val="19"/>
              </w:rPr>
              <w:t xml:space="preserve"> 6.2 quarterly architecture-accuracy check.</w:t>
            </w:r>
          </w:p>
        </w:tc>
        <w:tc>
          <w:tcPr>
            <w:tcW w:w="1565" w:type="dxa"/>
            <w:tcMar>
              <w:top w:w="100" w:type="dxa"/>
              <w:left w:w="100" w:type="dxa"/>
              <w:bottom w:w="100" w:type="dxa"/>
              <w:right w:w="100" w:type="dxa"/>
            </w:tcMar>
          </w:tcPr>
          <w:p w14:paraId="105D0155" w14:textId="77777777" w:rsidR="007F43A1" w:rsidRPr="00E66C83" w:rsidRDefault="00000000" w:rsidP="00917293">
            <w:pPr>
              <w:pStyle w:val="T0-Table"/>
            </w:pPr>
            <w:r w:rsidRPr="00E66C83">
              <w:rPr>
                <w:rFonts w:ascii="Calibri" w:eastAsia="Calibri" w:hAnsi="Calibri" w:cs="Calibri"/>
                <w:sz w:val="19"/>
                <w:szCs w:val="19"/>
              </w:rPr>
              <w:t>OT Engineering Lead, Security/IR Lead, AI/ML Engineering Lead</w:t>
            </w:r>
          </w:p>
        </w:tc>
      </w:tr>
    </w:tbl>
    <w:p w14:paraId="7B5C11FF" w14:textId="77777777" w:rsidR="007F43A1" w:rsidRPr="00E66C83" w:rsidRDefault="00000000" w:rsidP="00917293">
      <w:pPr>
        <w:pStyle w:val="P0-Paragraph"/>
      </w:pPr>
      <w:r w:rsidRPr="00E66C83">
        <w:rPr>
          <w:rFonts w:eastAsia="Calibri"/>
        </w:rPr>
        <w:t>Sections 1.3, 3.1, 4.1, 5.1, and 6.1 of ASCR-05 reference the companion workbook for structured reference data and deployment-specific recording surfaces.</w:t>
      </w:r>
    </w:p>
    <w:p w14:paraId="162B51EF" w14:textId="77777777" w:rsidR="007F43A1" w:rsidRPr="00E66C83" w:rsidRDefault="00000000" w:rsidP="00917293">
      <w:pPr>
        <w:pStyle w:val="P0-Paragraph"/>
      </w:pPr>
      <w:r w:rsidRPr="00E66C83">
        <w:rPr>
          <w:rFonts w:eastAsia="Calibri"/>
        </w:rPr>
        <w:t>Any inconsistency between a narrative requirement and a companion-workbook reference table is a controlled discrepancy that must be escalated to the Security/IR Lead and resolved before the affected mapping is relied upon.</w:t>
      </w:r>
    </w:p>
    <w:p w14:paraId="16F2FFB0" w14:textId="77777777" w:rsidR="007F43A1" w:rsidRPr="00E66C83" w:rsidRDefault="00000000" w:rsidP="0005145B">
      <w:pPr>
        <w:pStyle w:val="HS-Heading2"/>
        <w:rPr>
          <w:rFonts w:eastAsia="Calibri"/>
          <w:bCs/>
          <w:i/>
          <w:iCs/>
          <w:sz w:val="22"/>
          <w:szCs w:val="22"/>
        </w:rPr>
      </w:pPr>
      <w:r w:rsidRPr="00E66C83">
        <w:rPr>
          <w:rFonts w:eastAsia="Calibri"/>
        </w:rPr>
        <w:t>Update and maintenance cadence</w:t>
      </w:r>
    </w:p>
    <w:p w14:paraId="0347CFD1" w14:textId="77777777" w:rsidR="007F43A1" w:rsidRPr="00E66C83" w:rsidRDefault="00000000" w:rsidP="00917293">
      <w:pPr>
        <w:pStyle w:val="P0-Paragraph"/>
      </w:pPr>
      <w:r w:rsidRPr="00E66C83">
        <w:rPr>
          <w:rFonts w:eastAsia="Calibri"/>
        </w:rPr>
        <w:t>The companion workbook follows the same update triggers defined in Section 6.2: any change to ASCR-03 Section 2 deployment scope, any ASCR-10 authorized change adding, removing, or modifying a system, conduit, or enforcement point, and any post-incident finding identifying an undocumented signal path.</w:t>
      </w:r>
    </w:p>
    <w:p w14:paraId="74FC4656" w14:textId="77777777" w:rsidR="007F43A1" w:rsidRPr="00E66C83" w:rsidRDefault="00000000" w:rsidP="00917293">
      <w:pPr>
        <w:pStyle w:val="P0-Paragraph"/>
      </w:pPr>
      <w:r w:rsidRPr="00E66C83">
        <w:rPr>
          <w:rFonts w:eastAsia="Calibri"/>
        </w:rPr>
        <w:t>In addition, the workbook requires mandatory review under the following conditions:</w:t>
      </w:r>
    </w:p>
    <w:p w14:paraId="0D23410A" w14:textId="77777777" w:rsidR="007F43A1" w:rsidRPr="00E66C83" w:rsidRDefault="00000000" w:rsidP="00E66C83">
      <w:pPr>
        <w:pStyle w:val="L1-Bullet"/>
      </w:pPr>
      <w:r w:rsidRPr="00E66C83">
        <w:rPr>
          <w:rFonts w:eastAsia="Calibri"/>
        </w:rPr>
        <w:t>Any new conduit, zone, or enforcement point added to the deployment, which must be reflected in the corresponding workbook sheet and cross-referenced by ID (</w:t>
      </w:r>
      <w:proofErr w:type="spellStart"/>
      <w:r w:rsidRPr="00E66C83">
        <w:rPr>
          <w:rFonts w:eastAsia="Calibri"/>
        </w:rPr>
        <w:t>Cx</w:t>
      </w:r>
      <w:proofErr w:type="spellEnd"/>
      <w:r w:rsidRPr="00E66C83">
        <w:rPr>
          <w:rFonts w:eastAsia="Calibri"/>
        </w:rPr>
        <w:t>, Zone n, EP-</w:t>
      </w:r>
      <w:proofErr w:type="spellStart"/>
      <w:r w:rsidRPr="00E66C83">
        <w:rPr>
          <w:rFonts w:eastAsia="Calibri"/>
        </w:rPr>
        <w:t>nn</w:t>
      </w:r>
      <w:proofErr w:type="spellEnd"/>
      <w:r w:rsidRPr="00E66C83">
        <w:rPr>
          <w:rFonts w:eastAsia="Calibri"/>
        </w:rPr>
        <w:t>) consistently with the main document</w:t>
      </w:r>
    </w:p>
    <w:p w14:paraId="1C82E77D" w14:textId="77777777" w:rsidR="007F43A1" w:rsidRPr="00E66C83" w:rsidRDefault="00000000" w:rsidP="00E66C83">
      <w:pPr>
        <w:pStyle w:val="L1-Bullet"/>
      </w:pPr>
      <w:r w:rsidRPr="00E66C83">
        <w:rPr>
          <w:rFonts w:eastAsia="Calibri"/>
        </w:rPr>
        <w:t>Any material change in ASCR-15 adversary-class or campaign analysis that changes architectural threat coverage must be reflected in sheet "5.1 Adversary Techniques," using the local ASCR-05 T-</w:t>
      </w:r>
      <w:proofErr w:type="gramStart"/>
      <w:r w:rsidRPr="00E66C83">
        <w:rPr>
          <w:rFonts w:eastAsia="Calibri"/>
        </w:rPr>
        <w:t>CPS-###</w:t>
      </w:r>
      <w:proofErr w:type="gramEnd"/>
      <w:r w:rsidRPr="00E66C83">
        <w:rPr>
          <w:rFonts w:eastAsia="Calibri"/>
        </w:rPr>
        <w:t xml:space="preserve"> architecture-mapping identifiers as needed.</w:t>
      </w:r>
    </w:p>
    <w:p w14:paraId="64F76B7E" w14:textId="77777777" w:rsidR="007F43A1" w:rsidRPr="00E66C83" w:rsidRDefault="00000000" w:rsidP="00E66C83">
      <w:pPr>
        <w:pStyle w:val="L1-Bullet"/>
      </w:pPr>
      <w:r w:rsidRPr="00E66C83">
        <w:rPr>
          <w:rFonts w:eastAsia="Calibri"/>
        </w:rPr>
        <w:t>Any change to an enforcement point's default failure mode or regulatory provision, which must be updated in sheet "3.1 Enforcement Points" and, if it affects the narrative annotation in Section 3.2, in the main document as well</w:t>
      </w:r>
    </w:p>
    <w:p w14:paraId="02E3ACC0" w14:textId="77777777" w:rsidR="007F43A1" w:rsidRPr="00E66C83" w:rsidRDefault="00000000" w:rsidP="00E66C83">
      <w:pPr>
        <w:pStyle w:val="L1-Bullet"/>
      </w:pPr>
      <w:r w:rsidRPr="00E66C83">
        <w:rPr>
          <w:rFonts w:eastAsia="Calibri"/>
        </w:rPr>
        <w:lastRenderedPageBreak/>
        <w:t>A change to the workbook's reference-table schema or published reference-data content must remain synchronized with the main ASCR-05 template version. Per-deployment updates to Implementation Status, Risk Acceptance Reference, Last Verified, or other deployment-instance tracking fields do not change the ASCR-05 template version and must instead be recorded through the deployment instance's revision/change-control mechanism.</w:t>
      </w:r>
    </w:p>
    <w:p w14:paraId="7366EB68" w14:textId="77777777" w:rsidR="007F43A1" w:rsidRPr="00E66C83" w:rsidRDefault="00000000" w:rsidP="00917293">
      <w:pPr>
        <w:pStyle w:val="P0-Paragraph"/>
      </w:pPr>
      <w:r w:rsidRPr="00E66C83">
        <w:rPr>
          <w:rFonts w:eastAsia="Calibri"/>
        </w:rPr>
        <w:t xml:space="preserve">These conditions apply independently of the main document's ASCR-05 review cycle and must be evaluated as part of any controlled change affecting zone/conduit topology, enforcement point status, or adversary technique coverage. </w:t>
      </w:r>
    </w:p>
    <w:p w14:paraId="4E61F4B0" w14:textId="77777777" w:rsidR="007F43A1" w:rsidRPr="00E66C83" w:rsidRDefault="00000000">
      <w:pPr>
        <w:pStyle w:val="Heading3"/>
        <w:rPr>
          <w:color w:val="auto"/>
        </w:rPr>
      </w:pPr>
      <w:r w:rsidRPr="00E66C83">
        <w:rPr>
          <w:rFonts w:ascii="Calibri" w:eastAsia="Calibri" w:hAnsi="Calibri" w:cs="Calibri"/>
          <w:color w:val="auto"/>
        </w:rPr>
        <w:t>Terms and abbreviations</w:t>
      </w:r>
    </w:p>
    <w:tbl>
      <w:tblPr>
        <w:tblStyle w:val="a8"/>
        <w:tblW w:w="10080" w:type="dxa"/>
        <w:jc w:val="center"/>
        <w:tblInd w:w="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00" w:firstRow="0" w:lastRow="0" w:firstColumn="0" w:lastColumn="0" w:noHBand="0" w:noVBand="1"/>
      </w:tblPr>
      <w:tblGrid>
        <w:gridCol w:w="2625"/>
        <w:gridCol w:w="7455"/>
      </w:tblGrid>
      <w:tr w:rsidR="007F43A1" w:rsidRPr="00E66C83" w14:paraId="526FA025" w14:textId="77777777">
        <w:trPr>
          <w:jc w:val="center"/>
        </w:trPr>
        <w:tc>
          <w:tcPr>
            <w:tcW w:w="2625" w:type="dxa"/>
            <w:shd w:val="clear" w:color="auto" w:fill="E7E6E6"/>
          </w:tcPr>
          <w:p w14:paraId="1EF4D0BE" w14:textId="77777777" w:rsidR="007F43A1" w:rsidRPr="00917293" w:rsidRDefault="00000000" w:rsidP="00917293">
            <w:pPr>
              <w:pStyle w:val="T0-Table"/>
              <w:rPr>
                <w:rStyle w:val="CS-Keyword"/>
              </w:rPr>
            </w:pPr>
            <w:r w:rsidRPr="00917293">
              <w:rPr>
                <w:rStyle w:val="CS-Keyword"/>
              </w:rPr>
              <w:t>Term</w:t>
            </w:r>
          </w:p>
        </w:tc>
        <w:tc>
          <w:tcPr>
            <w:tcW w:w="7455" w:type="dxa"/>
            <w:shd w:val="clear" w:color="auto" w:fill="E7E6E6"/>
          </w:tcPr>
          <w:p w14:paraId="30F8C378" w14:textId="77777777" w:rsidR="007F43A1" w:rsidRPr="00917293" w:rsidRDefault="00000000" w:rsidP="00917293">
            <w:pPr>
              <w:pStyle w:val="T0-Table"/>
              <w:rPr>
                <w:rStyle w:val="CS-Keyword"/>
              </w:rPr>
            </w:pPr>
            <w:r w:rsidRPr="00917293">
              <w:rPr>
                <w:rStyle w:val="CS-Keyword"/>
              </w:rPr>
              <w:t>Meaning</w:t>
            </w:r>
          </w:p>
        </w:tc>
      </w:tr>
      <w:tr w:rsidR="007F43A1" w:rsidRPr="00E66C83" w14:paraId="67ABF083" w14:textId="77777777">
        <w:trPr>
          <w:jc w:val="center"/>
        </w:trPr>
        <w:tc>
          <w:tcPr>
            <w:tcW w:w="2625" w:type="dxa"/>
          </w:tcPr>
          <w:p w14:paraId="1F5F8535" w14:textId="77777777" w:rsidR="007F43A1" w:rsidRPr="00917293" w:rsidRDefault="00000000" w:rsidP="00917293">
            <w:pPr>
              <w:pStyle w:val="T0-Table"/>
              <w:rPr>
                <w:rStyle w:val="CS-Keyword"/>
              </w:rPr>
            </w:pPr>
            <w:r w:rsidRPr="00917293">
              <w:rPr>
                <w:rStyle w:val="CS-Keyword"/>
              </w:rPr>
              <w:t>AI-BOM</w:t>
            </w:r>
          </w:p>
        </w:tc>
        <w:tc>
          <w:tcPr>
            <w:tcW w:w="7455" w:type="dxa"/>
          </w:tcPr>
          <w:p w14:paraId="2E860CF5" w14:textId="77777777" w:rsidR="007F43A1" w:rsidRPr="00E66C83" w:rsidRDefault="00000000" w:rsidP="00917293">
            <w:pPr>
              <w:pStyle w:val="T0-Table"/>
            </w:pPr>
            <w:r w:rsidRPr="00E66C83">
              <w:rPr>
                <w:rFonts w:ascii="Calibri" w:eastAsia="Calibri" w:hAnsi="Calibri" w:cs="Calibri"/>
                <w:sz w:val="19"/>
                <w:szCs w:val="19"/>
              </w:rPr>
              <w:t>AI Bill of Materials; governed component inventory and provenance reference used by vendor-admission and supply-chain controls</w:t>
            </w:r>
          </w:p>
        </w:tc>
      </w:tr>
      <w:tr w:rsidR="007F43A1" w:rsidRPr="00E66C83" w14:paraId="2534F5C2" w14:textId="77777777">
        <w:trPr>
          <w:jc w:val="center"/>
        </w:trPr>
        <w:tc>
          <w:tcPr>
            <w:tcW w:w="2625" w:type="dxa"/>
          </w:tcPr>
          <w:p w14:paraId="4A36C5CE" w14:textId="77777777" w:rsidR="007F43A1" w:rsidRPr="00917293" w:rsidRDefault="00000000" w:rsidP="00917293">
            <w:pPr>
              <w:pStyle w:val="T0-Table"/>
              <w:rPr>
                <w:rStyle w:val="CS-Keyword"/>
              </w:rPr>
            </w:pPr>
            <w:r w:rsidRPr="00917293">
              <w:rPr>
                <w:rStyle w:val="CS-Keyword"/>
              </w:rPr>
              <w:t xml:space="preserve">ASCR-04 </w:t>
            </w:r>
            <w:proofErr w:type="spellStart"/>
            <w:r w:rsidRPr="00917293">
              <w:rPr>
                <w:rStyle w:val="CS-Keyword"/>
              </w:rPr>
              <w:t>verdict_code</w:t>
            </w:r>
            <w:proofErr w:type="spellEnd"/>
          </w:p>
        </w:tc>
        <w:tc>
          <w:tcPr>
            <w:tcW w:w="7455" w:type="dxa"/>
          </w:tcPr>
          <w:p w14:paraId="324F3F1C" w14:textId="77777777" w:rsidR="007F43A1" w:rsidRPr="00E66C83" w:rsidRDefault="00000000" w:rsidP="00917293">
            <w:pPr>
              <w:pStyle w:val="T0-Table"/>
            </w:pPr>
            <w:r w:rsidRPr="00E66C83">
              <w:rPr>
                <w:rFonts w:ascii="Calibri" w:eastAsia="Calibri" w:hAnsi="Calibri" w:cs="Calibri"/>
                <w:sz w:val="19"/>
                <w:szCs w:val="19"/>
              </w:rPr>
              <w:t>Governed gateway result code associated with PASS, REJECT, or HOLD evidence, including codes such as ID_UNVERIFIED, AUTH_SCOPE_VIOLATION, TOOL_NOT_REGISTERED, VERSION_MISMATCH, PARAM_BOUNDS_VIOLATION, and TEE_ATTESTATION_FAIL where applicable</w:t>
            </w:r>
          </w:p>
        </w:tc>
      </w:tr>
      <w:tr w:rsidR="007F43A1" w:rsidRPr="00E66C83" w14:paraId="373D70FC" w14:textId="77777777">
        <w:trPr>
          <w:jc w:val="center"/>
        </w:trPr>
        <w:tc>
          <w:tcPr>
            <w:tcW w:w="2625" w:type="dxa"/>
          </w:tcPr>
          <w:p w14:paraId="7BC4CC1E" w14:textId="77777777" w:rsidR="007F43A1" w:rsidRPr="00917293" w:rsidRDefault="00000000" w:rsidP="00917293">
            <w:pPr>
              <w:pStyle w:val="T0-Table"/>
              <w:rPr>
                <w:rStyle w:val="CS-Keyword"/>
              </w:rPr>
            </w:pPr>
            <w:r w:rsidRPr="00917293">
              <w:rPr>
                <w:rStyle w:val="CS-Keyword"/>
              </w:rPr>
              <w:t>C-SCRM</w:t>
            </w:r>
          </w:p>
        </w:tc>
        <w:tc>
          <w:tcPr>
            <w:tcW w:w="7455" w:type="dxa"/>
          </w:tcPr>
          <w:p w14:paraId="47D7A764" w14:textId="77777777" w:rsidR="007F43A1" w:rsidRPr="00E66C83" w:rsidRDefault="00000000" w:rsidP="00917293">
            <w:pPr>
              <w:pStyle w:val="T0-Table"/>
            </w:pPr>
            <w:r w:rsidRPr="00E66C83">
              <w:rPr>
                <w:rFonts w:ascii="Calibri" w:eastAsia="Calibri" w:hAnsi="Calibri" w:cs="Calibri"/>
                <w:sz w:val="19"/>
                <w:szCs w:val="19"/>
              </w:rPr>
              <w:t>Cybersecurity Supply Chain Risk Management</w:t>
            </w:r>
          </w:p>
        </w:tc>
      </w:tr>
      <w:tr w:rsidR="007F43A1" w:rsidRPr="00E66C83" w14:paraId="2957ADA5" w14:textId="77777777">
        <w:trPr>
          <w:jc w:val="center"/>
        </w:trPr>
        <w:tc>
          <w:tcPr>
            <w:tcW w:w="2625" w:type="dxa"/>
          </w:tcPr>
          <w:p w14:paraId="4B243C3A" w14:textId="77777777" w:rsidR="007F43A1" w:rsidRPr="00917293" w:rsidRDefault="00000000" w:rsidP="00917293">
            <w:pPr>
              <w:pStyle w:val="T0-Table"/>
              <w:rPr>
                <w:rStyle w:val="CS-Keyword"/>
              </w:rPr>
            </w:pPr>
            <w:r w:rsidRPr="00917293">
              <w:rPr>
                <w:rStyle w:val="CS-Keyword"/>
              </w:rPr>
              <w:t>CMDB</w:t>
            </w:r>
          </w:p>
        </w:tc>
        <w:tc>
          <w:tcPr>
            <w:tcW w:w="7455" w:type="dxa"/>
          </w:tcPr>
          <w:p w14:paraId="48275E41" w14:textId="77777777" w:rsidR="007F43A1" w:rsidRPr="00E66C83" w:rsidRDefault="00000000" w:rsidP="00917293">
            <w:pPr>
              <w:pStyle w:val="T0-Table"/>
            </w:pPr>
            <w:r w:rsidRPr="00E66C83">
              <w:rPr>
                <w:rFonts w:ascii="Calibri" w:eastAsia="Calibri" w:hAnsi="Calibri" w:cs="Calibri"/>
                <w:sz w:val="19"/>
                <w:szCs w:val="19"/>
              </w:rPr>
              <w:t>Configuration Management Database or equivalent authoritative enterprise asset/system inventory</w:t>
            </w:r>
          </w:p>
        </w:tc>
      </w:tr>
      <w:tr w:rsidR="007F43A1" w:rsidRPr="00E66C83" w14:paraId="0F9C7416" w14:textId="77777777">
        <w:trPr>
          <w:jc w:val="center"/>
        </w:trPr>
        <w:tc>
          <w:tcPr>
            <w:tcW w:w="2625" w:type="dxa"/>
          </w:tcPr>
          <w:p w14:paraId="23AD581A" w14:textId="77777777" w:rsidR="007F43A1" w:rsidRPr="00917293" w:rsidRDefault="00000000" w:rsidP="00917293">
            <w:pPr>
              <w:pStyle w:val="T0-Table"/>
              <w:rPr>
                <w:rStyle w:val="CS-Keyword"/>
              </w:rPr>
            </w:pPr>
            <w:r w:rsidRPr="00917293">
              <w:rPr>
                <w:rStyle w:val="CS-Keyword"/>
              </w:rPr>
              <w:t>CPS</w:t>
            </w:r>
          </w:p>
        </w:tc>
        <w:tc>
          <w:tcPr>
            <w:tcW w:w="7455" w:type="dxa"/>
          </w:tcPr>
          <w:p w14:paraId="4C19AA06" w14:textId="77777777" w:rsidR="007F43A1" w:rsidRPr="00E66C83" w:rsidRDefault="00000000" w:rsidP="00917293">
            <w:pPr>
              <w:pStyle w:val="T0-Table"/>
            </w:pPr>
            <w:r w:rsidRPr="00E66C83">
              <w:rPr>
                <w:rFonts w:ascii="Calibri" w:eastAsia="Calibri" w:hAnsi="Calibri" w:cs="Calibri"/>
                <w:sz w:val="19"/>
                <w:szCs w:val="19"/>
              </w:rPr>
              <w:t>Cyber-physical system</w:t>
            </w:r>
          </w:p>
        </w:tc>
      </w:tr>
      <w:tr w:rsidR="007F43A1" w:rsidRPr="00E66C83" w14:paraId="6A7C67FC" w14:textId="77777777">
        <w:trPr>
          <w:jc w:val="center"/>
        </w:trPr>
        <w:tc>
          <w:tcPr>
            <w:tcW w:w="2625" w:type="dxa"/>
          </w:tcPr>
          <w:p w14:paraId="001E238C" w14:textId="77777777" w:rsidR="007F43A1" w:rsidRPr="00917293" w:rsidRDefault="00000000" w:rsidP="00917293">
            <w:pPr>
              <w:pStyle w:val="T0-Table"/>
              <w:rPr>
                <w:rStyle w:val="CS-Keyword"/>
              </w:rPr>
            </w:pPr>
            <w:proofErr w:type="spellStart"/>
            <w:r w:rsidRPr="00917293">
              <w:rPr>
                <w:rStyle w:val="CS-Keyword"/>
              </w:rPr>
              <w:t>Cx</w:t>
            </w:r>
            <w:proofErr w:type="spellEnd"/>
          </w:p>
        </w:tc>
        <w:tc>
          <w:tcPr>
            <w:tcW w:w="7455" w:type="dxa"/>
          </w:tcPr>
          <w:p w14:paraId="1F466423" w14:textId="77777777" w:rsidR="007F43A1" w:rsidRPr="00E66C83" w:rsidRDefault="00000000" w:rsidP="00917293">
            <w:pPr>
              <w:pStyle w:val="T0-Table"/>
            </w:pPr>
            <w:r w:rsidRPr="00E66C83">
              <w:rPr>
                <w:rFonts w:ascii="Calibri" w:eastAsia="Calibri" w:hAnsi="Calibri" w:cs="Calibri"/>
                <w:sz w:val="19"/>
                <w:szCs w:val="19"/>
              </w:rPr>
              <w:t>ASCR-05 conduit identifier, for example C1, C5b, or C7</w:t>
            </w:r>
          </w:p>
        </w:tc>
      </w:tr>
      <w:tr w:rsidR="007F43A1" w:rsidRPr="00E66C83" w14:paraId="2C149904" w14:textId="77777777">
        <w:trPr>
          <w:jc w:val="center"/>
        </w:trPr>
        <w:tc>
          <w:tcPr>
            <w:tcW w:w="2625" w:type="dxa"/>
          </w:tcPr>
          <w:p w14:paraId="41AE0B88" w14:textId="77777777" w:rsidR="007F43A1" w:rsidRPr="00917293" w:rsidRDefault="00000000" w:rsidP="00917293">
            <w:pPr>
              <w:pStyle w:val="T0-Table"/>
              <w:rPr>
                <w:rStyle w:val="CS-Keyword"/>
              </w:rPr>
            </w:pPr>
            <w:r w:rsidRPr="00917293">
              <w:rPr>
                <w:rStyle w:val="CS-Keyword"/>
              </w:rPr>
              <w:t>DP-</w:t>
            </w:r>
            <w:proofErr w:type="spellStart"/>
            <w:r w:rsidRPr="00917293">
              <w:rPr>
                <w:rStyle w:val="CS-Keyword"/>
              </w:rPr>
              <w:t>nn</w:t>
            </w:r>
            <w:proofErr w:type="spellEnd"/>
          </w:p>
        </w:tc>
        <w:tc>
          <w:tcPr>
            <w:tcW w:w="7455" w:type="dxa"/>
          </w:tcPr>
          <w:p w14:paraId="4CFD4A34" w14:textId="77777777" w:rsidR="007F43A1" w:rsidRPr="00E66C83" w:rsidRDefault="00000000" w:rsidP="00917293">
            <w:pPr>
              <w:pStyle w:val="T0-Table"/>
            </w:pPr>
            <w:r w:rsidRPr="00E66C83">
              <w:rPr>
                <w:rFonts w:ascii="Calibri" w:eastAsia="Calibri" w:hAnsi="Calibri" w:cs="Calibri"/>
                <w:sz w:val="19"/>
                <w:szCs w:val="19"/>
              </w:rPr>
              <w:t>ASCR-05 deployment-parameter identifier used in the 6.1 Deployment Parameters register</w:t>
            </w:r>
          </w:p>
        </w:tc>
      </w:tr>
      <w:tr w:rsidR="007F43A1" w:rsidRPr="00E66C83" w14:paraId="30B366BB" w14:textId="77777777">
        <w:trPr>
          <w:jc w:val="center"/>
        </w:trPr>
        <w:tc>
          <w:tcPr>
            <w:tcW w:w="2625" w:type="dxa"/>
          </w:tcPr>
          <w:p w14:paraId="2D3EE60D" w14:textId="77777777" w:rsidR="007F43A1" w:rsidRPr="00917293" w:rsidRDefault="00000000" w:rsidP="00917293">
            <w:pPr>
              <w:pStyle w:val="T0-Table"/>
              <w:rPr>
                <w:rStyle w:val="CS-Keyword"/>
              </w:rPr>
            </w:pPr>
            <w:r w:rsidRPr="00917293">
              <w:rPr>
                <w:rStyle w:val="CS-Keyword"/>
              </w:rPr>
              <w:t>EP-</w:t>
            </w:r>
            <w:proofErr w:type="spellStart"/>
            <w:r w:rsidRPr="00917293">
              <w:rPr>
                <w:rStyle w:val="CS-Keyword"/>
              </w:rPr>
              <w:t>nn</w:t>
            </w:r>
            <w:proofErr w:type="spellEnd"/>
          </w:p>
        </w:tc>
        <w:tc>
          <w:tcPr>
            <w:tcW w:w="7455" w:type="dxa"/>
          </w:tcPr>
          <w:p w14:paraId="610C5205" w14:textId="77777777" w:rsidR="007F43A1" w:rsidRPr="00E66C83" w:rsidRDefault="00000000" w:rsidP="00917293">
            <w:pPr>
              <w:pStyle w:val="T0-Table"/>
            </w:pPr>
            <w:r w:rsidRPr="00E66C83">
              <w:rPr>
                <w:rFonts w:ascii="Calibri" w:eastAsia="Calibri" w:hAnsi="Calibri" w:cs="Calibri"/>
                <w:sz w:val="19"/>
                <w:szCs w:val="19"/>
              </w:rPr>
              <w:t>ASCR-05 enforcement-point identifier</w:t>
            </w:r>
          </w:p>
        </w:tc>
      </w:tr>
      <w:tr w:rsidR="007F43A1" w:rsidRPr="00E66C83" w14:paraId="7A3A4657" w14:textId="77777777">
        <w:trPr>
          <w:jc w:val="center"/>
        </w:trPr>
        <w:tc>
          <w:tcPr>
            <w:tcW w:w="2625" w:type="dxa"/>
          </w:tcPr>
          <w:p w14:paraId="6D78D066" w14:textId="77777777" w:rsidR="007F43A1" w:rsidRPr="00917293" w:rsidRDefault="00000000" w:rsidP="00917293">
            <w:pPr>
              <w:pStyle w:val="T0-Table"/>
              <w:rPr>
                <w:rStyle w:val="CS-Keyword"/>
              </w:rPr>
            </w:pPr>
            <w:r w:rsidRPr="00917293">
              <w:rPr>
                <w:rStyle w:val="CS-Keyword"/>
              </w:rPr>
              <w:t>HSM</w:t>
            </w:r>
          </w:p>
        </w:tc>
        <w:tc>
          <w:tcPr>
            <w:tcW w:w="7455" w:type="dxa"/>
          </w:tcPr>
          <w:p w14:paraId="4EDFC94C" w14:textId="77777777" w:rsidR="007F43A1" w:rsidRPr="00E66C83" w:rsidRDefault="00000000" w:rsidP="00917293">
            <w:pPr>
              <w:pStyle w:val="T0-Table"/>
            </w:pPr>
            <w:r w:rsidRPr="00E66C83">
              <w:rPr>
                <w:rFonts w:ascii="Calibri" w:eastAsia="Calibri" w:hAnsi="Calibri" w:cs="Calibri"/>
                <w:sz w:val="19"/>
                <w:szCs w:val="19"/>
              </w:rPr>
              <w:t>Hardware Security Module</w:t>
            </w:r>
          </w:p>
        </w:tc>
      </w:tr>
      <w:tr w:rsidR="007F43A1" w:rsidRPr="00E66C83" w14:paraId="11896A22" w14:textId="77777777">
        <w:trPr>
          <w:jc w:val="center"/>
        </w:trPr>
        <w:tc>
          <w:tcPr>
            <w:tcW w:w="2625" w:type="dxa"/>
          </w:tcPr>
          <w:p w14:paraId="28A980BA" w14:textId="77777777" w:rsidR="007F43A1" w:rsidRPr="00917293" w:rsidRDefault="00000000" w:rsidP="00917293">
            <w:pPr>
              <w:pStyle w:val="T0-Table"/>
              <w:rPr>
                <w:rStyle w:val="CS-Keyword"/>
              </w:rPr>
            </w:pPr>
            <w:r w:rsidRPr="00917293">
              <w:rPr>
                <w:rStyle w:val="CS-Keyword"/>
              </w:rPr>
              <w:t>Intent-Locus-Authority</w:t>
            </w:r>
          </w:p>
        </w:tc>
        <w:tc>
          <w:tcPr>
            <w:tcW w:w="7455" w:type="dxa"/>
          </w:tcPr>
          <w:p w14:paraId="09BC22A3" w14:textId="77777777" w:rsidR="007F43A1" w:rsidRPr="00E66C83" w:rsidRDefault="00000000" w:rsidP="00917293">
            <w:pPr>
              <w:pStyle w:val="T0-Table"/>
            </w:pPr>
            <w:r w:rsidRPr="00E66C83">
              <w:rPr>
                <w:rFonts w:ascii="Calibri" w:eastAsia="Calibri" w:hAnsi="Calibri" w:cs="Calibri"/>
                <w:sz w:val="19"/>
                <w:szCs w:val="19"/>
              </w:rPr>
              <w:t>ASCR-08 incident-classification dimensions used to assign the evidence-supported three-character failure code; use the Indeterminate path when evidence is insufficient</w:t>
            </w:r>
          </w:p>
        </w:tc>
      </w:tr>
      <w:tr w:rsidR="007F43A1" w:rsidRPr="00E66C83" w14:paraId="28B8AC3F" w14:textId="77777777">
        <w:trPr>
          <w:jc w:val="center"/>
        </w:trPr>
        <w:tc>
          <w:tcPr>
            <w:tcW w:w="2625" w:type="dxa"/>
          </w:tcPr>
          <w:p w14:paraId="5FB9668D" w14:textId="77777777" w:rsidR="007F43A1" w:rsidRPr="00917293" w:rsidRDefault="00000000" w:rsidP="00917293">
            <w:pPr>
              <w:pStyle w:val="T0-Table"/>
              <w:rPr>
                <w:rStyle w:val="CS-Keyword"/>
              </w:rPr>
            </w:pPr>
            <w:r w:rsidRPr="00917293">
              <w:rPr>
                <w:rStyle w:val="CS-Keyword"/>
              </w:rPr>
              <w:t>JWT</w:t>
            </w:r>
          </w:p>
        </w:tc>
        <w:tc>
          <w:tcPr>
            <w:tcW w:w="7455" w:type="dxa"/>
          </w:tcPr>
          <w:p w14:paraId="66A02502" w14:textId="77777777" w:rsidR="007F43A1" w:rsidRPr="00E66C83" w:rsidRDefault="00000000" w:rsidP="00917293">
            <w:pPr>
              <w:pStyle w:val="T0-Table"/>
            </w:pPr>
            <w:r w:rsidRPr="00E66C83">
              <w:rPr>
                <w:rFonts w:ascii="Calibri" w:eastAsia="Calibri" w:hAnsi="Calibri" w:cs="Calibri"/>
                <w:sz w:val="19"/>
                <w:szCs w:val="19"/>
              </w:rPr>
              <w:t xml:space="preserve">JSON Web Token. It may be used by an applicable authorization profile, but ASCR-04 </w:t>
            </w:r>
            <w:proofErr w:type="spellStart"/>
            <w:r w:rsidRPr="00E66C83">
              <w:rPr>
                <w:rFonts w:ascii="Calibri" w:eastAsia="Calibri" w:hAnsi="Calibri" w:cs="Calibri"/>
                <w:sz w:val="19"/>
                <w:szCs w:val="19"/>
              </w:rPr>
              <w:t>authorization_context</w:t>
            </w:r>
            <w:proofErr w:type="spellEnd"/>
            <w:r w:rsidRPr="00E66C83">
              <w:rPr>
                <w:rFonts w:ascii="Calibri" w:eastAsia="Calibri" w:hAnsi="Calibri" w:cs="Calibri"/>
                <w:sz w:val="19"/>
                <w:szCs w:val="19"/>
              </w:rPr>
              <w:t xml:space="preserve"> is profile-dependent and is not universally a JWT</w:t>
            </w:r>
          </w:p>
        </w:tc>
      </w:tr>
      <w:tr w:rsidR="007F43A1" w:rsidRPr="00E66C83" w14:paraId="1EFAF166" w14:textId="77777777">
        <w:trPr>
          <w:jc w:val="center"/>
        </w:trPr>
        <w:tc>
          <w:tcPr>
            <w:tcW w:w="2625" w:type="dxa"/>
          </w:tcPr>
          <w:p w14:paraId="4FB4C3A7" w14:textId="77777777" w:rsidR="007F43A1" w:rsidRPr="00917293" w:rsidRDefault="00000000" w:rsidP="00917293">
            <w:pPr>
              <w:pStyle w:val="T0-Table"/>
              <w:rPr>
                <w:rStyle w:val="CS-Keyword"/>
              </w:rPr>
            </w:pPr>
            <w:r w:rsidRPr="00917293">
              <w:rPr>
                <w:rStyle w:val="CS-Keyword"/>
              </w:rPr>
              <w:t>KQP</w:t>
            </w:r>
          </w:p>
        </w:tc>
        <w:tc>
          <w:tcPr>
            <w:tcW w:w="7455" w:type="dxa"/>
          </w:tcPr>
          <w:p w14:paraId="64C2C48B" w14:textId="77777777" w:rsidR="007F43A1" w:rsidRPr="00E66C83" w:rsidRDefault="00000000" w:rsidP="00917293">
            <w:pPr>
              <w:pStyle w:val="T0-Table"/>
            </w:pPr>
            <w:r w:rsidRPr="00E66C83">
              <w:rPr>
                <w:rFonts w:ascii="Calibri" w:eastAsia="Calibri" w:hAnsi="Calibri" w:cs="Calibri"/>
                <w:sz w:val="19"/>
                <w:szCs w:val="19"/>
              </w:rPr>
              <w:t>Kinetic Quarantine Protocol defined by ASCR-04 Section 3.6</w:t>
            </w:r>
          </w:p>
        </w:tc>
      </w:tr>
      <w:tr w:rsidR="007F43A1" w:rsidRPr="00E66C83" w14:paraId="1DB3D00A" w14:textId="77777777">
        <w:trPr>
          <w:jc w:val="center"/>
        </w:trPr>
        <w:tc>
          <w:tcPr>
            <w:tcW w:w="2625" w:type="dxa"/>
          </w:tcPr>
          <w:p w14:paraId="1C0B94EC" w14:textId="77777777" w:rsidR="007F43A1" w:rsidRPr="00917293" w:rsidRDefault="00000000" w:rsidP="00917293">
            <w:pPr>
              <w:pStyle w:val="T0-Table"/>
              <w:rPr>
                <w:rStyle w:val="CS-Keyword"/>
              </w:rPr>
            </w:pPr>
            <w:r w:rsidRPr="00917293">
              <w:rPr>
                <w:rStyle w:val="CS-Keyword"/>
              </w:rPr>
              <w:t>MCP</w:t>
            </w:r>
          </w:p>
        </w:tc>
        <w:tc>
          <w:tcPr>
            <w:tcW w:w="7455" w:type="dxa"/>
          </w:tcPr>
          <w:p w14:paraId="035CE46D" w14:textId="77777777" w:rsidR="007F43A1" w:rsidRPr="00E66C83" w:rsidRDefault="00000000" w:rsidP="00917293">
            <w:pPr>
              <w:pStyle w:val="T0-Table"/>
            </w:pPr>
            <w:r w:rsidRPr="00E66C83">
              <w:rPr>
                <w:rFonts w:ascii="Calibri" w:eastAsia="Calibri" w:hAnsi="Calibri" w:cs="Calibri"/>
                <w:sz w:val="19"/>
                <w:szCs w:val="19"/>
              </w:rPr>
              <w:t>Model Context Protocol</w:t>
            </w:r>
          </w:p>
        </w:tc>
      </w:tr>
      <w:tr w:rsidR="007F43A1" w:rsidRPr="00E66C83" w14:paraId="4C31E1B1" w14:textId="77777777">
        <w:trPr>
          <w:jc w:val="center"/>
        </w:trPr>
        <w:tc>
          <w:tcPr>
            <w:tcW w:w="2625" w:type="dxa"/>
          </w:tcPr>
          <w:p w14:paraId="1640CA14" w14:textId="77777777" w:rsidR="007F43A1" w:rsidRPr="00917293" w:rsidRDefault="00000000" w:rsidP="00917293">
            <w:pPr>
              <w:pStyle w:val="T0-Table"/>
              <w:rPr>
                <w:rStyle w:val="CS-Keyword"/>
              </w:rPr>
            </w:pPr>
            <w:r w:rsidRPr="00917293">
              <w:rPr>
                <w:rStyle w:val="CS-Keyword"/>
              </w:rPr>
              <w:t>OT</w:t>
            </w:r>
          </w:p>
        </w:tc>
        <w:tc>
          <w:tcPr>
            <w:tcW w:w="7455" w:type="dxa"/>
          </w:tcPr>
          <w:p w14:paraId="4E952ED1" w14:textId="77777777" w:rsidR="007F43A1" w:rsidRPr="00E66C83" w:rsidRDefault="00000000" w:rsidP="00917293">
            <w:pPr>
              <w:pStyle w:val="T0-Table"/>
            </w:pPr>
            <w:r w:rsidRPr="00E66C83">
              <w:rPr>
                <w:rFonts w:ascii="Calibri" w:eastAsia="Calibri" w:hAnsi="Calibri" w:cs="Calibri"/>
                <w:sz w:val="19"/>
                <w:szCs w:val="19"/>
              </w:rPr>
              <w:t>Operational technology</w:t>
            </w:r>
          </w:p>
        </w:tc>
      </w:tr>
      <w:tr w:rsidR="007F43A1" w:rsidRPr="00E66C83" w14:paraId="0CC7743B" w14:textId="77777777">
        <w:trPr>
          <w:jc w:val="center"/>
        </w:trPr>
        <w:tc>
          <w:tcPr>
            <w:tcW w:w="2625" w:type="dxa"/>
          </w:tcPr>
          <w:p w14:paraId="30AC0E01" w14:textId="77777777" w:rsidR="007F43A1" w:rsidRPr="00917293" w:rsidRDefault="00000000" w:rsidP="00917293">
            <w:pPr>
              <w:pStyle w:val="T0-Table"/>
              <w:rPr>
                <w:rStyle w:val="CS-Keyword"/>
              </w:rPr>
            </w:pPr>
            <w:r w:rsidRPr="00917293">
              <w:rPr>
                <w:rStyle w:val="CS-Keyword"/>
              </w:rPr>
              <w:t>Physical Impact Action</w:t>
            </w:r>
          </w:p>
        </w:tc>
        <w:tc>
          <w:tcPr>
            <w:tcW w:w="7455" w:type="dxa"/>
          </w:tcPr>
          <w:p w14:paraId="53A219DF" w14:textId="77777777" w:rsidR="007F43A1" w:rsidRPr="00E66C83" w:rsidRDefault="00000000" w:rsidP="00917293">
            <w:pPr>
              <w:pStyle w:val="T0-Table"/>
            </w:pPr>
            <w:r w:rsidRPr="00E66C83">
              <w:rPr>
                <w:rFonts w:ascii="Calibri" w:eastAsia="Calibri" w:hAnsi="Calibri" w:cs="Calibri"/>
                <w:sz w:val="19"/>
                <w:szCs w:val="19"/>
              </w:rPr>
              <w:t>ASCR-05/ASCR-07 operational term for an executed action affecting the physical environment</w:t>
            </w:r>
          </w:p>
        </w:tc>
      </w:tr>
      <w:tr w:rsidR="007F43A1" w:rsidRPr="00E66C83" w14:paraId="23E0943C" w14:textId="77777777">
        <w:trPr>
          <w:jc w:val="center"/>
        </w:trPr>
        <w:tc>
          <w:tcPr>
            <w:tcW w:w="2625" w:type="dxa"/>
          </w:tcPr>
          <w:p w14:paraId="5AC2A458" w14:textId="77777777" w:rsidR="007F43A1" w:rsidRPr="00917293" w:rsidRDefault="00000000" w:rsidP="00917293">
            <w:pPr>
              <w:pStyle w:val="T0-Table"/>
              <w:rPr>
                <w:rStyle w:val="CS-Keyword"/>
              </w:rPr>
            </w:pPr>
            <w:r w:rsidRPr="00917293">
              <w:rPr>
                <w:rStyle w:val="CS-Keyword"/>
              </w:rPr>
              <w:t>Physical Impact Attribution</w:t>
            </w:r>
          </w:p>
        </w:tc>
        <w:tc>
          <w:tcPr>
            <w:tcW w:w="7455" w:type="dxa"/>
          </w:tcPr>
          <w:p w14:paraId="7827A48C" w14:textId="77777777" w:rsidR="007F43A1" w:rsidRPr="00E66C83" w:rsidRDefault="00000000" w:rsidP="00917293">
            <w:pPr>
              <w:pStyle w:val="T0-Table"/>
            </w:pPr>
            <w:r w:rsidRPr="00E66C83">
              <w:rPr>
                <w:rFonts w:ascii="Calibri" w:eastAsia="Calibri" w:hAnsi="Calibri" w:cs="Calibri"/>
                <w:sz w:val="19"/>
                <w:szCs w:val="19"/>
              </w:rPr>
              <w:t>ASCR-defined forensic reconstruction process linking goal, reasoning, invocation, enforcement, translation, and physical outcome evidence</w:t>
            </w:r>
          </w:p>
        </w:tc>
      </w:tr>
      <w:tr w:rsidR="007F43A1" w:rsidRPr="00E66C83" w14:paraId="0716250F" w14:textId="77777777">
        <w:trPr>
          <w:jc w:val="center"/>
        </w:trPr>
        <w:tc>
          <w:tcPr>
            <w:tcW w:w="2625" w:type="dxa"/>
          </w:tcPr>
          <w:p w14:paraId="79A3818F" w14:textId="77777777" w:rsidR="007F43A1" w:rsidRPr="00917293" w:rsidRDefault="00000000" w:rsidP="00917293">
            <w:pPr>
              <w:pStyle w:val="T0-Table"/>
              <w:rPr>
                <w:rStyle w:val="CS-Keyword"/>
              </w:rPr>
            </w:pPr>
            <w:r w:rsidRPr="00917293">
              <w:rPr>
                <w:rStyle w:val="CS-Keyword"/>
              </w:rPr>
              <w:t>RPLD</w:t>
            </w:r>
          </w:p>
        </w:tc>
        <w:tc>
          <w:tcPr>
            <w:tcW w:w="7455" w:type="dxa"/>
          </w:tcPr>
          <w:p w14:paraId="10AE3AE5" w14:textId="77777777" w:rsidR="007F43A1" w:rsidRPr="00E66C83" w:rsidRDefault="00000000" w:rsidP="00917293">
            <w:pPr>
              <w:pStyle w:val="T0-Table"/>
            </w:pPr>
            <w:r w:rsidRPr="00E66C83">
              <w:rPr>
                <w:rFonts w:ascii="Calibri" w:eastAsia="Calibri" w:hAnsi="Calibri" w:cs="Calibri"/>
                <w:sz w:val="19"/>
                <w:szCs w:val="19"/>
              </w:rPr>
              <w:t>Directive (EU) 2024/2853, the Revised Product Liability Directive</w:t>
            </w:r>
          </w:p>
        </w:tc>
      </w:tr>
      <w:tr w:rsidR="007F43A1" w:rsidRPr="00E66C83" w14:paraId="677E6BF2" w14:textId="77777777">
        <w:trPr>
          <w:jc w:val="center"/>
        </w:trPr>
        <w:tc>
          <w:tcPr>
            <w:tcW w:w="2625" w:type="dxa"/>
          </w:tcPr>
          <w:p w14:paraId="779856F6" w14:textId="77777777" w:rsidR="007F43A1" w:rsidRPr="00917293" w:rsidRDefault="00000000" w:rsidP="00917293">
            <w:pPr>
              <w:pStyle w:val="T0-Table"/>
              <w:rPr>
                <w:rStyle w:val="CS-Keyword"/>
              </w:rPr>
            </w:pPr>
            <w:r w:rsidRPr="00917293">
              <w:rPr>
                <w:rStyle w:val="CS-Keyword"/>
              </w:rPr>
              <w:lastRenderedPageBreak/>
              <w:t>Safe-State</w:t>
            </w:r>
          </w:p>
        </w:tc>
        <w:tc>
          <w:tcPr>
            <w:tcW w:w="7455" w:type="dxa"/>
          </w:tcPr>
          <w:p w14:paraId="2A4D0325" w14:textId="77777777" w:rsidR="007F43A1" w:rsidRPr="00E66C83" w:rsidRDefault="00000000" w:rsidP="00917293">
            <w:pPr>
              <w:pStyle w:val="T0-Table"/>
            </w:pPr>
            <w:r w:rsidRPr="00E66C83">
              <w:rPr>
                <w:rFonts w:ascii="Calibri" w:eastAsia="Calibri" w:hAnsi="Calibri" w:cs="Calibri"/>
                <w:sz w:val="19"/>
                <w:szCs w:val="19"/>
              </w:rPr>
              <w:t>ASCR-defined governed safe operating state or transition request; not itself a claim of functional-safety certification</w:t>
            </w:r>
          </w:p>
        </w:tc>
      </w:tr>
      <w:tr w:rsidR="007F43A1" w:rsidRPr="00E66C83" w14:paraId="2D199CE1" w14:textId="77777777">
        <w:trPr>
          <w:jc w:val="center"/>
        </w:trPr>
        <w:tc>
          <w:tcPr>
            <w:tcW w:w="2625" w:type="dxa"/>
          </w:tcPr>
          <w:p w14:paraId="78000405" w14:textId="77777777" w:rsidR="007F43A1" w:rsidRPr="00917293" w:rsidRDefault="00000000" w:rsidP="00917293">
            <w:pPr>
              <w:pStyle w:val="T0-Table"/>
              <w:rPr>
                <w:rStyle w:val="CS-Keyword"/>
              </w:rPr>
            </w:pPr>
            <w:r w:rsidRPr="00917293">
              <w:rPr>
                <w:rStyle w:val="CS-Keyword"/>
              </w:rPr>
              <w:t>SL-C</w:t>
            </w:r>
          </w:p>
        </w:tc>
        <w:tc>
          <w:tcPr>
            <w:tcW w:w="7455" w:type="dxa"/>
          </w:tcPr>
          <w:p w14:paraId="33A71D3E" w14:textId="77777777" w:rsidR="007F43A1" w:rsidRPr="00E66C83" w:rsidRDefault="00000000" w:rsidP="00917293">
            <w:pPr>
              <w:pStyle w:val="T0-Table"/>
            </w:pPr>
            <w:r w:rsidRPr="00E66C83">
              <w:rPr>
                <w:rFonts w:ascii="Calibri" w:eastAsia="Calibri" w:hAnsi="Calibri" w:cs="Calibri"/>
                <w:sz w:val="19"/>
                <w:szCs w:val="19"/>
              </w:rPr>
              <w:t>Capability Security Level</w:t>
            </w:r>
          </w:p>
        </w:tc>
      </w:tr>
      <w:tr w:rsidR="007F43A1" w:rsidRPr="00E66C83" w14:paraId="313059CF" w14:textId="77777777">
        <w:trPr>
          <w:jc w:val="center"/>
        </w:trPr>
        <w:tc>
          <w:tcPr>
            <w:tcW w:w="2625" w:type="dxa"/>
          </w:tcPr>
          <w:p w14:paraId="4AA436E9" w14:textId="77777777" w:rsidR="007F43A1" w:rsidRPr="00917293" w:rsidRDefault="00000000" w:rsidP="00917293">
            <w:pPr>
              <w:pStyle w:val="T0-Table"/>
              <w:rPr>
                <w:rStyle w:val="CS-Keyword"/>
              </w:rPr>
            </w:pPr>
            <w:r w:rsidRPr="00917293">
              <w:rPr>
                <w:rStyle w:val="CS-Keyword"/>
              </w:rPr>
              <w:t>SL-T</w:t>
            </w:r>
          </w:p>
        </w:tc>
        <w:tc>
          <w:tcPr>
            <w:tcW w:w="7455" w:type="dxa"/>
          </w:tcPr>
          <w:p w14:paraId="18DB53F3" w14:textId="77777777" w:rsidR="007F43A1" w:rsidRPr="00E66C83" w:rsidRDefault="00000000" w:rsidP="00917293">
            <w:pPr>
              <w:pStyle w:val="T0-Table"/>
            </w:pPr>
            <w:r w:rsidRPr="00E66C83">
              <w:rPr>
                <w:rFonts w:ascii="Calibri" w:eastAsia="Calibri" w:hAnsi="Calibri" w:cs="Calibri"/>
                <w:sz w:val="19"/>
                <w:szCs w:val="19"/>
              </w:rPr>
              <w:t>Target Security Level</w:t>
            </w:r>
          </w:p>
        </w:tc>
      </w:tr>
      <w:tr w:rsidR="007F43A1" w:rsidRPr="00E66C83" w14:paraId="57AC6459" w14:textId="77777777">
        <w:trPr>
          <w:jc w:val="center"/>
        </w:trPr>
        <w:tc>
          <w:tcPr>
            <w:tcW w:w="2625" w:type="dxa"/>
          </w:tcPr>
          <w:p w14:paraId="26F22D72" w14:textId="77777777" w:rsidR="007F43A1" w:rsidRPr="00917293" w:rsidRDefault="00000000" w:rsidP="00917293">
            <w:pPr>
              <w:pStyle w:val="T0-Table"/>
              <w:rPr>
                <w:rStyle w:val="CS-Keyword"/>
              </w:rPr>
            </w:pPr>
            <w:r w:rsidRPr="00917293">
              <w:rPr>
                <w:rStyle w:val="CS-Keyword"/>
              </w:rPr>
              <w:t>SLO-I2</w:t>
            </w:r>
          </w:p>
        </w:tc>
        <w:tc>
          <w:tcPr>
            <w:tcW w:w="7455" w:type="dxa"/>
          </w:tcPr>
          <w:p w14:paraId="33C640B0" w14:textId="77777777" w:rsidR="007F43A1" w:rsidRPr="00E66C83" w:rsidRDefault="00000000" w:rsidP="00917293">
            <w:pPr>
              <w:pStyle w:val="T0-Table"/>
            </w:pPr>
            <w:r w:rsidRPr="00E66C83">
              <w:rPr>
                <w:rFonts w:ascii="Calibri" w:eastAsia="Calibri" w:hAnsi="Calibri" w:cs="Calibri"/>
                <w:sz w:val="19"/>
                <w:szCs w:val="19"/>
              </w:rPr>
              <w:t>Cross-domain authentication reliability, as defined by the Chapter 7 identity-continuity metric model</w:t>
            </w:r>
          </w:p>
        </w:tc>
      </w:tr>
      <w:tr w:rsidR="007F43A1" w:rsidRPr="00E66C83" w14:paraId="4F727A7F" w14:textId="77777777">
        <w:trPr>
          <w:jc w:val="center"/>
        </w:trPr>
        <w:tc>
          <w:tcPr>
            <w:tcW w:w="2625" w:type="dxa"/>
          </w:tcPr>
          <w:p w14:paraId="0B927DF5" w14:textId="77777777" w:rsidR="007F43A1" w:rsidRPr="00917293" w:rsidRDefault="00000000" w:rsidP="00917293">
            <w:pPr>
              <w:pStyle w:val="T0-Table"/>
              <w:rPr>
                <w:rStyle w:val="CS-Keyword"/>
              </w:rPr>
            </w:pPr>
            <w:r w:rsidRPr="00917293">
              <w:rPr>
                <w:rStyle w:val="CS-Keyword"/>
              </w:rPr>
              <w:t>SLO-I6</w:t>
            </w:r>
          </w:p>
        </w:tc>
        <w:tc>
          <w:tcPr>
            <w:tcW w:w="7455" w:type="dxa"/>
          </w:tcPr>
          <w:p w14:paraId="0DF6C865" w14:textId="77777777" w:rsidR="007F43A1" w:rsidRPr="00E66C83" w:rsidRDefault="00000000" w:rsidP="00917293">
            <w:pPr>
              <w:pStyle w:val="T0-Table"/>
            </w:pPr>
            <w:r w:rsidRPr="00E66C83">
              <w:rPr>
                <w:rFonts w:ascii="Calibri" w:eastAsia="Calibri" w:hAnsi="Calibri" w:cs="Calibri"/>
                <w:sz w:val="19"/>
                <w:szCs w:val="19"/>
              </w:rPr>
              <w:t>Federation trust-bundle currency, as defined by the Chapter 7 identity-continuity metric model</w:t>
            </w:r>
          </w:p>
        </w:tc>
      </w:tr>
      <w:tr w:rsidR="007F43A1" w:rsidRPr="00E66C83" w14:paraId="35D0F081" w14:textId="77777777">
        <w:trPr>
          <w:jc w:val="center"/>
        </w:trPr>
        <w:tc>
          <w:tcPr>
            <w:tcW w:w="2625" w:type="dxa"/>
          </w:tcPr>
          <w:p w14:paraId="75D22FA0" w14:textId="77777777" w:rsidR="007F43A1" w:rsidRPr="00917293" w:rsidRDefault="00000000" w:rsidP="00917293">
            <w:pPr>
              <w:pStyle w:val="T0-Table"/>
              <w:rPr>
                <w:rStyle w:val="CS-Keyword"/>
              </w:rPr>
            </w:pPr>
            <w:r w:rsidRPr="00917293">
              <w:rPr>
                <w:rStyle w:val="CS-Keyword"/>
              </w:rPr>
              <w:t>SOFT_ALERT / HARD_BLOCK</w:t>
            </w:r>
          </w:p>
        </w:tc>
        <w:tc>
          <w:tcPr>
            <w:tcW w:w="7455" w:type="dxa"/>
          </w:tcPr>
          <w:p w14:paraId="1B7A16FF" w14:textId="77777777" w:rsidR="007F43A1" w:rsidRPr="00E66C83" w:rsidRDefault="00000000" w:rsidP="00917293">
            <w:pPr>
              <w:pStyle w:val="T0-Table"/>
            </w:pPr>
            <w:r w:rsidRPr="00E66C83">
              <w:rPr>
                <w:rFonts w:ascii="Calibri" w:eastAsia="Calibri" w:hAnsi="Calibri" w:cs="Calibri"/>
                <w:sz w:val="19"/>
                <w:szCs w:val="19"/>
              </w:rPr>
              <w:t>ASCR-11 Schedule A divergence-response threshold labels; deployment-effective values are governed through the applicable ASCR-11 schedule</w:t>
            </w:r>
          </w:p>
        </w:tc>
      </w:tr>
      <w:tr w:rsidR="007F43A1" w:rsidRPr="00E66C83" w14:paraId="35E282E1" w14:textId="77777777">
        <w:trPr>
          <w:jc w:val="center"/>
        </w:trPr>
        <w:tc>
          <w:tcPr>
            <w:tcW w:w="2625" w:type="dxa"/>
          </w:tcPr>
          <w:p w14:paraId="2BA763B9" w14:textId="77777777" w:rsidR="007F43A1" w:rsidRPr="00917293" w:rsidRDefault="00000000" w:rsidP="00917293">
            <w:pPr>
              <w:pStyle w:val="T0-Table"/>
              <w:rPr>
                <w:rStyle w:val="CS-Keyword"/>
              </w:rPr>
            </w:pPr>
            <w:r w:rsidRPr="00917293">
              <w:rPr>
                <w:rStyle w:val="CS-Keyword"/>
              </w:rPr>
              <w:t>SPIFFE</w:t>
            </w:r>
          </w:p>
        </w:tc>
        <w:tc>
          <w:tcPr>
            <w:tcW w:w="7455" w:type="dxa"/>
          </w:tcPr>
          <w:p w14:paraId="4FA98866" w14:textId="77777777" w:rsidR="007F43A1" w:rsidRPr="00E66C83" w:rsidRDefault="00000000" w:rsidP="00917293">
            <w:pPr>
              <w:pStyle w:val="T0-Table"/>
            </w:pPr>
            <w:r w:rsidRPr="00E66C83">
              <w:rPr>
                <w:rFonts w:ascii="Calibri" w:eastAsia="Calibri" w:hAnsi="Calibri" w:cs="Calibri"/>
                <w:sz w:val="19"/>
                <w:szCs w:val="19"/>
              </w:rPr>
              <w:t>Secure Production Identity Framework for Everyone; the workload-identity framework underlying SPIFFE IDs and SVIDs</w:t>
            </w:r>
          </w:p>
        </w:tc>
      </w:tr>
      <w:tr w:rsidR="007F43A1" w:rsidRPr="00E66C83" w14:paraId="35F65461" w14:textId="77777777">
        <w:trPr>
          <w:jc w:val="center"/>
        </w:trPr>
        <w:tc>
          <w:tcPr>
            <w:tcW w:w="2625" w:type="dxa"/>
          </w:tcPr>
          <w:p w14:paraId="4DC3B2B3" w14:textId="77777777" w:rsidR="007F43A1" w:rsidRPr="00917293" w:rsidRDefault="00000000" w:rsidP="00917293">
            <w:pPr>
              <w:pStyle w:val="T0-Table"/>
              <w:rPr>
                <w:rStyle w:val="CS-Keyword"/>
              </w:rPr>
            </w:pPr>
            <w:r w:rsidRPr="00917293">
              <w:rPr>
                <w:rStyle w:val="CS-Keyword"/>
              </w:rPr>
              <w:t>SPIFFE ID</w:t>
            </w:r>
          </w:p>
        </w:tc>
        <w:tc>
          <w:tcPr>
            <w:tcW w:w="7455" w:type="dxa"/>
          </w:tcPr>
          <w:p w14:paraId="67AB695F" w14:textId="77777777" w:rsidR="007F43A1" w:rsidRPr="00E66C83" w:rsidRDefault="00000000" w:rsidP="00917293">
            <w:pPr>
              <w:pStyle w:val="T0-Table"/>
            </w:pPr>
            <w:r w:rsidRPr="00E66C83">
              <w:rPr>
                <w:rFonts w:ascii="Calibri" w:eastAsia="Calibri" w:hAnsi="Calibri" w:cs="Calibri"/>
                <w:sz w:val="19"/>
                <w:szCs w:val="19"/>
              </w:rPr>
              <w:t>Stable SPIFFE workload identity URI</w:t>
            </w:r>
          </w:p>
        </w:tc>
      </w:tr>
      <w:tr w:rsidR="007F43A1" w:rsidRPr="00E66C83" w14:paraId="33195815" w14:textId="77777777">
        <w:trPr>
          <w:jc w:val="center"/>
        </w:trPr>
        <w:tc>
          <w:tcPr>
            <w:tcW w:w="2625" w:type="dxa"/>
          </w:tcPr>
          <w:p w14:paraId="460FD22C" w14:textId="77777777" w:rsidR="007F43A1" w:rsidRPr="00917293" w:rsidRDefault="00000000" w:rsidP="00917293">
            <w:pPr>
              <w:pStyle w:val="T0-Table"/>
              <w:rPr>
                <w:rStyle w:val="CS-Keyword"/>
              </w:rPr>
            </w:pPr>
            <w:r w:rsidRPr="00917293">
              <w:rPr>
                <w:rStyle w:val="CS-Keyword"/>
              </w:rPr>
              <w:t>SPIRE</w:t>
            </w:r>
          </w:p>
        </w:tc>
        <w:tc>
          <w:tcPr>
            <w:tcW w:w="7455" w:type="dxa"/>
          </w:tcPr>
          <w:p w14:paraId="67FEC004" w14:textId="77777777" w:rsidR="007F43A1" w:rsidRPr="00E66C83" w:rsidRDefault="00000000" w:rsidP="00917293">
            <w:pPr>
              <w:pStyle w:val="T0-Table"/>
            </w:pPr>
            <w:r w:rsidRPr="00E66C83">
              <w:rPr>
                <w:rFonts w:ascii="Calibri" w:eastAsia="Calibri" w:hAnsi="Calibri" w:cs="Calibri"/>
                <w:sz w:val="19"/>
                <w:szCs w:val="19"/>
              </w:rPr>
              <w:t>SPIFFE Runtime Environment, an implementation of SPIFFE workload-identity infrastructure</w:t>
            </w:r>
          </w:p>
        </w:tc>
      </w:tr>
      <w:tr w:rsidR="007F43A1" w:rsidRPr="00E66C83" w14:paraId="23ECA7A0" w14:textId="77777777">
        <w:trPr>
          <w:jc w:val="center"/>
        </w:trPr>
        <w:tc>
          <w:tcPr>
            <w:tcW w:w="2625" w:type="dxa"/>
          </w:tcPr>
          <w:p w14:paraId="6E54F66B" w14:textId="77777777" w:rsidR="007F43A1" w:rsidRPr="00917293" w:rsidRDefault="00000000" w:rsidP="00917293">
            <w:pPr>
              <w:pStyle w:val="T0-Table"/>
              <w:rPr>
                <w:rStyle w:val="CS-Keyword"/>
              </w:rPr>
            </w:pPr>
            <w:r w:rsidRPr="00917293">
              <w:rPr>
                <w:rStyle w:val="CS-Keyword"/>
              </w:rPr>
              <w:t>SVID</w:t>
            </w:r>
          </w:p>
        </w:tc>
        <w:tc>
          <w:tcPr>
            <w:tcW w:w="7455" w:type="dxa"/>
          </w:tcPr>
          <w:p w14:paraId="4C7E4A13" w14:textId="77777777" w:rsidR="007F43A1" w:rsidRPr="00E66C83" w:rsidRDefault="00000000" w:rsidP="00917293">
            <w:pPr>
              <w:pStyle w:val="T0-Table"/>
            </w:pPr>
            <w:r w:rsidRPr="00E66C83">
              <w:rPr>
                <w:rFonts w:ascii="Calibri" w:eastAsia="Calibri" w:hAnsi="Calibri" w:cs="Calibri"/>
                <w:sz w:val="19"/>
                <w:szCs w:val="19"/>
              </w:rPr>
              <w:t>SPIFFE Verifiable Identity Document carrying a SPIFFE ID; credential lifetime is governed by the deployment policy and is commonly short-lived</w:t>
            </w:r>
          </w:p>
        </w:tc>
      </w:tr>
      <w:tr w:rsidR="007F43A1" w:rsidRPr="00E66C83" w14:paraId="1DB98669" w14:textId="77777777">
        <w:trPr>
          <w:jc w:val="center"/>
        </w:trPr>
        <w:tc>
          <w:tcPr>
            <w:tcW w:w="2625" w:type="dxa"/>
          </w:tcPr>
          <w:p w14:paraId="48E76E1B" w14:textId="77777777" w:rsidR="007F43A1" w:rsidRPr="00917293" w:rsidRDefault="00000000" w:rsidP="00917293">
            <w:pPr>
              <w:pStyle w:val="T0-Table"/>
              <w:rPr>
                <w:rStyle w:val="CS-Keyword"/>
              </w:rPr>
            </w:pPr>
            <w:r w:rsidRPr="00917293">
              <w:rPr>
                <w:rStyle w:val="CS-Keyword"/>
              </w:rPr>
              <w:t>TEE</w:t>
            </w:r>
          </w:p>
        </w:tc>
        <w:tc>
          <w:tcPr>
            <w:tcW w:w="7455" w:type="dxa"/>
          </w:tcPr>
          <w:p w14:paraId="7177D87F" w14:textId="77777777" w:rsidR="007F43A1" w:rsidRPr="00E66C83" w:rsidRDefault="00000000" w:rsidP="00917293">
            <w:pPr>
              <w:pStyle w:val="T0-Table"/>
            </w:pPr>
            <w:r w:rsidRPr="00E66C83">
              <w:rPr>
                <w:rFonts w:ascii="Calibri" w:eastAsia="Calibri" w:hAnsi="Calibri" w:cs="Calibri"/>
                <w:sz w:val="19"/>
                <w:szCs w:val="19"/>
              </w:rPr>
              <w:t>Trusted Execution Environment</w:t>
            </w:r>
          </w:p>
        </w:tc>
      </w:tr>
      <w:tr w:rsidR="007F43A1" w:rsidRPr="00E66C83" w14:paraId="3DEB15E0" w14:textId="77777777">
        <w:trPr>
          <w:jc w:val="center"/>
        </w:trPr>
        <w:tc>
          <w:tcPr>
            <w:tcW w:w="2625" w:type="dxa"/>
          </w:tcPr>
          <w:p w14:paraId="716630CD" w14:textId="77777777" w:rsidR="007F43A1" w:rsidRPr="00917293" w:rsidRDefault="00000000" w:rsidP="00917293">
            <w:pPr>
              <w:pStyle w:val="T0-Table"/>
              <w:rPr>
                <w:rStyle w:val="CS-Keyword"/>
              </w:rPr>
            </w:pPr>
            <w:r w:rsidRPr="00917293">
              <w:rPr>
                <w:rStyle w:val="CS-Keyword"/>
              </w:rPr>
              <w:t>TPM</w:t>
            </w:r>
          </w:p>
        </w:tc>
        <w:tc>
          <w:tcPr>
            <w:tcW w:w="7455" w:type="dxa"/>
          </w:tcPr>
          <w:p w14:paraId="786B0D53" w14:textId="77777777" w:rsidR="007F43A1" w:rsidRPr="00E66C83" w:rsidRDefault="00000000" w:rsidP="00917293">
            <w:pPr>
              <w:pStyle w:val="T0-Table"/>
            </w:pPr>
            <w:r w:rsidRPr="00E66C83">
              <w:rPr>
                <w:rFonts w:ascii="Calibri" w:eastAsia="Calibri" w:hAnsi="Calibri" w:cs="Calibri"/>
                <w:sz w:val="19"/>
                <w:szCs w:val="19"/>
              </w:rPr>
              <w:t>Trusted Platform Module</w:t>
            </w:r>
          </w:p>
        </w:tc>
      </w:tr>
      <w:tr w:rsidR="007F43A1" w:rsidRPr="00E66C83" w14:paraId="32DA17B3" w14:textId="77777777">
        <w:trPr>
          <w:jc w:val="center"/>
        </w:trPr>
        <w:tc>
          <w:tcPr>
            <w:tcW w:w="2625" w:type="dxa"/>
          </w:tcPr>
          <w:p w14:paraId="7EB2FB6D" w14:textId="77777777" w:rsidR="007F43A1" w:rsidRPr="00917293" w:rsidRDefault="00000000" w:rsidP="00917293">
            <w:pPr>
              <w:pStyle w:val="T0-Table"/>
              <w:rPr>
                <w:rStyle w:val="CS-Keyword"/>
              </w:rPr>
            </w:pPr>
            <w:r w:rsidRPr="00917293">
              <w:rPr>
                <w:rStyle w:val="CS-Keyword"/>
              </w:rPr>
              <w:t>TVA-01</w:t>
            </w:r>
          </w:p>
        </w:tc>
        <w:tc>
          <w:tcPr>
            <w:tcW w:w="7455" w:type="dxa"/>
          </w:tcPr>
          <w:p w14:paraId="3364889F" w14:textId="77777777" w:rsidR="007F43A1" w:rsidRPr="00E66C83" w:rsidRDefault="00000000" w:rsidP="00917293">
            <w:pPr>
              <w:pStyle w:val="T0-Table"/>
            </w:pPr>
            <w:r w:rsidRPr="00E66C83">
              <w:rPr>
                <w:rFonts w:ascii="Calibri" w:eastAsia="Calibri" w:hAnsi="Calibri" w:cs="Calibri"/>
                <w:sz w:val="19"/>
                <w:szCs w:val="19"/>
              </w:rPr>
              <w:t>ASCR-09 Decision Event Schema Completeness Validation prerequisite gate. It validates applicable ASCR-07 schema, integrity, chain-continuity, and ingestion-timing conditions; it does not prove end-to-end availability of every ASCR-05 EP evidence record</w:t>
            </w:r>
          </w:p>
        </w:tc>
      </w:tr>
      <w:tr w:rsidR="007F43A1" w:rsidRPr="00E66C83" w14:paraId="1796BD5D" w14:textId="77777777">
        <w:trPr>
          <w:jc w:val="center"/>
        </w:trPr>
        <w:tc>
          <w:tcPr>
            <w:tcW w:w="2625" w:type="dxa"/>
          </w:tcPr>
          <w:p w14:paraId="73CC02FE" w14:textId="77777777" w:rsidR="007F43A1" w:rsidRPr="00917293" w:rsidRDefault="00000000" w:rsidP="00917293">
            <w:pPr>
              <w:pStyle w:val="T0-Table"/>
              <w:rPr>
                <w:rStyle w:val="CS-Keyword"/>
              </w:rPr>
            </w:pPr>
            <w:r w:rsidRPr="00917293">
              <w:rPr>
                <w:rStyle w:val="CS-Keyword"/>
              </w:rPr>
              <w:t>WORM</w:t>
            </w:r>
          </w:p>
        </w:tc>
        <w:tc>
          <w:tcPr>
            <w:tcW w:w="7455" w:type="dxa"/>
          </w:tcPr>
          <w:p w14:paraId="749BC9B9" w14:textId="77777777" w:rsidR="007F43A1" w:rsidRPr="00E66C83" w:rsidRDefault="00000000" w:rsidP="00917293">
            <w:pPr>
              <w:pStyle w:val="T0-Table"/>
            </w:pPr>
            <w:r w:rsidRPr="00E66C83">
              <w:rPr>
                <w:rFonts w:ascii="Calibri" w:eastAsia="Calibri" w:hAnsi="Calibri" w:cs="Calibri"/>
                <w:sz w:val="19"/>
                <w:szCs w:val="19"/>
              </w:rPr>
              <w:t>Write once, read many storage</w:t>
            </w:r>
          </w:p>
        </w:tc>
      </w:tr>
    </w:tbl>
    <w:p w14:paraId="3B43A7B8" w14:textId="77777777" w:rsidR="007F43A1" w:rsidRPr="00E66C83" w:rsidRDefault="00000000" w:rsidP="0005145B">
      <w:pPr>
        <w:pStyle w:val="HS-Heading1"/>
      </w:pPr>
      <w:r w:rsidRPr="00E66C83">
        <w:t>Section 1 - Architectural overview</w:t>
      </w:r>
    </w:p>
    <w:p w14:paraId="2D8602B4" w14:textId="77777777" w:rsidR="007F43A1" w:rsidRPr="00E66C83" w:rsidRDefault="00000000" w:rsidP="0005145B">
      <w:pPr>
        <w:pStyle w:val="HS-Heading2"/>
      </w:pPr>
      <w:r w:rsidRPr="00E66C83">
        <w:rPr>
          <w:rFonts w:eastAsia="Calibri"/>
        </w:rPr>
        <w:t>1.1 The CPS Threat Chain as architectural spine</w:t>
      </w:r>
    </w:p>
    <w:p w14:paraId="09228A76" w14:textId="77777777" w:rsidR="007F43A1" w:rsidRPr="00E66C83" w:rsidRDefault="00000000" w:rsidP="00917293">
      <w:pPr>
        <w:pStyle w:val="P0-Paragraph"/>
      </w:pPr>
      <w:r w:rsidRPr="00E66C83">
        <w:rPr>
          <w:rFonts w:eastAsia="Calibri"/>
        </w:rPr>
        <w:t>The ASCR Blueprint's CPS Threat Chain defines the adversary's path from external access to physical consequence. The reference architecture is organized around this path - not because the architecture is designed from an adversary perspective, but because an architecture that cannot map every defensive control against the attack path it is designed to interrupt cannot claim that its controls are complete.</w:t>
      </w:r>
    </w:p>
    <w:p w14:paraId="0D2686E5" w14:textId="77777777" w:rsidR="007F43A1" w:rsidRPr="00E66C83" w:rsidRDefault="00000000" w:rsidP="00917293">
      <w:pPr>
        <w:pStyle w:val="P0-Paragraph"/>
      </w:pPr>
      <w:r w:rsidRPr="00E66C83">
        <w:rPr>
          <w:rFonts w:eastAsia="Calibri"/>
        </w:rPr>
        <w:t xml:space="preserve">The CPS Threat Chain traverses five stages: Initial Access, Intelligence Layer Compromise, Orchestration Layer Subversion, Physical Layer Manipulation, and Kinetic Consequence. In ASCR-05 architectural terms, these stages map to the zones and conduits that define the deployment boundary. Initial Access occurs outside the system boundary and enters the architecture at the External Zone boundary (Zone 1 ingress path). Intelligence Layer Compromise corresponds to the AI Services Zone interior and its </w:t>
      </w:r>
      <w:proofErr w:type="gramStart"/>
      <w:r w:rsidRPr="00E66C83">
        <w:rPr>
          <w:rFonts w:eastAsia="Calibri"/>
        </w:rPr>
        <w:t>conduit</w:t>
      </w:r>
      <w:proofErr w:type="gramEnd"/>
      <w:r w:rsidRPr="00E66C83">
        <w:rPr>
          <w:rFonts w:eastAsia="Calibri"/>
        </w:rPr>
        <w:t xml:space="preserve"> to the Orchestration Zone. Orchestration Layer Subversion corresponds to the Orchestration Zone interior and its conduit to the OT Integration Zone. Physical Layer Manipulation corresponds to the OT Integration Zone and its </w:t>
      </w:r>
      <w:proofErr w:type="gramStart"/>
      <w:r w:rsidRPr="00E66C83">
        <w:rPr>
          <w:rFonts w:eastAsia="Calibri"/>
        </w:rPr>
        <w:t>conduit</w:t>
      </w:r>
      <w:proofErr w:type="gramEnd"/>
      <w:r w:rsidRPr="00E66C83">
        <w:rPr>
          <w:rFonts w:eastAsia="Calibri"/>
        </w:rPr>
        <w:t xml:space="preserve"> to the Physical Systems Zone. Kinetic Consequence is the ASCR-15 adversary-technique term for this final stage (see “Terminology specifics” below for the corresponding operational term). This stage occurs when enforcement fails or is bypassed at the Physical Systems Zone boundary.</w:t>
      </w:r>
    </w:p>
    <w:p w14:paraId="1A11B13F" w14:textId="77777777" w:rsidR="007F43A1" w:rsidRPr="00E66C83" w:rsidRDefault="00000000" w:rsidP="0005145B">
      <w:pPr>
        <w:pStyle w:val="P0-Paragraph"/>
      </w:pPr>
      <w:r w:rsidRPr="00E66C83">
        <w:rPr>
          <w:rFonts w:eastAsia="Calibri"/>
        </w:rPr>
        <w:lastRenderedPageBreak/>
        <w:t>Every zone boundary in the architecture is associated with one or more enforcement points, and every enforcement point maps to one or more controls or monitoring mechanisms, whether ASCR-defined or external, and to the evidence required to reconstruct the enforcement decision. This boundary-to-control-to-evidence mapping supports end-to-end forensic reconstruction of authorized signal paths.</w:t>
      </w:r>
    </w:p>
    <w:tbl>
      <w:tblPr>
        <w:tblStyle w:val="a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F43A1" w:rsidRPr="00E66C83" w14:paraId="34625D17" w14:textId="77777777">
        <w:tc>
          <w:tcPr>
            <w:tcW w:w="10080" w:type="dxa"/>
            <w:tcBorders>
              <w:top w:val="single" w:sz="8" w:space="0" w:color="E0A94A"/>
              <w:left w:val="single" w:sz="8" w:space="0" w:color="E0A94A"/>
              <w:bottom w:val="single" w:sz="8" w:space="0" w:color="E0A94A"/>
              <w:right w:val="single" w:sz="8" w:space="0" w:color="E0A94A"/>
            </w:tcBorders>
            <w:shd w:val="clear" w:color="auto" w:fill="FBF3E3"/>
            <w:tcMar>
              <w:top w:w="160" w:type="dxa"/>
              <w:left w:w="200" w:type="dxa"/>
              <w:bottom w:w="160" w:type="dxa"/>
              <w:right w:w="200" w:type="dxa"/>
            </w:tcMar>
          </w:tcPr>
          <w:p w14:paraId="33C97E40" w14:textId="77777777" w:rsidR="007F43A1" w:rsidRPr="00E66C83" w:rsidRDefault="00000000" w:rsidP="0005145B">
            <w:pPr>
              <w:pStyle w:val="P0-Paragraph"/>
            </w:pPr>
            <w:r w:rsidRPr="00E66C83">
              <w:rPr>
                <w:rFonts w:eastAsia="Calibri"/>
              </w:rPr>
              <w:t>Terminology specifics</w:t>
            </w:r>
          </w:p>
          <w:p w14:paraId="53FD3836" w14:textId="77777777" w:rsidR="007F43A1" w:rsidRPr="00E66C83" w:rsidRDefault="00000000" w:rsidP="0005145B">
            <w:pPr>
              <w:pStyle w:val="P0-Paragraph"/>
            </w:pPr>
            <w:r w:rsidRPr="00E66C83">
              <w:rPr>
                <w:rFonts w:eastAsia="Calibri"/>
              </w:rPr>
              <w:t>“Kinetic Consequence” is the ASCR-15 adversary technique matrix term. “Physical Impact Action” is the ASCR-05 and ASCR-07 operational term for the same event. All cross-references to ASCR-15 in this document use “Kinetic Consequence” when citing the technique matrix stage directly, and “Physical Impact Action” in all other contexts.</w:t>
            </w:r>
          </w:p>
        </w:tc>
      </w:tr>
    </w:tbl>
    <w:p w14:paraId="3C99FD4B" w14:textId="77777777" w:rsidR="007F43A1" w:rsidRPr="00E66C83" w:rsidRDefault="007F43A1"/>
    <w:p w14:paraId="7A96FA16" w14:textId="77777777" w:rsidR="007F43A1" w:rsidRPr="00E66C83" w:rsidRDefault="00000000" w:rsidP="0005145B">
      <w:pPr>
        <w:pStyle w:val="HS-Heading2"/>
      </w:pPr>
      <w:r w:rsidRPr="00E66C83">
        <w:rPr>
          <w:rFonts w:eastAsia="Calibri"/>
        </w:rPr>
        <w:t>1.2 Four-zone architecture</w:t>
      </w:r>
    </w:p>
    <w:p w14:paraId="0D052803" w14:textId="77777777" w:rsidR="007F43A1" w:rsidRPr="00E66C83" w:rsidRDefault="00000000" w:rsidP="0005145B">
      <w:pPr>
        <w:pStyle w:val="P0-Paragraph"/>
      </w:pPr>
      <w:r w:rsidRPr="00E66C83">
        <w:rPr>
          <w:rFonts w:eastAsia="Calibri"/>
        </w:rPr>
        <w:t>The ASCR reference architecture organizes the deployment into four security zones, each with defined membership, target security level (SL-T), and conduit enforcement requirements. The zones correspond to the functional layers of an agentic supply chain deployment and reflect the IEC 62443-3-2 zone and conduit model.</w:t>
      </w:r>
    </w:p>
    <w:p w14:paraId="19DCC50C" w14:textId="77777777" w:rsidR="007F43A1" w:rsidRPr="00E66C83" w:rsidRDefault="00000000" w:rsidP="00917293">
      <w:pPr>
        <w:pStyle w:val="P0-Paragraph"/>
      </w:pPr>
      <w:r w:rsidRPr="00E66C83">
        <w:rPr>
          <w:rFonts w:eastAsia="Calibri"/>
        </w:rPr>
        <w:t>In ASCR-05, a trust boundary is a zone boundary across which identity, integrity, authorization, provenance, or other security assertions are re-evaluated by the applicable enforcement controls. ASCR-05 does not assign a scalar "trust level" to a zone.</w:t>
      </w:r>
    </w:p>
    <w:p w14:paraId="45801B8D" w14:textId="77777777" w:rsidR="007F43A1" w:rsidRPr="00E66C83" w:rsidRDefault="00000000" w:rsidP="0005145B">
      <w:pPr>
        <w:pStyle w:val="P0-Paragraph"/>
      </w:pPr>
      <w:r w:rsidRPr="00917293">
        <w:rPr>
          <w:rStyle w:val="CS-Keyword"/>
        </w:rPr>
        <w:t>Zone 1: AI Services Zone.</w:t>
      </w:r>
      <w:r w:rsidRPr="0005145B">
        <w:rPr>
          <w:rFonts w:eastAsiaTheme="minorHAnsi"/>
        </w:rPr>
        <w:t xml:space="preserve"> This zone contains the AI model infrastructure: the large language model or vision-language model providing Intelligence Layer reasoning, the retrieval corpus and vector store providing contextual grounding, and the system prompt and goal specification infrastructure. The AI Services Zone is the origin of agent intent. It is also the zone most vulnerable to Intelligence Layer Compromise - model poisoning, retrieval corpus manipulation, and system prompt injection all originate as attacks against Zone 1. The zone boundary enforces attestation (ASCR-04 Layer 3) and AI-BOM currency verification (ASCR-11 Section 11.2).</w:t>
      </w:r>
    </w:p>
    <w:p w14:paraId="5EADC0EB" w14:textId="77777777" w:rsidR="007F43A1" w:rsidRPr="00E66C83" w:rsidRDefault="00000000" w:rsidP="0005145B">
      <w:pPr>
        <w:pStyle w:val="P0-Paragraph"/>
      </w:pPr>
      <w:r w:rsidRPr="00917293">
        <w:rPr>
          <w:rStyle w:val="CS-Keyword"/>
        </w:rPr>
        <w:t>Zone 2: Orchestration Zone.</w:t>
      </w:r>
      <w:r w:rsidRPr="0005145B">
        <w:rPr>
          <w:rFonts w:eastAsiaTheme="minorHAnsi"/>
        </w:rPr>
        <w:t xml:space="preserve"> This zone contains the agent orchestration infrastructure: the planning engine, the MCP gateway, the ASCR-07 decision log, and the ASCR-06 digital twin step-ahead verifier. The Orchestration Zone translates agent intent into tool invocations and hosts the primary enforcement controls in the ASCR Blueprint. The MCP gateway sits at the Zone 2 / Zone 3 </w:t>
      </w:r>
      <w:proofErr w:type="gramStart"/>
      <w:r w:rsidRPr="0005145B">
        <w:rPr>
          <w:rFonts w:eastAsiaTheme="minorHAnsi"/>
        </w:rPr>
        <w:t>conduit</w:t>
      </w:r>
      <w:proofErr w:type="gramEnd"/>
      <w:r w:rsidRPr="0005145B">
        <w:rPr>
          <w:rFonts w:eastAsiaTheme="minorHAnsi"/>
        </w:rPr>
        <w:t xml:space="preserve"> and is the primary enforcement point for tool invocation control. The seven-layer enforcement architecture at this conduit is an ASCR-defined construct; references to external standards within each layer (W3C, IEC 62443, SPIFFE) identify the specification governing the underlying mechanism, not a standard that defines or endorses the layer model itself. The ASCR-07 decision log at the Zone 2 interior is the central orchestration-layer evidence aggregation mechanism.</w:t>
      </w:r>
    </w:p>
    <w:p w14:paraId="4ACEE943" w14:textId="77777777" w:rsidR="007F43A1" w:rsidRPr="00E66C83" w:rsidRDefault="00000000" w:rsidP="0005145B">
      <w:pPr>
        <w:pStyle w:val="P0-Paragraph"/>
      </w:pPr>
      <w:r w:rsidRPr="00917293">
        <w:rPr>
          <w:rStyle w:val="CS-Keyword"/>
        </w:rPr>
        <w:t>Zone 3: OT Integration Zone.</w:t>
      </w:r>
      <w:r w:rsidRPr="0005145B">
        <w:rPr>
          <w:rFonts w:eastAsiaTheme="minorHAnsi"/>
        </w:rPr>
        <w:t xml:space="preserve"> This zone contains the operational technology integration layer: OT protocol translators (Modbus, OPC UA, PROFINET), the Safe-State enforcement module, the physical feedback aggregation system, and the ASCR-04 secondary enforcement layer for OT-protocol-level commands. The OT Integration Zone translates the gateway's PASS verdicts into protocol-specific commands that the physical systems in Zone 4 can execute. It is also the zone where Safe-State transitions are actuated - the ASCR-06 circuit-breaker hold activation command traverses the Zone 2 / Zone 3 conduit to reach the Safe-State enforcement module in Zone 3.</w:t>
      </w:r>
    </w:p>
    <w:p w14:paraId="2E40752D" w14:textId="36495AE7" w:rsidR="007F43A1" w:rsidRPr="0005145B" w:rsidRDefault="00000000" w:rsidP="0005145B">
      <w:pPr>
        <w:pStyle w:val="P0-Paragraph"/>
        <w:rPr>
          <w:rStyle w:val="CS-Keyword"/>
          <w:b w:val="0"/>
        </w:rPr>
      </w:pPr>
      <w:r w:rsidRPr="00917293">
        <w:rPr>
          <w:rStyle w:val="CS-Keyword"/>
        </w:rPr>
        <w:t>Zone 4: Physical Systems Zone.</w:t>
      </w:r>
      <w:r w:rsidRPr="0005145B">
        <w:rPr>
          <w:rFonts w:eastAsiaTheme="minorHAnsi"/>
        </w:rPr>
        <w:t xml:space="preserve"> This zone contains the physical infrastructure: the cyber-physical systems defined in ASCR-03 Section 2 deployment scope - industrial robots, autonomous mobile robots, conveyor systems, HVAC, power distribution, and operator-defined systems. Zone 4 is the boundary at which Physical Impact Actions occur. It is also the </w:t>
      </w:r>
      <w:r w:rsidRPr="0005145B">
        <w:rPr>
          <w:rFonts w:eastAsiaTheme="minorHAnsi"/>
        </w:rPr>
        <w:lastRenderedPageBreak/>
        <w:t>zone from which physical feedback signals originate, traversing back through Zone 3 to Zone 2 for ASCR-07 evidence correlation and ASCR-06 model-state update/calibration.</w:t>
      </w:r>
    </w:p>
    <w:tbl>
      <w:tblPr>
        <w:tblStyle w:val="aa"/>
        <w:tblW w:w="10080" w:type="dxa"/>
        <w:jc w:val="center"/>
        <w:tblInd w:w="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00" w:firstRow="0" w:lastRow="0" w:firstColumn="0" w:lastColumn="0" w:noHBand="0" w:noVBand="1"/>
      </w:tblPr>
      <w:tblGrid>
        <w:gridCol w:w="2016"/>
        <w:gridCol w:w="2016"/>
        <w:gridCol w:w="2016"/>
        <w:gridCol w:w="2016"/>
        <w:gridCol w:w="2016"/>
      </w:tblGrid>
      <w:tr w:rsidR="007F43A1" w:rsidRPr="00E66C83" w14:paraId="644932B4" w14:textId="77777777">
        <w:trPr>
          <w:jc w:val="center"/>
        </w:trPr>
        <w:tc>
          <w:tcPr>
            <w:tcW w:w="2016" w:type="dxa"/>
            <w:shd w:val="clear" w:color="auto" w:fill="FFFFFF"/>
            <w:vAlign w:val="center"/>
          </w:tcPr>
          <w:p w14:paraId="79DC12E4" w14:textId="77777777" w:rsidR="007F43A1" w:rsidRPr="00917293" w:rsidRDefault="00000000" w:rsidP="00917293">
            <w:pPr>
              <w:pStyle w:val="T0-Table"/>
              <w:jc w:val="center"/>
              <w:rPr>
                <w:rStyle w:val="CS-Keyword"/>
              </w:rPr>
            </w:pPr>
            <w:r w:rsidRPr="00917293">
              <w:rPr>
                <w:rStyle w:val="CS-Keyword"/>
              </w:rPr>
              <w:t>External / enterprise input</w:t>
            </w:r>
            <w:r w:rsidRPr="00917293">
              <w:rPr>
                <w:rStyle w:val="CS-Keyword"/>
              </w:rPr>
              <w:br/>
              <w:t>→ C1 / EP-01 →</w:t>
            </w:r>
          </w:p>
        </w:tc>
        <w:tc>
          <w:tcPr>
            <w:tcW w:w="2016" w:type="dxa"/>
            <w:shd w:val="clear" w:color="auto" w:fill="F2F2F2"/>
            <w:vAlign w:val="center"/>
          </w:tcPr>
          <w:p w14:paraId="0ACDA2FA" w14:textId="77777777" w:rsidR="007F43A1" w:rsidRPr="00917293" w:rsidRDefault="00000000" w:rsidP="00917293">
            <w:pPr>
              <w:pStyle w:val="T0-Table"/>
              <w:jc w:val="center"/>
              <w:rPr>
                <w:rStyle w:val="CS-Keyword"/>
              </w:rPr>
            </w:pPr>
            <w:r w:rsidRPr="00917293">
              <w:rPr>
                <w:rStyle w:val="CS-Keyword"/>
              </w:rPr>
              <w:t>ZONE 1</w:t>
            </w:r>
            <w:r w:rsidRPr="00917293">
              <w:rPr>
                <w:rStyle w:val="CS-Keyword"/>
              </w:rPr>
              <w:br/>
              <w:t>AI Services</w:t>
            </w:r>
            <w:r w:rsidRPr="00917293">
              <w:rPr>
                <w:rStyle w:val="CS-Keyword"/>
              </w:rPr>
              <w:br/>
              <w:t>→ C2 / EP-02, EP-03 →</w:t>
            </w:r>
          </w:p>
        </w:tc>
        <w:tc>
          <w:tcPr>
            <w:tcW w:w="2016" w:type="dxa"/>
            <w:shd w:val="clear" w:color="auto" w:fill="F2F2F2"/>
            <w:vAlign w:val="center"/>
          </w:tcPr>
          <w:p w14:paraId="0DF204E6" w14:textId="77777777" w:rsidR="007F43A1" w:rsidRPr="00917293" w:rsidRDefault="00000000" w:rsidP="00917293">
            <w:pPr>
              <w:pStyle w:val="T0-Table"/>
              <w:jc w:val="center"/>
              <w:rPr>
                <w:rStyle w:val="CS-Keyword"/>
              </w:rPr>
            </w:pPr>
            <w:r w:rsidRPr="00917293">
              <w:rPr>
                <w:rStyle w:val="CS-Keyword"/>
              </w:rPr>
              <w:t>ZONE 2</w:t>
            </w:r>
            <w:r w:rsidRPr="00917293">
              <w:rPr>
                <w:rStyle w:val="CS-Keyword"/>
              </w:rPr>
              <w:br/>
              <w:t>Orchestration</w:t>
            </w:r>
            <w:r w:rsidRPr="00917293">
              <w:rPr>
                <w:rStyle w:val="CS-Keyword"/>
              </w:rPr>
              <w:br/>
              <w:t>→ C3 / EP-05 to EP-11 →</w:t>
            </w:r>
          </w:p>
        </w:tc>
        <w:tc>
          <w:tcPr>
            <w:tcW w:w="2016" w:type="dxa"/>
            <w:shd w:val="clear" w:color="auto" w:fill="F2F2F2"/>
            <w:vAlign w:val="center"/>
          </w:tcPr>
          <w:p w14:paraId="18B2A840" w14:textId="77777777" w:rsidR="007F43A1" w:rsidRPr="00917293" w:rsidRDefault="00000000" w:rsidP="00917293">
            <w:pPr>
              <w:pStyle w:val="T0-Table"/>
              <w:jc w:val="center"/>
              <w:rPr>
                <w:rStyle w:val="CS-Keyword"/>
              </w:rPr>
            </w:pPr>
            <w:r w:rsidRPr="00917293">
              <w:rPr>
                <w:rStyle w:val="CS-Keyword"/>
              </w:rPr>
              <w:t>ZONE 3</w:t>
            </w:r>
            <w:r w:rsidRPr="00917293">
              <w:rPr>
                <w:rStyle w:val="CS-Keyword"/>
              </w:rPr>
              <w:br/>
              <w:t>OT Integration</w:t>
            </w:r>
            <w:r w:rsidRPr="00917293">
              <w:rPr>
                <w:rStyle w:val="CS-Keyword"/>
              </w:rPr>
              <w:br/>
              <w:t>→ C4 / EP-14 →</w:t>
            </w:r>
          </w:p>
        </w:tc>
        <w:tc>
          <w:tcPr>
            <w:tcW w:w="2016" w:type="dxa"/>
            <w:shd w:val="clear" w:color="auto" w:fill="F2F2F2"/>
            <w:vAlign w:val="center"/>
          </w:tcPr>
          <w:p w14:paraId="18ED57AC" w14:textId="77777777" w:rsidR="007F43A1" w:rsidRPr="00917293" w:rsidRDefault="00000000" w:rsidP="00917293">
            <w:pPr>
              <w:pStyle w:val="T0-Table"/>
              <w:jc w:val="center"/>
              <w:rPr>
                <w:rStyle w:val="CS-Keyword"/>
              </w:rPr>
            </w:pPr>
            <w:r w:rsidRPr="00917293">
              <w:rPr>
                <w:rStyle w:val="CS-Keyword"/>
              </w:rPr>
              <w:t>ZONE 4</w:t>
            </w:r>
            <w:r w:rsidRPr="00917293">
              <w:rPr>
                <w:rStyle w:val="CS-Keyword"/>
              </w:rPr>
              <w:br/>
              <w:t>Physical Systems</w:t>
            </w:r>
          </w:p>
        </w:tc>
      </w:tr>
      <w:tr w:rsidR="007F43A1" w:rsidRPr="00E66C83" w14:paraId="7C6BD69D" w14:textId="77777777">
        <w:trPr>
          <w:jc w:val="center"/>
        </w:trPr>
        <w:tc>
          <w:tcPr>
            <w:tcW w:w="10080" w:type="dxa"/>
            <w:gridSpan w:val="5"/>
            <w:vAlign w:val="center"/>
          </w:tcPr>
          <w:p w14:paraId="672B1FB2" w14:textId="77777777" w:rsidR="007F43A1" w:rsidRPr="00E66C83" w:rsidRDefault="00000000" w:rsidP="00917293">
            <w:pPr>
              <w:pStyle w:val="T0-Table"/>
              <w:jc w:val="center"/>
            </w:pPr>
            <w:r w:rsidRPr="00E66C83">
              <w:rPr>
                <w:rFonts w:ascii="Calibri" w:eastAsia="Calibri" w:hAnsi="Calibri" w:cs="Calibri"/>
                <w:sz w:val="16"/>
                <w:szCs w:val="16"/>
              </w:rPr>
              <w:t>Feedback path: Zone 4 → C5a source/integrity boundary (no separate numbered EP) → Zone 3 → C5b / EP-15 → Zone 2</w:t>
            </w:r>
          </w:p>
        </w:tc>
      </w:tr>
      <w:tr w:rsidR="007F43A1" w:rsidRPr="00E66C83" w14:paraId="11405B7B" w14:textId="77777777">
        <w:trPr>
          <w:jc w:val="center"/>
        </w:trPr>
        <w:tc>
          <w:tcPr>
            <w:tcW w:w="4032" w:type="dxa"/>
            <w:gridSpan w:val="2"/>
            <w:vAlign w:val="center"/>
          </w:tcPr>
          <w:p w14:paraId="501534E7" w14:textId="77777777" w:rsidR="007F43A1" w:rsidRPr="00E66C83" w:rsidRDefault="00000000" w:rsidP="00917293">
            <w:pPr>
              <w:pStyle w:val="T0-Table"/>
              <w:jc w:val="center"/>
            </w:pPr>
            <w:r w:rsidRPr="00E66C83">
              <w:rPr>
                <w:rFonts w:ascii="Calibri" w:eastAsia="Calibri" w:hAnsi="Calibri" w:cs="Calibri"/>
                <w:sz w:val="16"/>
                <w:szCs w:val="16"/>
              </w:rPr>
              <w:t>Vendor infrastructure → C6b / EP-16 → Zone 1</w:t>
            </w:r>
          </w:p>
        </w:tc>
        <w:tc>
          <w:tcPr>
            <w:tcW w:w="4032" w:type="dxa"/>
            <w:gridSpan w:val="2"/>
            <w:vAlign w:val="center"/>
          </w:tcPr>
          <w:p w14:paraId="589B6319" w14:textId="77777777" w:rsidR="007F43A1" w:rsidRPr="00E66C83" w:rsidRDefault="00000000" w:rsidP="00917293">
            <w:pPr>
              <w:pStyle w:val="T0-Table"/>
              <w:jc w:val="center"/>
            </w:pPr>
            <w:r w:rsidRPr="00E66C83">
              <w:rPr>
                <w:rFonts w:ascii="Calibri" w:eastAsia="Calibri" w:hAnsi="Calibri" w:cs="Calibri"/>
                <w:sz w:val="16"/>
                <w:szCs w:val="16"/>
              </w:rPr>
              <w:t>Vendor infrastructure → C6a / EP-16 → Zone 2</w:t>
            </w:r>
          </w:p>
        </w:tc>
        <w:tc>
          <w:tcPr>
            <w:tcW w:w="2016" w:type="dxa"/>
            <w:vAlign w:val="center"/>
          </w:tcPr>
          <w:p w14:paraId="5C35A679" w14:textId="77777777" w:rsidR="007F43A1" w:rsidRPr="00E66C83" w:rsidRDefault="00000000" w:rsidP="00917293">
            <w:pPr>
              <w:pStyle w:val="T0-Table"/>
              <w:jc w:val="center"/>
            </w:pPr>
            <w:r w:rsidRPr="00E66C83">
              <w:rPr>
                <w:rFonts w:ascii="Calibri" w:eastAsia="Calibri" w:hAnsi="Calibri" w:cs="Calibri"/>
                <w:sz w:val="16"/>
                <w:szCs w:val="16"/>
              </w:rPr>
              <w:t>Vendor admission: fail-closed</w:t>
            </w:r>
          </w:p>
        </w:tc>
      </w:tr>
      <w:tr w:rsidR="007F43A1" w:rsidRPr="00E66C83" w14:paraId="0BE7B83F" w14:textId="77777777">
        <w:trPr>
          <w:jc w:val="center"/>
        </w:trPr>
        <w:tc>
          <w:tcPr>
            <w:tcW w:w="10080" w:type="dxa"/>
            <w:gridSpan w:val="5"/>
            <w:vAlign w:val="center"/>
          </w:tcPr>
          <w:p w14:paraId="6D024A42" w14:textId="77777777" w:rsidR="007F43A1" w:rsidRPr="00E66C83" w:rsidRDefault="00000000" w:rsidP="00917293">
            <w:pPr>
              <w:pStyle w:val="T0-Table"/>
              <w:jc w:val="center"/>
            </w:pPr>
            <w:r w:rsidRPr="00E66C83">
              <w:rPr>
                <w:rFonts w:ascii="Calibri" w:eastAsia="Calibri" w:hAnsi="Calibri" w:cs="Calibri"/>
                <w:sz w:val="16"/>
                <w:szCs w:val="16"/>
              </w:rPr>
              <w:t>Conditional ASCR-16 path: cloud egress EP-17 → C7 → OT network ingress EP-18 → downstream edge/context admission EP-19</w:t>
            </w:r>
          </w:p>
        </w:tc>
      </w:tr>
      <w:tr w:rsidR="007F43A1" w:rsidRPr="00E66C83" w14:paraId="6F4B0D32" w14:textId="77777777">
        <w:trPr>
          <w:jc w:val="center"/>
        </w:trPr>
        <w:tc>
          <w:tcPr>
            <w:tcW w:w="10080" w:type="dxa"/>
            <w:gridSpan w:val="5"/>
            <w:shd w:val="clear" w:color="auto" w:fill="F2F2F2"/>
            <w:vAlign w:val="center"/>
          </w:tcPr>
          <w:p w14:paraId="5393FC83" w14:textId="77777777" w:rsidR="007F43A1" w:rsidRPr="00E66C83" w:rsidRDefault="00000000" w:rsidP="00917293">
            <w:pPr>
              <w:pStyle w:val="T0-Table"/>
              <w:jc w:val="center"/>
            </w:pPr>
            <w:r w:rsidRPr="00E66C83">
              <w:rPr>
                <w:rFonts w:ascii="Calibri" w:eastAsia="Calibri" w:hAnsi="Calibri" w:cs="Calibri"/>
                <w:sz w:val="16"/>
                <w:szCs w:val="16"/>
              </w:rPr>
              <w:t>Evidence/ownership: ASCR-04 gateway invocation evidence → ASCR-07 evidence path; ASCR-06 verifies proposed physical actions at EP-10; ASCR-03 governs the Safe-State or safe-interruption definition used at the Zone 3 / Zone 4 boundary.</w:t>
            </w:r>
          </w:p>
        </w:tc>
      </w:tr>
    </w:tbl>
    <w:p w14:paraId="2948E7C9" w14:textId="7F3BC606" w:rsidR="0005145B" w:rsidRDefault="0005145B" w:rsidP="0005145B">
      <w:pPr>
        <w:pStyle w:val="F0-FigureCaption"/>
        <w:rPr>
          <w:rFonts w:ascii="Calibri" w:eastAsia="Calibri" w:hAnsi="Calibri" w:cs="Calibri"/>
          <w:iCs/>
          <w:sz w:val="21"/>
          <w:szCs w:val="21"/>
        </w:rPr>
      </w:pPr>
      <w:r w:rsidRPr="00917293">
        <w:rPr>
          <w:rStyle w:val="CS-Keyword"/>
        </w:rPr>
        <w:t>Figure 1.2.1 - ASCR-05 reference topology (schematic)</w:t>
      </w:r>
    </w:p>
    <w:p w14:paraId="2D462EAD" w14:textId="291F1F8B" w:rsidR="007F43A1" w:rsidRPr="00E66C83" w:rsidRDefault="00000000" w:rsidP="0005145B">
      <w:pPr>
        <w:pStyle w:val="F0-FigureCaption"/>
      </w:pPr>
      <w:r w:rsidRPr="00E66C83">
        <w:rPr>
          <w:rFonts w:eastAsia="Calibri"/>
        </w:rPr>
        <w:t>Schematic only. Tables 1.3.1 and 3.1.1 remain authoritative for conduit and enforcement-point detail.</w:t>
      </w:r>
    </w:p>
    <w:p w14:paraId="787971E5" w14:textId="77777777" w:rsidR="007F43A1" w:rsidRPr="00E66C83" w:rsidRDefault="00000000" w:rsidP="00F87475">
      <w:pPr>
        <w:pStyle w:val="HS-Heading2"/>
      </w:pPr>
      <w:r w:rsidRPr="00E66C83">
        <w:rPr>
          <w:rFonts w:eastAsia="Calibri"/>
        </w:rPr>
        <w:t>1.3 Conduit enforcement summary</w:t>
      </w:r>
    </w:p>
    <w:p w14:paraId="6613503B" w14:textId="77777777" w:rsidR="007F43A1" w:rsidRPr="00E66C83" w:rsidRDefault="00000000" w:rsidP="00F87475">
      <w:pPr>
        <w:pStyle w:val="P0-Paragraph"/>
      </w:pPr>
      <w:r w:rsidRPr="00E66C83">
        <w:rPr>
          <w:rFonts w:eastAsia="Calibri"/>
        </w:rPr>
        <w:t>Table 1.3.1 (Zone Conduits and Enforcement Requirements) is maintained in the companion workbook; see the callout below.</w:t>
      </w:r>
    </w:p>
    <w:tbl>
      <w:tblPr>
        <w:tblStyle w:val="ab"/>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F43A1" w:rsidRPr="00E66C83" w14:paraId="441ECD95" w14:textId="77777777">
        <w:tc>
          <w:tcPr>
            <w:tcW w:w="10080" w:type="dxa"/>
            <w:tcBorders>
              <w:top w:val="single" w:sz="8" w:space="0" w:color="E0A94A"/>
              <w:left w:val="single" w:sz="8" w:space="0" w:color="E0A94A"/>
              <w:bottom w:val="single" w:sz="8" w:space="0" w:color="E0A94A"/>
              <w:right w:val="single" w:sz="8" w:space="0" w:color="E0A94A"/>
            </w:tcBorders>
            <w:shd w:val="clear" w:color="auto" w:fill="FBF3E3"/>
            <w:tcMar>
              <w:top w:w="160" w:type="dxa"/>
              <w:left w:w="200" w:type="dxa"/>
              <w:bottom w:w="160" w:type="dxa"/>
              <w:right w:w="200" w:type="dxa"/>
            </w:tcMar>
          </w:tcPr>
          <w:p w14:paraId="0DF9D2F6" w14:textId="77777777" w:rsidR="007F43A1" w:rsidRPr="00E66C83" w:rsidRDefault="00000000" w:rsidP="00917293">
            <w:pPr>
              <w:pStyle w:val="P0-Paragraph"/>
              <w:jc w:val="left"/>
            </w:pPr>
            <w:r w:rsidRPr="00E66C83">
              <w:rPr>
                <w:rFonts w:eastAsia="Calibri"/>
              </w:rPr>
              <w:t>Companion Workbook - Table 1.3.1</w:t>
            </w:r>
            <w:r w:rsidRPr="00E66C83">
              <w:rPr>
                <w:rFonts w:eastAsia="Calibri"/>
              </w:rPr>
              <w:br/>
              <w:t>The full conduit-by-conduit table (C1-C4, C5a, C5b, C6a, C6b, and conditional C7: from-zone, to-zone, direction, enforcement point, active ASCR controls, conduit security requirements, evidence produced, and deployment-instantiation fields) is maintained in ASCR-05-OE01-Reference-Tables.xlsx, sheet “1.3 Conduits.” Update the workbook when a conduit is added, removed, or re-routed; update this section's cross-references if conduit identifiers change.</w:t>
            </w:r>
          </w:p>
        </w:tc>
      </w:tr>
    </w:tbl>
    <w:p w14:paraId="6CC19907" w14:textId="77777777" w:rsidR="007F43A1" w:rsidRPr="00E66C83" w:rsidRDefault="00000000" w:rsidP="00917293">
      <w:pPr>
        <w:pStyle w:val="HS-Heading1"/>
      </w:pPr>
      <w:r w:rsidRPr="00E66C83">
        <w:t>Section 2 - Signal flow specification</w:t>
      </w:r>
    </w:p>
    <w:p w14:paraId="5A18A1D2" w14:textId="77777777" w:rsidR="007F43A1" w:rsidRPr="00E66C83" w:rsidRDefault="00000000" w:rsidP="00917293">
      <w:pPr>
        <w:pStyle w:val="HS-Heading2"/>
      </w:pPr>
      <w:r w:rsidRPr="00E66C83">
        <w:rPr>
          <w:rFonts w:eastAsia="Calibri"/>
        </w:rPr>
        <w:t>2.1 Forward signal path: external input to Physical Impact Action</w:t>
      </w:r>
    </w:p>
    <w:p w14:paraId="7E04CDED" w14:textId="77777777" w:rsidR="007F43A1" w:rsidRPr="00E66C83" w:rsidRDefault="00000000" w:rsidP="00917293">
      <w:pPr>
        <w:pStyle w:val="P0-Paragraph"/>
      </w:pPr>
      <w:r w:rsidRPr="00E66C83">
        <w:rPr>
          <w:rFonts w:eastAsia="Calibri"/>
        </w:rPr>
        <w:t>The forward signal path traces the sequence by which an external instruction - a warehouse management system order, a human operator command, or a scheduled production task - becomes a Physical Impact Action on a cyber-physical system.</w:t>
      </w:r>
    </w:p>
    <w:p w14:paraId="195CF8BB" w14:textId="77777777" w:rsidR="007F43A1" w:rsidRPr="00E66C83" w:rsidRDefault="00000000" w:rsidP="00917293">
      <w:pPr>
        <w:pStyle w:val="P0-Paragraph"/>
      </w:pPr>
      <w:r w:rsidRPr="00917293">
        <w:rPr>
          <w:rStyle w:val="CS-Keyword"/>
        </w:rPr>
        <w:t>Stage 1: Goal Specification.</w:t>
      </w:r>
      <w:r w:rsidRPr="00917293">
        <w:rPr>
          <w:rFonts w:eastAsiaTheme="minorHAnsi"/>
        </w:rPr>
        <w:t xml:space="preserve"> The external instruction enters Zone 1 via Conduit C1 and is translated into a goal specification. This specification is hashed to produce the </w:t>
      </w:r>
      <w:proofErr w:type="spellStart"/>
      <w:r w:rsidRPr="00917293">
        <w:rPr>
          <w:rFonts w:eastAsiaTheme="minorHAnsi"/>
        </w:rPr>
        <w:t>goal_hash</w:t>
      </w:r>
      <w:proofErr w:type="spellEnd"/>
      <w:r w:rsidRPr="00917293">
        <w:rPr>
          <w:rFonts w:eastAsiaTheme="minorHAnsi"/>
        </w:rPr>
        <w:t xml:space="preserve"> field in the ASCR-07 planning cycle record. This is the first evidence generation event in the forward signal path - the </w:t>
      </w:r>
      <w:proofErr w:type="spellStart"/>
      <w:r w:rsidRPr="00917293">
        <w:rPr>
          <w:rFonts w:eastAsiaTheme="minorHAnsi"/>
        </w:rPr>
        <w:t>goal_hash</w:t>
      </w:r>
      <w:proofErr w:type="spellEnd"/>
      <w:r w:rsidRPr="00917293">
        <w:rPr>
          <w:rFonts w:eastAsiaTheme="minorHAnsi"/>
        </w:rPr>
        <w:t xml:space="preserve"> establishes what the agent was instructed to achieve before any planning commenced.</w:t>
      </w:r>
    </w:p>
    <w:p w14:paraId="1EBEECB0" w14:textId="77777777" w:rsidR="007F43A1" w:rsidRPr="00E66C83" w:rsidRDefault="00000000" w:rsidP="00917293">
      <w:pPr>
        <w:pStyle w:val="P0-Paragraph"/>
      </w:pPr>
      <w:r w:rsidRPr="00917293">
        <w:rPr>
          <w:rStyle w:val="CS-Keyword"/>
        </w:rPr>
        <w:t>Stage 2: Intelligence Layer Reasoning.</w:t>
      </w:r>
      <w:r w:rsidRPr="00917293">
        <w:rPr>
          <w:rFonts w:eastAsiaTheme="minorHAnsi"/>
        </w:rPr>
        <w:t xml:space="preserve"> The agent model in Zone 1 produces a plan against the goal specification, drawing on contextual grounding from the retrieval corpus. The context state before planning commences is hashed to produce </w:t>
      </w:r>
      <w:proofErr w:type="spellStart"/>
      <w:r w:rsidRPr="00917293">
        <w:rPr>
          <w:rFonts w:eastAsiaTheme="minorHAnsi"/>
        </w:rPr>
        <w:t>context_hash_before</w:t>
      </w:r>
      <w:proofErr w:type="spellEnd"/>
      <w:r w:rsidRPr="00917293">
        <w:rPr>
          <w:rFonts w:eastAsiaTheme="minorHAnsi"/>
        </w:rPr>
        <w:t xml:space="preserve">. The plan produced is summarized in </w:t>
      </w:r>
      <w:proofErr w:type="spellStart"/>
      <w:r w:rsidRPr="00917293">
        <w:rPr>
          <w:rFonts w:eastAsiaTheme="minorHAnsi"/>
        </w:rPr>
        <w:t>plan_delta_summary</w:t>
      </w:r>
      <w:proofErr w:type="spellEnd"/>
      <w:r w:rsidRPr="00917293">
        <w:rPr>
          <w:rFonts w:eastAsiaTheme="minorHAnsi"/>
        </w:rPr>
        <w:t>. These fields are populated in the ASCR-07 planning cycle record at the Zone 1 / Zone 2 conduit.</w:t>
      </w:r>
    </w:p>
    <w:p w14:paraId="1D8ACBBF" w14:textId="77777777" w:rsidR="007F43A1" w:rsidRPr="00E66C83" w:rsidRDefault="00000000" w:rsidP="00917293">
      <w:pPr>
        <w:pStyle w:val="P0-Paragraph"/>
      </w:pPr>
      <w:r w:rsidRPr="00917293">
        <w:rPr>
          <w:rStyle w:val="CS-Keyword"/>
        </w:rPr>
        <w:t>Stage 3: Orchestration Layer Evaluation.</w:t>
      </w:r>
      <w:r w:rsidRPr="00917293">
        <w:rPr>
          <w:rFonts w:eastAsiaTheme="minorHAnsi"/>
        </w:rPr>
        <w:t xml:space="preserve"> The plan enters Zone 2. The ASCR-07 planning-cycle record for the cycle carries the ASCR-07-defined </w:t>
      </w:r>
      <w:proofErr w:type="spellStart"/>
      <w:r w:rsidRPr="00917293">
        <w:rPr>
          <w:rFonts w:eastAsiaTheme="minorHAnsi"/>
        </w:rPr>
        <w:t>divergence_score</w:t>
      </w:r>
      <w:proofErr w:type="spellEnd"/>
      <w:r w:rsidRPr="00917293">
        <w:rPr>
          <w:rFonts w:eastAsiaTheme="minorHAnsi"/>
        </w:rPr>
        <w:t xml:space="preserve"> and the record identifier used to correlate downstream evidence. The plan is decomposed into individual tool invocations. Each invocation is submitted independently to the MCP gateway. </w:t>
      </w:r>
      <w:r w:rsidRPr="00917293">
        <w:rPr>
          <w:rFonts w:eastAsiaTheme="minorHAnsi"/>
        </w:rPr>
        <w:lastRenderedPageBreak/>
        <w:t>The ASCR-04 gateway invocation record is a separate evidence schema and links back to the associated ASCR-07 planning-cycle record through ascr07_record_id.</w:t>
      </w:r>
    </w:p>
    <w:p w14:paraId="70B70D84" w14:textId="77777777" w:rsidR="007F43A1" w:rsidRPr="00E66C83" w:rsidRDefault="00000000" w:rsidP="00917293">
      <w:pPr>
        <w:pStyle w:val="P0-Paragraph"/>
      </w:pPr>
      <w:r w:rsidRPr="00917293">
        <w:rPr>
          <w:rStyle w:val="CS-Keyword"/>
        </w:rPr>
        <w:t>Stage 4: Gateway Enforcement.</w:t>
      </w:r>
      <w:r w:rsidRPr="00917293">
        <w:rPr>
          <w:rFonts w:eastAsiaTheme="minorHAnsi"/>
        </w:rPr>
        <w:t xml:space="preserve"> Each tool invocation traverses Conduit C3 through the MCP gateway's seven-layer enforcement stack (ASCR-04, Layers 1–7). The gateway produces a verdict: PASS, REJECT, or HOLD. The verdict and the complete ASCR-04 gateway invocation record defined in ASCR-04 Section 2.1 are written to the ASCR-07 evidence path regardless of verdict type. This gateway invocation schema is distinct from the ASCR-07 planning-cycle record </w:t>
      </w:r>
      <w:proofErr w:type="gramStart"/>
      <w:r w:rsidRPr="00917293">
        <w:rPr>
          <w:rFonts w:eastAsiaTheme="minorHAnsi"/>
        </w:rPr>
        <w:t>schema</w:t>
      </w:r>
      <w:proofErr w:type="gramEnd"/>
      <w:r w:rsidRPr="00917293">
        <w:rPr>
          <w:rFonts w:eastAsiaTheme="minorHAnsi"/>
        </w:rPr>
        <w:t xml:space="preserve"> defined in ASCR-07 Section 1.1.</w:t>
      </w:r>
    </w:p>
    <w:p w14:paraId="398E6475" w14:textId="77777777" w:rsidR="007F43A1" w:rsidRPr="00E66C83" w:rsidRDefault="00000000" w:rsidP="00917293">
      <w:pPr>
        <w:pStyle w:val="P0-Paragraph"/>
      </w:pPr>
      <w:r w:rsidRPr="00917293">
        <w:rPr>
          <w:rStyle w:val="CS-Keyword"/>
        </w:rPr>
        <w:t>Stage 5: OT Translation.</w:t>
      </w:r>
      <w:r w:rsidRPr="00917293">
        <w:rPr>
          <w:rFonts w:eastAsiaTheme="minorHAnsi"/>
        </w:rPr>
        <w:t xml:space="preserve"> A PASS verdict causes the tool invocation to traverse Conduit C4 to the OT Integration Zone. The OT protocol translator converts the gateway-approved command into the appropriate OT protocol format, such as Modbus function codes, OPC UA method calls, or PROFINET cyclic data, for the target physical system. The Zone 3 security and Safe-State enforcement functions apply the final ASCR security-</w:t>
      </w:r>
      <w:proofErr w:type="gramStart"/>
      <w:r w:rsidRPr="00917293">
        <w:rPr>
          <w:rFonts w:eastAsiaTheme="minorHAnsi"/>
        </w:rPr>
        <w:t>permissive</w:t>
      </w:r>
      <w:proofErr w:type="gramEnd"/>
      <w:r w:rsidRPr="00917293">
        <w:rPr>
          <w:rFonts w:eastAsiaTheme="minorHAnsi"/>
        </w:rPr>
        <w:t xml:space="preserve"> and governed-parameter checks before the command reaches Zone 4 and may issue a Safe-State or safe-interruption request when required. Any functional-safety or machine-safety function that ultimately achieves or maintains a safe state remains independently engineered and validated under the applicable safety requirements; the ASCR security gate does not substitute for that safety function.</w:t>
      </w:r>
    </w:p>
    <w:p w14:paraId="26B0BEBD" w14:textId="77777777" w:rsidR="007F43A1" w:rsidRPr="00E66C83" w:rsidRDefault="00000000" w:rsidP="00917293">
      <w:pPr>
        <w:pStyle w:val="P0-Paragraph"/>
      </w:pPr>
      <w:r w:rsidRPr="00917293">
        <w:rPr>
          <w:rStyle w:val="CS-Keyword"/>
        </w:rPr>
        <w:t>Stage 6: Physical Impact Action.</w:t>
      </w:r>
      <w:r w:rsidRPr="00917293">
        <w:rPr>
          <w:rFonts w:eastAsiaTheme="minorHAnsi"/>
        </w:rPr>
        <w:t xml:space="preserve"> The translated command reaches the physical system in Zone </w:t>
      </w:r>
      <w:proofErr w:type="gramStart"/>
      <w:r w:rsidRPr="00917293">
        <w:rPr>
          <w:rFonts w:eastAsiaTheme="minorHAnsi"/>
        </w:rPr>
        <w:t>4</w:t>
      </w:r>
      <w:proofErr w:type="gramEnd"/>
      <w:r w:rsidRPr="00917293">
        <w:rPr>
          <w:rFonts w:eastAsiaTheme="minorHAnsi"/>
        </w:rPr>
        <w:t xml:space="preserve"> and the physical system executes the action. The forward evidence chain from </w:t>
      </w:r>
      <w:proofErr w:type="spellStart"/>
      <w:r w:rsidRPr="00917293">
        <w:rPr>
          <w:rFonts w:eastAsiaTheme="minorHAnsi"/>
        </w:rPr>
        <w:t>goal_hash</w:t>
      </w:r>
      <w:proofErr w:type="spellEnd"/>
      <w:r w:rsidRPr="00917293">
        <w:rPr>
          <w:rFonts w:eastAsiaTheme="minorHAnsi"/>
        </w:rPr>
        <w:t xml:space="preserve"> through the gateway PASS record and OT translation record forms the core of the Physical Impact Attribution record. Physical-outcome evidence is then correlated through the governed feedback path, including C5a/C5b and EP-15 where applicable, so that goal, reasoning, invocation, enforcement, translation, and observed physical outcome can be reconstructed together following evidence-pipeline synchronization and integrity verification.</w:t>
      </w:r>
    </w:p>
    <w:p w14:paraId="65921127" w14:textId="77777777" w:rsidR="007F43A1" w:rsidRPr="00E66C83" w:rsidRDefault="00000000" w:rsidP="00917293">
      <w:pPr>
        <w:pStyle w:val="P0-Paragraph"/>
      </w:pPr>
      <w:r w:rsidRPr="00917293">
        <w:rPr>
          <w:rStyle w:val="CS-Keyword"/>
        </w:rPr>
        <w:t>Tool-result / observation return path:</w:t>
      </w:r>
      <w:r w:rsidRPr="00917293">
        <w:rPr>
          <w:rFonts w:eastAsiaTheme="minorHAnsi"/>
        </w:rPr>
        <w:t xml:space="preserve"> where an invoked tool returns data that may influence a subsequent planning or reasoning cycle, the deployment must represent the return path through the applicable C3 and C2 boundaries. The result must remain correlated to the originating invocation, pass the deployment-approved result schema, provenance, integrity, and context-admission controls, and generate or reference evidence sufficient to reconstruct which result entered the subsequent reasoning context. ASCR-05 does not authorize an undocumented direct tool-to-model return path. If the deployment's result-admission mechanism is not already represented by an existing control, record it as a deployment-specific local enforcement-point extension without reusing an existing EP-</w:t>
      </w:r>
      <w:proofErr w:type="spellStart"/>
      <w:r w:rsidRPr="00917293">
        <w:rPr>
          <w:rFonts w:eastAsiaTheme="minorHAnsi"/>
        </w:rPr>
        <w:t>nn</w:t>
      </w:r>
      <w:proofErr w:type="spellEnd"/>
      <w:r w:rsidRPr="00917293">
        <w:rPr>
          <w:rFonts w:eastAsiaTheme="minorHAnsi"/>
        </w:rPr>
        <w:t xml:space="preserve"> identifier.</w:t>
      </w:r>
    </w:p>
    <w:p w14:paraId="2FA903B9" w14:textId="77777777" w:rsidR="007F43A1" w:rsidRPr="00E66C83" w:rsidRDefault="00000000" w:rsidP="00917293">
      <w:pPr>
        <w:pStyle w:val="HS-Heading2"/>
      </w:pPr>
      <w:r w:rsidRPr="00E66C83">
        <w:rPr>
          <w:rFonts w:eastAsia="Calibri"/>
        </w:rPr>
        <w:t>2.2 Feedback signal path: physical state to orchestration verification and evidence</w:t>
      </w:r>
    </w:p>
    <w:p w14:paraId="0200A208" w14:textId="77777777" w:rsidR="007F43A1" w:rsidRPr="00E66C83" w:rsidRDefault="00000000" w:rsidP="00917293">
      <w:pPr>
        <w:pStyle w:val="P0-Paragraph"/>
      </w:pPr>
      <w:r w:rsidRPr="00E66C83">
        <w:rPr>
          <w:rFonts w:eastAsia="Calibri"/>
        </w:rPr>
        <w:t>The feedback signal path traces how the physical world's response to agent actions returns to Zone 2 verification, calibration, monitoring, and evidence functions. ASCR-05 does not implicitly route raw or aggregated physical feedback back into Zone 1 reasoning.</w:t>
      </w:r>
    </w:p>
    <w:p w14:paraId="6D54CDDE" w14:textId="77777777" w:rsidR="007F43A1" w:rsidRPr="00E66C83" w:rsidRDefault="00000000" w:rsidP="00917293">
      <w:pPr>
        <w:pStyle w:val="P0-Paragraph"/>
      </w:pPr>
      <w:r w:rsidRPr="00E66C83">
        <w:rPr>
          <w:rFonts w:eastAsia="Calibri"/>
        </w:rPr>
        <w:t>Physical sensors in Zone 4 produce state measurements - joint positions, velocities, torques, environmental readings, proximity data, conveyor load measurements - continuously during operations. These measurements traverse Conduit C5a from Zone 4 to the physical feedback aggregation system in Zone 3, which filters, normalizes, and timestamps them before forwarding the aggregated feedback across Conduit C5b to Zone 2.</w:t>
      </w:r>
    </w:p>
    <w:p w14:paraId="696AA9FF" w14:textId="77777777" w:rsidR="007F43A1" w:rsidRPr="00E66C83" w:rsidRDefault="00000000" w:rsidP="00917293">
      <w:pPr>
        <w:pStyle w:val="P0-Paragraph"/>
      </w:pPr>
      <w:r w:rsidRPr="00E66C83">
        <w:rPr>
          <w:rFonts w:eastAsia="Calibri"/>
        </w:rPr>
        <w:t xml:space="preserve">For ASCR-07, physical-state feedback may be correlated with planning-cycle behavioral evidence and used during incident investigation or model validation, but it is not an input to the normative </w:t>
      </w:r>
      <w:proofErr w:type="spellStart"/>
      <w:r w:rsidRPr="00E66C83">
        <w:rPr>
          <w:rFonts w:eastAsia="Calibri"/>
        </w:rPr>
        <w:t>divergence_score</w:t>
      </w:r>
      <w:proofErr w:type="spellEnd"/>
      <w:r w:rsidRPr="00E66C83">
        <w:rPr>
          <w:rFonts w:eastAsia="Calibri"/>
        </w:rPr>
        <w:t xml:space="preserve"> computation. </w:t>
      </w:r>
      <w:proofErr w:type="spellStart"/>
      <w:r w:rsidRPr="00E66C83">
        <w:rPr>
          <w:rFonts w:eastAsia="Calibri"/>
        </w:rPr>
        <w:t>divergence_score</w:t>
      </w:r>
      <w:proofErr w:type="spellEnd"/>
      <w:r w:rsidRPr="00E66C83">
        <w:rPr>
          <w:rFonts w:eastAsia="Calibri"/>
        </w:rPr>
        <w:t xml:space="preserve"> remains the ASCR-07-defined normalized cosine-distance measure between the planning-cycle </w:t>
      </w:r>
      <w:proofErr w:type="spellStart"/>
      <w:r w:rsidRPr="00E66C83">
        <w:rPr>
          <w:rFonts w:eastAsia="Calibri"/>
        </w:rPr>
        <w:t>plan_embedding</w:t>
      </w:r>
      <w:proofErr w:type="spellEnd"/>
      <w:r w:rsidRPr="00E66C83">
        <w:rPr>
          <w:rFonts w:eastAsia="Calibri"/>
        </w:rPr>
        <w:t xml:space="preserve"> and the authorized-objective centroid.</w:t>
      </w:r>
    </w:p>
    <w:p w14:paraId="3C087F38" w14:textId="77777777" w:rsidR="007F43A1" w:rsidRPr="00E66C83" w:rsidRDefault="00000000" w:rsidP="00917293">
      <w:pPr>
        <w:pStyle w:val="P0-Paragraph"/>
      </w:pPr>
      <w:r w:rsidRPr="00E66C83">
        <w:rPr>
          <w:rFonts w:eastAsia="Calibri"/>
        </w:rPr>
        <w:t xml:space="preserve">In the ASCR-05 reference architecture, the governed physical-feedback path terminates in Zone 2. The tool-result / observation return path defined in Section 2.1 is separate from physical feedback and does not authorize raw or derived </w:t>
      </w:r>
      <w:r w:rsidRPr="00E66C83">
        <w:rPr>
          <w:rFonts w:eastAsia="Calibri"/>
        </w:rPr>
        <w:lastRenderedPageBreak/>
        <w:t>physical-state context to enter Zone 1. A deployment that intentionally provides physical feedback or derived physical-state context to Zone 1 reasoning must model that flow as a separate authorized trust-boundary crossing before use. The deployment-specific architecture must document the provenance and transformation of the data, source and destination authorization, integrity protection, replay and freshness controls, context-admission rules, and evidence generated for that path. The governed C2 tool-result / observation return path must not be repurposed for physical-feedback transport without controlled architectural change.</w:t>
      </w:r>
    </w:p>
    <w:p w14:paraId="2D054A2E" w14:textId="77777777" w:rsidR="007F43A1" w:rsidRPr="00E66C83" w:rsidRDefault="00000000" w:rsidP="00917293">
      <w:pPr>
        <w:pStyle w:val="P0-Paragraph"/>
      </w:pPr>
      <w:r w:rsidRPr="00E66C83">
        <w:rPr>
          <w:rFonts w:eastAsia="Calibri"/>
        </w:rPr>
        <w:t xml:space="preserve">The feedback path is also a major detection channel for indicators of Physical Layer Manipulation. Local ASCR-05 mapping T-CPS-009 (Sensor Data Spoofing), informed by the ASCR-15 adversary and campaign model, targets this feedback path. Sensor data integrity validation at the Zone 3 / Zone 2 boundary is intended to identify indicators of Physical Layer Manipulation, not merely data-quality anomalies. Anomalous feedback patterns that do not match ASCR-06 predictions across multiple planning cycles are physical-state or model-consistency indicators that warrant investigation and correlation with ASCR-07 behavioral evidence; they do not by themselves change the ASCR-07 </w:t>
      </w:r>
      <w:proofErr w:type="spellStart"/>
      <w:r w:rsidRPr="00E66C83">
        <w:rPr>
          <w:rFonts w:eastAsia="Calibri"/>
        </w:rPr>
        <w:t>divergence_score</w:t>
      </w:r>
      <w:proofErr w:type="spellEnd"/>
      <w:r w:rsidRPr="00E66C83">
        <w:rPr>
          <w:rFonts w:eastAsia="Calibri"/>
        </w:rPr>
        <w:t>.</w:t>
      </w:r>
    </w:p>
    <w:p w14:paraId="3EFBA173" w14:textId="77777777" w:rsidR="007F43A1" w:rsidRPr="00E66C83" w:rsidRDefault="00000000" w:rsidP="00917293">
      <w:pPr>
        <w:pStyle w:val="HS-Heading2"/>
      </w:pPr>
      <w:r w:rsidRPr="00E66C83">
        <w:rPr>
          <w:rFonts w:eastAsia="Calibri"/>
        </w:rPr>
        <w:t>2.3 Vendor infrastructure signal path</w:t>
      </w:r>
    </w:p>
    <w:p w14:paraId="566D9157" w14:textId="77777777" w:rsidR="007F43A1" w:rsidRPr="00E66C83" w:rsidRDefault="00000000" w:rsidP="00917293">
      <w:pPr>
        <w:pStyle w:val="P0-Paragraph"/>
      </w:pPr>
      <w:r w:rsidRPr="00E66C83">
        <w:rPr>
          <w:rFonts w:eastAsia="Calibri"/>
        </w:rPr>
        <w:t>Vendor infrastructure enters through the conduit appropriate to the destination zone: C6b for Zone 1 model, system-prompt, and retrieval components, and C6a for Zone 2 orchestration or tool components. This is the supply chain attack surface described in ASCR-11 Section 11.2 and represented by local ASCR-05 mapping T-CPS-011 (Supply Chain Model Poisoning), informed by ASCR-15 supply-chain campaign patterns.</w:t>
      </w:r>
    </w:p>
    <w:p w14:paraId="446DAB45" w14:textId="77777777" w:rsidR="007F43A1" w:rsidRPr="00E66C83" w:rsidRDefault="00000000" w:rsidP="00917293">
      <w:pPr>
        <w:pStyle w:val="P0-Paragraph"/>
      </w:pPr>
      <w:r w:rsidRPr="00E66C83">
        <w:rPr>
          <w:rFonts w:eastAsia="Calibri"/>
        </w:rPr>
        <w:t xml:space="preserve">Vendor admission requires the controls defined for the applicable vendor </w:t>
      </w:r>
      <w:proofErr w:type="gramStart"/>
      <w:r w:rsidRPr="00E66C83">
        <w:rPr>
          <w:rFonts w:eastAsia="Calibri"/>
        </w:rPr>
        <w:t>conduit</w:t>
      </w:r>
      <w:proofErr w:type="gramEnd"/>
      <w:r w:rsidRPr="00E66C83">
        <w:rPr>
          <w:rFonts w:eastAsia="Calibri"/>
        </w:rPr>
        <w:t>. For the C6a and C6b vendor-admission paths, three controls operate in sequence. First, AI-BOM verification confirms that the arriving component matches the version and cryptographic identity recorded in the current vendor AI-BOM under ASCR-11 Section 11.2. Second, vendor attestation and provenance verification confirms that the required vendor-origin and pipeline evidence for the component is valid. Third, where an authorized component change alters the applicable TEE or platform-attestation measurement or reference state, the approved baseline or reference profile must be updated through the ASCR-10 change-authorization workflow before the new component is admitted to the destination zone. The update must be based on the authorized expected state, not solely on the measurement observed from the arriving component.</w:t>
      </w:r>
    </w:p>
    <w:p w14:paraId="3E5048CA" w14:textId="77777777" w:rsidR="007F43A1" w:rsidRPr="00E66C83" w:rsidRDefault="00000000" w:rsidP="00917293">
      <w:pPr>
        <w:pStyle w:val="P0-Paragraph"/>
      </w:pPr>
      <w:r w:rsidRPr="00E66C83">
        <w:rPr>
          <w:rFonts w:eastAsia="Calibri"/>
        </w:rPr>
        <w:t xml:space="preserve">ASCR-17 vendor qualification, where required, is a relationship-level pre-admission governance control. It is not a C6a/C6b runtime enforcement step. ASCR-11 or the governing procurement record may </w:t>
      </w:r>
      <w:proofErr w:type="gramStart"/>
      <w:r w:rsidRPr="00E66C83">
        <w:rPr>
          <w:rFonts w:eastAsia="Calibri"/>
        </w:rPr>
        <w:t>reference</w:t>
      </w:r>
      <w:proofErr w:type="gramEnd"/>
      <w:r w:rsidRPr="00E66C83">
        <w:rPr>
          <w:rFonts w:eastAsia="Calibri"/>
        </w:rPr>
        <w:t xml:space="preserve"> the current ASCR-17 qualification record where contractually required, but neither replaces </w:t>
      </w:r>
      <w:proofErr w:type="gramStart"/>
      <w:r w:rsidRPr="00E66C83">
        <w:rPr>
          <w:rFonts w:eastAsia="Calibri"/>
        </w:rPr>
        <w:t>or</w:t>
      </w:r>
      <w:proofErr w:type="gramEnd"/>
      <w:r w:rsidRPr="00E66C83">
        <w:rPr>
          <w:rFonts w:eastAsia="Calibri"/>
        </w:rPr>
        <w:t xml:space="preserve"> reassigns ownership of the ASCR-17 qualification evidence.</w:t>
      </w:r>
    </w:p>
    <w:p w14:paraId="2905353E" w14:textId="77777777" w:rsidR="007F43A1" w:rsidRPr="00E66C83" w:rsidRDefault="00000000" w:rsidP="00917293">
      <w:pPr>
        <w:pStyle w:val="P0-Paragraph"/>
      </w:pPr>
      <w:r w:rsidRPr="00E66C83">
        <w:rPr>
          <w:rFonts w:eastAsia="Calibri"/>
        </w:rPr>
        <w:t>A vendor component that arrives through C6a or C6b without a current AI-BOM, without valid required attestation/provenance evidence, or with a measurement that fails the applicable pre-authorized admission check must be quarantined and must not enter the destination ASCR zone. Preserve the event and route it into the ASCR-08 incident-response workflow. Initial classification is Indeterminate unless the available evidence already supports a complete Intent-Locus-Authority code. Required quarantine or rejection does not wait for final incident classification.</w:t>
      </w:r>
    </w:p>
    <w:p w14:paraId="47D8466B" w14:textId="77777777" w:rsidR="007F43A1" w:rsidRPr="00E66C83" w:rsidRDefault="00000000" w:rsidP="00917293">
      <w:pPr>
        <w:pStyle w:val="HS-Heading2"/>
      </w:pPr>
      <w:r w:rsidRPr="00E66C83">
        <w:rPr>
          <w:rFonts w:eastAsia="Calibri"/>
        </w:rPr>
        <w:t>2.4 Cloud-to-edge / cloud-to-OT trust-chain transit</w:t>
      </w:r>
    </w:p>
    <w:p w14:paraId="4F1247DE" w14:textId="77777777" w:rsidR="007F43A1" w:rsidRPr="00E66C83" w:rsidRDefault="00000000" w:rsidP="00917293">
      <w:pPr>
        <w:pStyle w:val="P0-Paragraph"/>
      </w:pPr>
      <w:r w:rsidRPr="00E66C83">
        <w:rPr>
          <w:rFonts w:eastAsia="Calibri"/>
        </w:rPr>
        <w:t xml:space="preserve">Conduit C7 is the conditional cloud-to-edge / cloud-to-OT trust-chain transit path defined by ASCR-16. It begins at the governed cloud-egress boundary and terminates at the OT network ingress boundary at EP-18. C7 may carry authorized model artifacts, context payloads, orchestration signals, lineage and provenance information, and related attestation evidence as defined by ASCR-16. EP-19 is a subsequent edge-admission enforcement point inside the OT environment and is associated with the same end-to-end trust chain, but it is not part of the C7 transit </w:t>
      </w:r>
      <w:proofErr w:type="gramStart"/>
      <w:r w:rsidRPr="00E66C83">
        <w:rPr>
          <w:rFonts w:eastAsia="Calibri"/>
        </w:rPr>
        <w:t>conduit</w:t>
      </w:r>
      <w:proofErr w:type="gramEnd"/>
      <w:r w:rsidRPr="00E66C83">
        <w:rPr>
          <w:rFonts w:eastAsia="Calibri"/>
        </w:rPr>
        <w:t>.</w:t>
      </w:r>
    </w:p>
    <w:p w14:paraId="0B5BF70E" w14:textId="77777777" w:rsidR="007F43A1" w:rsidRPr="00E66C83" w:rsidRDefault="00000000" w:rsidP="00917293">
      <w:pPr>
        <w:pStyle w:val="P0-Paragraph"/>
      </w:pPr>
      <w:r w:rsidRPr="00E66C83">
        <w:rPr>
          <w:rFonts w:eastAsia="Calibri"/>
        </w:rPr>
        <w:lastRenderedPageBreak/>
        <w:t>Where C7 is used, the deployment-specific ASCR-05 enforcement-point register must represent EP-17 and EP-18 as the C7 boundary enforcement points and EP-19 as the downstream edge-admission enforcement point associated with the same ASCR-16 trust chain. ASCR-16 remains authoritative for their implementation semantics. ASCR-05 records their architectural placement, implementation state, and evidence linkage.</w:t>
      </w:r>
    </w:p>
    <w:p w14:paraId="62217AAC" w14:textId="77777777" w:rsidR="007F43A1" w:rsidRPr="00E66C83" w:rsidRDefault="00000000" w:rsidP="00917293">
      <w:pPr>
        <w:pStyle w:val="P0-Paragraph"/>
      </w:pPr>
      <w:r w:rsidRPr="00E66C83">
        <w:rPr>
          <w:rFonts w:eastAsia="Calibri"/>
        </w:rPr>
        <w:t>EP-17 is located at cloud egress, the origin of C7, and binds authorized artifacts or context to their cloud origin through lineage-token and signed boundary-envelope generation.</w:t>
      </w:r>
    </w:p>
    <w:p w14:paraId="396C073B" w14:textId="77777777" w:rsidR="007F43A1" w:rsidRPr="00E66C83" w:rsidRDefault="00000000" w:rsidP="00917293">
      <w:pPr>
        <w:pStyle w:val="P0-Paragraph"/>
      </w:pPr>
      <w:r w:rsidRPr="00E66C83">
        <w:rPr>
          <w:rFonts w:eastAsia="Calibri"/>
        </w:rPr>
        <w:t>EP-18 is located at C7-to-OT ingress. It verifies the EP-17 lineage or boundary-envelope evidence, custody and payload integrity, applies the required replay protections, generates the signed EP-18 handoff receipt bound to the exact verified integrity unit, records the admission and handoff evidence, and forwards the original EP-17 envelope unchanged with the signed handoff receipt for downstream EP-19 verification.</w:t>
      </w:r>
    </w:p>
    <w:p w14:paraId="005E27BF" w14:textId="77777777" w:rsidR="007F43A1" w:rsidRPr="00E66C83" w:rsidRDefault="00000000" w:rsidP="00917293">
      <w:pPr>
        <w:pStyle w:val="P0-Paragraph"/>
      </w:pPr>
      <w:r w:rsidRPr="00E66C83">
        <w:rPr>
          <w:rFonts w:eastAsia="Calibri"/>
        </w:rPr>
        <w:t>EP-19 is downstream of C7 at the edge TEE or context-ingress boundary. It verifies the signed EP-18 handoff receipt and its exact binding to the EP-17 envelope, independently re-verifies the applicable EP-17 integrity evidence, enforces framing, freshness, and replay requirements, and performs the required artifact, platform, authorization, and attestation checks before artifact instantiation or context admission.</w:t>
      </w:r>
    </w:p>
    <w:p w14:paraId="37277E8A" w14:textId="77777777" w:rsidR="007F43A1" w:rsidRPr="00E66C83" w:rsidRDefault="00000000" w:rsidP="00917293">
      <w:pPr>
        <w:pStyle w:val="P0-Paragraph"/>
      </w:pPr>
      <w:r w:rsidRPr="00E66C83">
        <w:rPr>
          <w:rFonts w:eastAsia="Calibri"/>
        </w:rPr>
        <w:t>C7 must not be used as a generic identifier for an unrelated vendor conduit or as a direct bypass from an MCP transport path to ASCR-06. Operational MCP traffic continues to terminate at its governed MCP boundary before any scope-authorized consequential invocation enters the ASCR-06 verification and ASCR-04 runtime-enforcement sequence.</w:t>
      </w:r>
    </w:p>
    <w:p w14:paraId="012E37CC" w14:textId="77777777" w:rsidR="007F43A1" w:rsidRPr="00E66C83" w:rsidRDefault="00000000" w:rsidP="00917293">
      <w:pPr>
        <w:pStyle w:val="HS-Heading1"/>
      </w:pPr>
      <w:r w:rsidRPr="00E66C83">
        <w:t>Section 3 - Enforcement point annotation</w:t>
      </w:r>
    </w:p>
    <w:p w14:paraId="651F4FCB" w14:textId="77777777" w:rsidR="007F43A1" w:rsidRPr="00E66C83" w:rsidRDefault="00000000" w:rsidP="00917293">
      <w:pPr>
        <w:pStyle w:val="HS-Heading2"/>
      </w:pPr>
      <w:r w:rsidRPr="00E66C83">
        <w:rPr>
          <w:rFonts w:eastAsia="Calibri"/>
        </w:rPr>
        <w:t>3.1 Enforcement point map</w:t>
      </w:r>
    </w:p>
    <w:p w14:paraId="7D4511E9" w14:textId="77777777" w:rsidR="007F43A1" w:rsidRPr="00E66C83" w:rsidRDefault="00000000" w:rsidP="00917293">
      <w:pPr>
        <w:pStyle w:val="P0-Paragraph"/>
      </w:pPr>
      <w:r w:rsidRPr="00E66C83">
        <w:rPr>
          <w:rFonts w:eastAsia="Calibri"/>
        </w:rPr>
        <w:t>Table 3.1.1 (ASCR Reference Architecture Enforcement Points, EP-01 through EP-19) is maintained in the companion workbook; see the callout below.</w:t>
      </w:r>
    </w:p>
    <w:tbl>
      <w:tblPr>
        <w:tblStyle w:val="ac"/>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F43A1" w:rsidRPr="00E66C83" w14:paraId="1D1C13FB" w14:textId="77777777">
        <w:tc>
          <w:tcPr>
            <w:tcW w:w="10080" w:type="dxa"/>
            <w:tcBorders>
              <w:top w:val="single" w:sz="8" w:space="0" w:color="E0A94A"/>
              <w:left w:val="single" w:sz="8" w:space="0" w:color="E0A94A"/>
              <w:bottom w:val="single" w:sz="8" w:space="0" w:color="E0A94A"/>
              <w:right w:val="single" w:sz="8" w:space="0" w:color="E0A94A"/>
            </w:tcBorders>
            <w:shd w:val="clear" w:color="auto" w:fill="FBF3E3"/>
            <w:tcMar>
              <w:top w:w="160" w:type="dxa"/>
              <w:left w:w="200" w:type="dxa"/>
              <w:bottom w:w="160" w:type="dxa"/>
              <w:right w:w="200" w:type="dxa"/>
            </w:tcMar>
          </w:tcPr>
          <w:p w14:paraId="5DCD03EA" w14:textId="77777777" w:rsidR="007F43A1" w:rsidRPr="00E66C83" w:rsidRDefault="00000000" w:rsidP="00917293">
            <w:pPr>
              <w:pStyle w:val="P0-Paragraph"/>
              <w:jc w:val="left"/>
            </w:pPr>
            <w:r w:rsidRPr="00E66C83">
              <w:rPr>
                <w:rFonts w:eastAsia="Calibri"/>
              </w:rPr>
              <w:t>Companion Workbook - Table 3.1.1</w:t>
            </w:r>
            <w:r w:rsidRPr="00E66C83">
              <w:rPr>
                <w:rFonts w:eastAsia="Calibri"/>
              </w:rPr>
              <w:br/>
              <w:t>The complete enforcement-point map for EP-01 through EP-19 is maintained in ASCR-05-OE01-Reference-Tables.xlsx, sheet “3.1 Enforcement Points.” EP-17 through EP-19 are conditional ASCR-16 extensions and are marked Not Applicable when C7 is not used by the deployment. The map records location, ASCR control, function, evidence record produced, default failure mode, regulatory mapping or authoritative cross-reference, and deployment-specific implementation status.</w:t>
            </w:r>
          </w:p>
        </w:tc>
      </w:tr>
    </w:tbl>
    <w:p w14:paraId="59375435" w14:textId="77777777" w:rsidR="007F43A1" w:rsidRPr="00E66C83" w:rsidRDefault="00000000" w:rsidP="00917293">
      <w:pPr>
        <w:pStyle w:val="HS-Heading2"/>
      </w:pPr>
      <w:r w:rsidRPr="00E66C83">
        <w:rPr>
          <w:rFonts w:eastAsia="Calibri"/>
        </w:rPr>
        <w:t>3.2 Evidence generation mechanism annotation</w:t>
      </w:r>
    </w:p>
    <w:p w14:paraId="3AA64ECB" w14:textId="77777777" w:rsidR="007F43A1" w:rsidRPr="00E66C83" w:rsidRDefault="00000000" w:rsidP="00917293">
      <w:pPr>
        <w:pStyle w:val="P0-Paragraph"/>
      </w:pPr>
      <w:r w:rsidRPr="00E66C83">
        <w:rPr>
          <w:rFonts w:eastAsia="Calibri"/>
        </w:rPr>
        <w:t>The companion workbook's Evidence Record Produced and Regulatory Provision / Authoritative Cross-Reference columns provide the enforcement-point-level evidence and mapping annotation for all enforcement points. This section provides additional narrative annotation for the three enforcement points that carry the greatest Physical Impact Attribution evidentiary weight: which artifact produces the evidence record, what that record contains, and which regulatory provision or authoritative ASCR cross-reference it is designed to support. Physical Impact Attribution is the ASCR-defined forensic process for reconstructing the execution chain from goal specification to physical actuation using ASCR-07 and ASCR-05 evidence records. It is not a term defined by any cited regulation.</w:t>
      </w:r>
    </w:p>
    <w:p w14:paraId="19299DE9" w14:textId="77777777" w:rsidR="007F43A1" w:rsidRPr="00E66C83" w:rsidRDefault="00000000" w:rsidP="00917293">
      <w:pPr>
        <w:pStyle w:val="P0-Paragraph"/>
      </w:pPr>
      <w:r w:rsidRPr="00E66C83">
        <w:rPr>
          <w:rFonts w:eastAsia="Calibri"/>
        </w:rPr>
        <w:t>Three enforcement points carry the heaviest evidentiary weight in Physical Impact Attribution proceedings and merit specific annotation.</w:t>
      </w:r>
    </w:p>
    <w:p w14:paraId="6C9BB727" w14:textId="77777777" w:rsidR="007F43A1" w:rsidRPr="00E66C83" w:rsidRDefault="00000000" w:rsidP="00917293">
      <w:pPr>
        <w:pStyle w:val="P0-Paragraph"/>
      </w:pPr>
      <w:r w:rsidRPr="00917293">
        <w:rPr>
          <w:rStyle w:val="CS-Keyword"/>
        </w:rPr>
        <w:t>EP-12: ASCR-07 Decision Log.</w:t>
      </w:r>
      <w:r w:rsidRPr="00917293">
        <w:rPr>
          <w:rFonts w:eastAsiaTheme="minorHAnsi"/>
        </w:rPr>
        <w:t xml:space="preserve"> The decision log in Zone 2's interior is the central evidence repository for the entire forward signal path. Its canonical planning-cycle schema, defined authoritatively in ASCR-07 Section 1.1 and the ASCR-</w:t>
      </w:r>
      <w:r w:rsidRPr="00917293">
        <w:rPr>
          <w:rFonts w:eastAsiaTheme="minorHAnsi"/>
        </w:rPr>
        <w:lastRenderedPageBreak/>
        <w:t>07 schema reference, captures the decision-state evidence required to reconstruct the planning cycle that authorized a Physical Impact Action, including: the goal (</w:t>
      </w:r>
      <w:proofErr w:type="spellStart"/>
      <w:r w:rsidRPr="00917293">
        <w:rPr>
          <w:rFonts w:eastAsiaTheme="minorHAnsi"/>
        </w:rPr>
        <w:t>goal_hash</w:t>
      </w:r>
      <w:proofErr w:type="spellEnd"/>
      <w:r w:rsidRPr="00917293">
        <w:rPr>
          <w:rFonts w:eastAsiaTheme="minorHAnsi"/>
        </w:rPr>
        <w:t>), the context before and after reasoning (</w:t>
      </w:r>
      <w:proofErr w:type="spellStart"/>
      <w:r w:rsidRPr="00917293">
        <w:rPr>
          <w:rFonts w:eastAsiaTheme="minorHAnsi"/>
        </w:rPr>
        <w:t>context_hash_before</w:t>
      </w:r>
      <w:proofErr w:type="spellEnd"/>
      <w:r w:rsidRPr="00917293">
        <w:rPr>
          <w:rFonts w:eastAsiaTheme="minorHAnsi"/>
        </w:rPr>
        <w:t>/after), the behavioral deviation measurement (</w:t>
      </w:r>
      <w:proofErr w:type="spellStart"/>
      <w:r w:rsidRPr="00917293">
        <w:rPr>
          <w:rFonts w:eastAsiaTheme="minorHAnsi"/>
        </w:rPr>
        <w:t>divergence_score</w:t>
      </w:r>
      <w:proofErr w:type="spellEnd"/>
      <w:r w:rsidRPr="00917293">
        <w:rPr>
          <w:rFonts w:eastAsiaTheme="minorHAnsi"/>
        </w:rPr>
        <w:t>), the specific tool invoked (</w:t>
      </w:r>
      <w:proofErr w:type="spellStart"/>
      <w:r w:rsidRPr="00917293">
        <w:rPr>
          <w:rFonts w:eastAsiaTheme="minorHAnsi"/>
        </w:rPr>
        <w:t>tool_invoked</w:t>
      </w:r>
      <w:proofErr w:type="spellEnd"/>
      <w:r w:rsidRPr="00917293">
        <w:rPr>
          <w:rFonts w:eastAsiaTheme="minorHAnsi"/>
        </w:rPr>
        <w:t>), whether physical actuation was triggered (</w:t>
      </w:r>
      <w:proofErr w:type="spellStart"/>
      <w:r w:rsidRPr="00917293">
        <w:rPr>
          <w:rFonts w:eastAsiaTheme="minorHAnsi"/>
        </w:rPr>
        <w:t>actuation_triggered</w:t>
      </w:r>
      <w:proofErr w:type="spellEnd"/>
      <w:r w:rsidRPr="00917293">
        <w:rPr>
          <w:rFonts w:eastAsiaTheme="minorHAnsi"/>
        </w:rPr>
        <w:t>), the authorization chain (</w:t>
      </w:r>
      <w:proofErr w:type="spellStart"/>
      <w:r w:rsidRPr="00917293">
        <w:rPr>
          <w:rFonts w:eastAsiaTheme="minorHAnsi"/>
        </w:rPr>
        <w:t>auth_chain</w:t>
      </w:r>
      <w:proofErr w:type="spellEnd"/>
      <w:r w:rsidRPr="00917293">
        <w:rPr>
          <w:rFonts w:eastAsiaTheme="minorHAnsi"/>
        </w:rPr>
        <w:t>), and the cryptographic integrity proof (</w:t>
      </w:r>
      <w:proofErr w:type="spellStart"/>
      <w:r w:rsidRPr="00917293">
        <w:rPr>
          <w:rFonts w:eastAsiaTheme="minorHAnsi"/>
        </w:rPr>
        <w:t>integrity_sig</w:t>
      </w:r>
      <w:proofErr w:type="spellEnd"/>
      <w:r w:rsidRPr="00917293">
        <w:rPr>
          <w:rFonts w:eastAsiaTheme="minorHAnsi"/>
        </w:rPr>
        <w:t>). The ascr07_record_id field in the ASCR-04 gateway invocation record links every tool invocation back to this planning cycle record. The Merkle-tree append-only chain enables detection of record alteration or deletion, assuming the Merkle root is stored in a tamper-evident external anchor (e.g., HSM-backed or append-only transparency log). The primary ASCR-07 evidence store may remain logically within Zone 2. Any WORM repository, physically separate replica, transparency service, or other Merkle-root anchor implemented outside that zone is a supporting security dependency and must be represented in the deployment-specific ASCR-05 instance as a documented zone/</w:t>
      </w:r>
      <w:proofErr w:type="gramStart"/>
      <w:r w:rsidRPr="00917293">
        <w:rPr>
          <w:rFonts w:eastAsiaTheme="minorHAnsi"/>
        </w:rPr>
        <w:t>conduit</w:t>
      </w:r>
      <w:proofErr w:type="gramEnd"/>
      <w:r w:rsidRPr="00917293">
        <w:rPr>
          <w:rFonts w:eastAsiaTheme="minorHAnsi"/>
        </w:rPr>
        <w:t>, external service, or equivalent architectural dependency with its permitted data flow and protection requirements.</w:t>
      </w:r>
    </w:p>
    <w:p w14:paraId="2CCE4642" w14:textId="77777777" w:rsidR="007F43A1" w:rsidRPr="00E66C83" w:rsidRDefault="00000000" w:rsidP="00917293">
      <w:pPr>
        <w:pStyle w:val="P0-Paragraph"/>
      </w:pPr>
      <w:r w:rsidRPr="00917293">
        <w:rPr>
          <w:rStyle w:val="CS-Keyword"/>
        </w:rPr>
        <w:t>EP-10: Physical Impact Gate.</w:t>
      </w:r>
      <w:r w:rsidRPr="00917293">
        <w:rPr>
          <w:rFonts w:eastAsiaTheme="minorHAnsi"/>
        </w:rPr>
        <w:t xml:space="preserve"> The physical impact gate at Conduit C3 translates the ASCR-06 step-ahead verdict into the gateway enforcement decision. A HOLD verdict produces linked evidence consisting of the ASCR-04 gateway invocation record with verdict HOLD and the applicable </w:t>
      </w:r>
      <w:proofErr w:type="spellStart"/>
      <w:r w:rsidRPr="00917293">
        <w:rPr>
          <w:rFonts w:eastAsiaTheme="minorHAnsi"/>
        </w:rPr>
        <w:t>verdict_code</w:t>
      </w:r>
      <w:proofErr w:type="spellEnd"/>
      <w:r w:rsidRPr="00917293">
        <w:rPr>
          <w:rFonts w:eastAsiaTheme="minorHAnsi"/>
        </w:rPr>
        <w:t xml:space="preserve">, delivered to the ASCR-07 evidence path and linked through ascr07_record_id; the ASCR-06 hold-activation record with the step-ahead verdict details and relevant physical-system state; and the circuit-breaker hold-propagation record. The deployment-specific DP-03 maximum safe-response latency is the binding timing requirement. A P99.9 ≤ 50 </w:t>
      </w:r>
      <w:proofErr w:type="spellStart"/>
      <w:r w:rsidRPr="00917293">
        <w:rPr>
          <w:rFonts w:eastAsiaTheme="minorHAnsi"/>
        </w:rPr>
        <w:t>ms</w:t>
      </w:r>
      <w:proofErr w:type="spellEnd"/>
      <w:r w:rsidRPr="00917293">
        <w:rPr>
          <w:rFonts w:eastAsiaTheme="minorHAnsi"/>
        </w:rPr>
        <w:t xml:space="preserve"> value may be used only as an illustrative reference target when it is consistent with the deployment-specific DP-03; it is not a universal default. If the required DP-03 bound cannot be met by the governed actuation path, that actuation class must not be exposed to agent control until an architecture capable of meeting the bound is implemented and validated. For qualifying RPLD proceedings, Article 9 addresses disclosure of relevant evidence and Article 10 addresses rebuttable presumptions; an ASCR evidence gap does not by itself establish an Article 10 presumption.</w:t>
      </w:r>
    </w:p>
    <w:p w14:paraId="006A2BD2" w14:textId="77777777" w:rsidR="007F43A1" w:rsidRPr="00E66C83" w:rsidRDefault="00000000" w:rsidP="00917293">
      <w:pPr>
        <w:pStyle w:val="P0-Paragraph"/>
      </w:pPr>
      <w:r w:rsidRPr="00917293">
        <w:rPr>
          <w:rStyle w:val="CS-Keyword"/>
        </w:rPr>
        <w:t>EP-16: Vendor Conduit.</w:t>
      </w:r>
      <w:r w:rsidRPr="00917293">
        <w:rPr>
          <w:rFonts w:eastAsiaTheme="minorHAnsi"/>
        </w:rPr>
        <w:t xml:space="preserve"> The vendor </w:t>
      </w:r>
      <w:proofErr w:type="gramStart"/>
      <w:r w:rsidRPr="00917293">
        <w:rPr>
          <w:rFonts w:eastAsiaTheme="minorHAnsi"/>
        </w:rPr>
        <w:t>conduit</w:t>
      </w:r>
      <w:proofErr w:type="gramEnd"/>
      <w:r w:rsidRPr="00917293">
        <w:rPr>
          <w:rFonts w:eastAsiaTheme="minorHAnsi"/>
        </w:rPr>
        <w:t xml:space="preserve"> enforcement at C6a and C6b is the supply-chain attack-surface control for vendor-supplied components entering Zones 2 and 1, respectively. Its evidence record includes the AI-BOM version record, vendor attestation/provenance verification evidence, and the ASCR-10 change-authorization reference. This supports C-SCRM provenance and component-authenticity evidence consistent with NIST SP 800-161 Rev. 1 Update 1 and the relevant NIST SP 800-53 supply-chain controls. For the EU AI Act, Article 11 and Annex IV are the primary technical-documentation anchors for system/component description and change documentation; Article 13 applies where the information is part of an applicable transparency obligation. This enforcement point is the primary ASCR-05 architectural defense associated with local mapping T-CPS-011.</w:t>
      </w:r>
    </w:p>
    <w:p w14:paraId="041FC29A" w14:textId="77777777" w:rsidR="007F43A1" w:rsidRPr="00E66C83" w:rsidRDefault="00000000" w:rsidP="00917293">
      <w:pPr>
        <w:pStyle w:val="HS-Heading1"/>
      </w:pPr>
      <w:r w:rsidRPr="00E66C83">
        <w:t>Section 4 - IEC 62443 zone and conduit model</w:t>
      </w:r>
    </w:p>
    <w:p w14:paraId="517940F9" w14:textId="77777777" w:rsidR="007F43A1" w:rsidRPr="00E66C83" w:rsidRDefault="00000000" w:rsidP="00917293">
      <w:pPr>
        <w:pStyle w:val="HS-Heading2"/>
      </w:pPr>
      <w:r w:rsidRPr="00E66C83">
        <w:rPr>
          <w:rFonts w:eastAsia="Calibri"/>
        </w:rPr>
        <w:t>4.1 Zone security level assignments</w:t>
      </w:r>
    </w:p>
    <w:p w14:paraId="33BE6A2E" w14:textId="77777777" w:rsidR="007F43A1" w:rsidRPr="00E66C83" w:rsidRDefault="00000000" w:rsidP="00917293">
      <w:pPr>
        <w:pStyle w:val="P0-Paragraph"/>
      </w:pPr>
      <w:r w:rsidRPr="00E66C83">
        <w:rPr>
          <w:rFonts w:eastAsia="Calibri"/>
        </w:rPr>
        <w:t xml:space="preserve">IEC 62443-3-2 requires risk-based determination and documentation of a Target Security Level (SL-T) for each applicable zone and </w:t>
      </w:r>
      <w:proofErr w:type="gramStart"/>
      <w:r w:rsidRPr="00E66C83">
        <w:rPr>
          <w:rFonts w:eastAsia="Calibri"/>
        </w:rPr>
        <w:t>conduit</w:t>
      </w:r>
      <w:proofErr w:type="gramEnd"/>
      <w:r w:rsidRPr="00E66C83">
        <w:rPr>
          <w:rFonts w:eastAsia="Calibri"/>
        </w:rPr>
        <w:t>. System capability security levels (SL-C) are defined through IEC 62443-3-3, with component capability requirements addressed by IEC 62443-4-2. ASCR-05 records the proposed SL-T and the capability expected of systems and components used to satisfy that target.</w:t>
      </w:r>
    </w:p>
    <w:p w14:paraId="2AFC3982" w14:textId="77777777" w:rsidR="007F43A1" w:rsidRPr="00E66C83" w:rsidRDefault="00000000" w:rsidP="00917293">
      <w:pPr>
        <w:pStyle w:val="P0-Paragraph"/>
      </w:pPr>
      <w:r w:rsidRPr="00E66C83">
        <w:rPr>
          <w:rFonts w:eastAsia="Calibri"/>
        </w:rPr>
        <w:t>The SL assignments in the companion workbook are proposed mappings of IEC 62443-3-2 Target Security Levels to the ASCR agentic deployment context. IEC 62443-3-2 does not define SL assignments for LLM-driven agent architectures; these assignments represent the authors' interpretation of the standard applied to a novel threat surface and should be reviewed by a qualified IEC 62443 assessor before use in a formal compliance submission.</w:t>
      </w:r>
    </w:p>
    <w:p w14:paraId="2936FF0E" w14:textId="77777777" w:rsidR="007F43A1" w:rsidRPr="00E66C83" w:rsidRDefault="00000000" w:rsidP="00917293">
      <w:pPr>
        <w:pStyle w:val="P0-Paragraph"/>
      </w:pPr>
      <w:r w:rsidRPr="00917293">
        <w:rPr>
          <w:rStyle w:val="CS-Keyword"/>
        </w:rPr>
        <w:lastRenderedPageBreak/>
        <w:t>IEC 62443 parts used by ASCR-05:</w:t>
      </w:r>
      <w:r w:rsidRPr="00917293">
        <w:rPr>
          <w:rFonts w:eastAsiaTheme="minorHAnsi"/>
        </w:rPr>
        <w:t xml:space="preserve"> IEC 62443-2-1 addresses the asset-owner security program; IEC 62443-3-2 governs system risk assessment, zones, conduits, and SL-T; IEC </w:t>
      </w:r>
      <w:proofErr w:type="gramStart"/>
      <w:r w:rsidRPr="00917293">
        <w:rPr>
          <w:rFonts w:eastAsiaTheme="minorHAnsi"/>
        </w:rPr>
        <w:t>62443-3-3</w:t>
      </w:r>
      <w:proofErr w:type="gramEnd"/>
      <w:r w:rsidRPr="00917293">
        <w:rPr>
          <w:rFonts w:eastAsiaTheme="minorHAnsi"/>
        </w:rPr>
        <w:t xml:space="preserve"> defines system security requirements and capability security levels; IEC 62443-4-1 addresses secure product-development lifecycle requirements; and IEC 62443-4-2 defines component security requirements.</w:t>
      </w:r>
    </w:p>
    <w:tbl>
      <w:tblPr>
        <w:tblStyle w:val="ad"/>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F43A1" w:rsidRPr="00E66C83" w14:paraId="59BA334B" w14:textId="77777777">
        <w:tc>
          <w:tcPr>
            <w:tcW w:w="10080" w:type="dxa"/>
            <w:tcBorders>
              <w:top w:val="single" w:sz="8" w:space="0" w:color="E0A94A"/>
              <w:left w:val="single" w:sz="8" w:space="0" w:color="E0A94A"/>
              <w:bottom w:val="single" w:sz="8" w:space="0" w:color="E0A94A"/>
              <w:right w:val="single" w:sz="8" w:space="0" w:color="E0A94A"/>
            </w:tcBorders>
            <w:shd w:val="clear" w:color="auto" w:fill="FBF3E3"/>
            <w:tcMar>
              <w:top w:w="160" w:type="dxa"/>
              <w:left w:w="200" w:type="dxa"/>
              <w:bottom w:w="160" w:type="dxa"/>
              <w:right w:w="200" w:type="dxa"/>
            </w:tcMar>
          </w:tcPr>
          <w:p w14:paraId="3DE372DC" w14:textId="77777777" w:rsidR="007F43A1" w:rsidRPr="00E66C83" w:rsidRDefault="00000000">
            <w:r w:rsidRPr="00E66C83">
              <w:rPr>
                <w:rFonts w:ascii="Calibri" w:eastAsia="Calibri" w:hAnsi="Calibri" w:cs="Calibri"/>
                <w:sz w:val="19"/>
                <w:szCs w:val="19"/>
              </w:rPr>
              <w:t>Companion Workbook - Table 4.1.1</w:t>
            </w:r>
            <w:r w:rsidRPr="00E66C83">
              <w:rPr>
                <w:rFonts w:ascii="Calibri" w:eastAsia="Calibri" w:hAnsi="Calibri" w:cs="Calibri"/>
                <w:sz w:val="19"/>
                <w:szCs w:val="19"/>
              </w:rPr>
              <w:br/>
              <w:t>The Zone Security Level Assignment table (Zone 1-4: zone name, SL-T, required capability basis, declared/achieved SL-C and gap, primary risk driver, key controls) is maintained in ASCR-05-OE01-Reference-Tables.xlsx, sheet “4.1 Zone SL Assignments,” including the assessor-review caveat above.</w:t>
            </w:r>
          </w:p>
        </w:tc>
      </w:tr>
    </w:tbl>
    <w:p w14:paraId="574EA820" w14:textId="77777777" w:rsidR="007F43A1" w:rsidRPr="00E66C83" w:rsidRDefault="00000000" w:rsidP="00917293">
      <w:pPr>
        <w:pStyle w:val="HS-Heading2"/>
      </w:pPr>
      <w:r w:rsidRPr="00E66C83">
        <w:rPr>
          <w:rFonts w:eastAsia="Calibri"/>
        </w:rPr>
        <w:t>4.2 Conduit security requirements</w:t>
      </w:r>
    </w:p>
    <w:p w14:paraId="7F94B255" w14:textId="77777777" w:rsidR="007F43A1" w:rsidRPr="00E66C83" w:rsidRDefault="00000000" w:rsidP="00917293">
      <w:pPr>
        <w:pStyle w:val="P0-Paragraph"/>
      </w:pPr>
      <w:r w:rsidRPr="00E66C83">
        <w:rPr>
          <w:rFonts w:eastAsia="Calibri"/>
        </w:rPr>
        <w:t xml:space="preserve">For internal ASCR zone-to-zone conduits, the higher adjacent-zone SL-T may be used as a conservative starting baseline. For conduits with an External, Vendor, or cloud-side endpoint, do not assign a pseudo-zone SL-T to the external endpoint; establish the conduit SL-T through the deployment-specific IEC 62443-3-2 risk assessment using the connected ASCR zone and the external trust/consequence profile as inputs. In all cases, the final conduit SL-T must be derived and documented through the </w:t>
      </w:r>
      <w:proofErr w:type="gramStart"/>
      <w:r w:rsidRPr="00E66C83">
        <w:rPr>
          <w:rFonts w:eastAsia="Calibri"/>
        </w:rPr>
        <w:t>conduit</w:t>
      </w:r>
      <w:proofErr w:type="gramEnd"/>
      <w:r w:rsidRPr="00E66C83">
        <w:rPr>
          <w:rFonts w:eastAsia="Calibri"/>
        </w:rPr>
        <w:t xml:space="preserve">-specific IEC 62443-3-2 risk assessment and may be higher or otherwise tailored where the documented risk analysis requires it. </w:t>
      </w:r>
      <w:proofErr w:type="gramStart"/>
      <w:r w:rsidRPr="00E66C83">
        <w:rPr>
          <w:rFonts w:eastAsia="Calibri"/>
        </w:rPr>
        <w:t>Conduit</w:t>
      </w:r>
      <w:proofErr w:type="gramEnd"/>
      <w:r w:rsidRPr="00E66C83">
        <w:rPr>
          <w:rFonts w:eastAsia="Calibri"/>
        </w:rPr>
        <w:t xml:space="preserve"> C3, connecting Zone 2 to Zone 3, is the conduit against which ASCR-04's seven-layer enforcement architecture is specified.</w:t>
      </w:r>
    </w:p>
    <w:p w14:paraId="068A5780" w14:textId="77777777" w:rsidR="007F43A1" w:rsidRPr="00E66C83" w:rsidRDefault="00000000" w:rsidP="00917293">
      <w:pPr>
        <w:pStyle w:val="P0-Paragraph"/>
      </w:pPr>
      <w:r w:rsidRPr="00917293">
        <w:rPr>
          <w:rStyle w:val="CS-Keyword"/>
        </w:rPr>
        <w:t>Conduit channel protection:</w:t>
      </w:r>
      <w:r w:rsidRPr="00917293">
        <w:rPr>
          <w:rFonts w:eastAsiaTheme="minorHAnsi"/>
        </w:rPr>
        <w:t xml:space="preserve"> Each deployment-specific conduit must document risk-appropriate endpoint or source authentication, authorization, communication integrity, confidentiality where required by data classification and risk, permitted direction and return path, and freshness or replay protection where required. The companion workbook records these requirements and the deployment-specific risk-assessment reference. Specific IEC 62443-3-3 system-requirement mappings are recorded only where they are applicable to the deployed mechanism; ASCR-05 does not assert a universal SR 3.1 / SR 4.1 mapping for every </w:t>
      </w:r>
      <w:proofErr w:type="gramStart"/>
      <w:r w:rsidRPr="00917293">
        <w:rPr>
          <w:rFonts w:eastAsiaTheme="minorHAnsi"/>
        </w:rPr>
        <w:t>conduit</w:t>
      </w:r>
      <w:proofErr w:type="gramEnd"/>
      <w:r w:rsidRPr="00917293">
        <w:rPr>
          <w:rFonts w:eastAsiaTheme="minorHAnsi"/>
        </w:rPr>
        <w:t>.</w:t>
      </w:r>
    </w:p>
    <w:p w14:paraId="044B7D48" w14:textId="77777777" w:rsidR="007F43A1" w:rsidRPr="00E66C83" w:rsidRDefault="00000000" w:rsidP="00917293">
      <w:pPr>
        <w:pStyle w:val="P0-Paragraph"/>
      </w:pPr>
      <w:r w:rsidRPr="00917293">
        <w:rPr>
          <w:rStyle w:val="CS-Keyword"/>
        </w:rPr>
        <w:t>Time integrity:</w:t>
      </w:r>
      <w:r w:rsidRPr="00917293">
        <w:rPr>
          <w:rFonts w:eastAsiaTheme="minorHAnsi"/>
        </w:rPr>
        <w:t xml:space="preserve"> Evidence-producing systems in all applicable zones must use an authenticated or otherwise integrity-protected deployment-approved time source and must remain within the deployment-defined maximum clock offset and skew. The architecture must record the time source, permitted skew, and monitoring mechanism. Evidence correlation must not depend solely on an unauthenticated wall clock; ordering identifiers or equivalent monotonic sequencing must be preserved where the underlying ASCR evidence schema provides them. This requirement supports IEC 62443-3-3 SR 2.11.</w:t>
      </w:r>
    </w:p>
    <w:p w14:paraId="5F11D3F9" w14:textId="77777777" w:rsidR="007F43A1" w:rsidRPr="00E66C83" w:rsidRDefault="00000000" w:rsidP="00917293">
      <w:pPr>
        <w:pStyle w:val="P0-Paragraph"/>
      </w:pPr>
      <w:r w:rsidRPr="00917293">
        <w:rPr>
          <w:rStyle w:val="CS-Keyword"/>
        </w:rPr>
        <w:t>Gateway availability and failure behavior:</w:t>
      </w:r>
      <w:r w:rsidRPr="00917293">
        <w:rPr>
          <w:rFonts w:eastAsiaTheme="minorHAnsi"/>
        </w:rPr>
        <w:t xml:space="preserve"> Loss or unavailability of the MCP gateway must not result in an ungoverned PASS path for consequential invocation. The default state for new consequential invocation is no authorization until the enforcement path is restored or an explicitly governed degraded mode applies. Independently implemented functional-safety or machine-safety stop/protective functions must remain operable when the gateway or logging pipeline is unavailable. The deployment architecture must document applicable capacity, redundancy, recovery, and denial-of-service protections for the gateway and evidence pipeline, including IEC 62443-3-3 SR 7.1 where applicable.</w:t>
      </w:r>
    </w:p>
    <w:p w14:paraId="49FDE6BA" w14:textId="77777777" w:rsidR="007F43A1" w:rsidRPr="00E66C83" w:rsidRDefault="00000000" w:rsidP="00917293">
      <w:pPr>
        <w:pStyle w:val="P0-Paragraph"/>
      </w:pPr>
      <w:r w:rsidRPr="00E66C83">
        <w:rPr>
          <w:rFonts w:eastAsia="Calibri"/>
        </w:rPr>
        <w:t xml:space="preserve">A </w:t>
      </w:r>
      <w:proofErr w:type="gramStart"/>
      <w:r w:rsidRPr="00E66C83">
        <w:rPr>
          <w:rFonts w:eastAsia="Calibri"/>
        </w:rPr>
        <w:t>conduit</w:t>
      </w:r>
      <w:proofErr w:type="gramEnd"/>
      <w:r w:rsidRPr="00E66C83">
        <w:rPr>
          <w:rFonts w:eastAsia="Calibri"/>
        </w:rPr>
        <w:t xml:space="preserve"> that is not documented in ASCR-05 is not represented in the ASCR architectural control map. Physical network segmentation and perimeter controls may still apply, but no ASCR-defined enforcement point is documented against the path, no ASCR-07 evidence requirement is mapped to it within this architecture, and no ASCR-15-informed detection coverage is mapped to it within this artifact. For Physical Impact Attribution purposes, an undocumented conduit is a forensic gap regardless of whether other controls exist. Signal paths that exist in the physical deployment but are not represented in the architecture documentation are the most dangerous gaps: they are invisible to mapped detection coverage, unenforceable by mapped gateway controls, and unaccounted for in Physical Impact Attribution </w:t>
      </w:r>
      <w:r w:rsidRPr="00E66C83">
        <w:rPr>
          <w:rFonts w:eastAsia="Calibri"/>
        </w:rPr>
        <w:lastRenderedPageBreak/>
        <w:t xml:space="preserve">proceedings. One of the primary ongoing maintenance obligations of ASCR-05 is </w:t>
      </w:r>
      <w:proofErr w:type="gramStart"/>
      <w:r w:rsidRPr="00E66C83">
        <w:rPr>
          <w:rFonts w:eastAsia="Calibri"/>
        </w:rPr>
        <w:t>ensuring</w:t>
      </w:r>
      <w:proofErr w:type="gramEnd"/>
      <w:r w:rsidRPr="00E66C83">
        <w:rPr>
          <w:rFonts w:eastAsia="Calibri"/>
        </w:rPr>
        <w:t xml:space="preserve"> that the conduit map reflects the actual deployment topology. Any discrepancy identified during ASCR-12 review or post-incident investigation is an immediate architecture update trigger.</w:t>
      </w:r>
    </w:p>
    <w:p w14:paraId="2C893D4C" w14:textId="77777777" w:rsidR="007F43A1" w:rsidRPr="00E66C83" w:rsidRDefault="00000000">
      <w:pPr>
        <w:pStyle w:val="Heading1"/>
        <w:spacing w:before="400" w:after="200"/>
        <w:rPr>
          <w:color w:val="auto"/>
        </w:rPr>
      </w:pPr>
      <w:r w:rsidRPr="00E66C83">
        <w:rPr>
          <w:color w:val="auto"/>
        </w:rPr>
        <w:t>Section 5 - Adversary technique attack path mapping</w:t>
      </w:r>
    </w:p>
    <w:p w14:paraId="28014A47" w14:textId="77777777" w:rsidR="007F43A1" w:rsidRPr="00E66C83" w:rsidRDefault="00000000">
      <w:pPr>
        <w:pStyle w:val="Heading2"/>
        <w:spacing w:before="260" w:after="140"/>
        <w:rPr>
          <w:color w:val="auto"/>
        </w:rPr>
      </w:pPr>
      <w:r w:rsidRPr="00E66C83">
        <w:rPr>
          <w:rFonts w:ascii="Calibri" w:eastAsia="Calibri" w:hAnsi="Calibri" w:cs="Calibri"/>
          <w:color w:val="auto"/>
        </w:rPr>
        <w:t>5.1 ASCR-15-informed threat technique coverage against architecture</w:t>
      </w:r>
    </w:p>
    <w:p w14:paraId="548B4C13" w14:textId="77777777" w:rsidR="007F43A1" w:rsidRPr="00E66C83" w:rsidRDefault="00000000" w:rsidP="00917293">
      <w:pPr>
        <w:pStyle w:val="P0-Paragraph"/>
      </w:pPr>
      <w:r w:rsidRPr="00E66C83">
        <w:rPr>
          <w:rFonts w:eastAsia="Calibri"/>
        </w:rPr>
        <w:t>Table 5.1.1 (Adversary Technique Attack Paths in Reference Architecture, T-CPS-001 through T-CPS-011) is maintained in the companion workbook; see the callout below.</w:t>
      </w:r>
    </w:p>
    <w:tbl>
      <w:tblPr>
        <w:tblStyle w:val="ae"/>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F43A1" w:rsidRPr="00E66C83" w14:paraId="32F1479B" w14:textId="77777777">
        <w:tc>
          <w:tcPr>
            <w:tcW w:w="10080" w:type="dxa"/>
            <w:tcBorders>
              <w:top w:val="single" w:sz="8" w:space="0" w:color="E0A94A"/>
              <w:left w:val="single" w:sz="8" w:space="0" w:color="E0A94A"/>
              <w:bottom w:val="single" w:sz="8" w:space="0" w:color="E0A94A"/>
              <w:right w:val="single" w:sz="8" w:space="0" w:color="E0A94A"/>
            </w:tcBorders>
            <w:shd w:val="clear" w:color="auto" w:fill="FBF3E3"/>
            <w:tcMar>
              <w:top w:w="160" w:type="dxa"/>
              <w:left w:w="200" w:type="dxa"/>
              <w:bottom w:w="160" w:type="dxa"/>
              <w:right w:w="200" w:type="dxa"/>
            </w:tcMar>
          </w:tcPr>
          <w:p w14:paraId="7EF25D46" w14:textId="77777777" w:rsidR="007F43A1" w:rsidRPr="00E66C83" w:rsidRDefault="00000000" w:rsidP="00917293">
            <w:pPr>
              <w:pStyle w:val="P0-Paragraph"/>
              <w:jc w:val="left"/>
            </w:pPr>
            <w:r w:rsidRPr="00E66C83">
              <w:rPr>
                <w:rFonts w:eastAsia="Calibri"/>
              </w:rPr>
              <w:t>Companion Workbook - Table 5.1.1</w:t>
            </w:r>
            <w:r w:rsidRPr="00E66C83">
              <w:rPr>
                <w:rFonts w:eastAsia="Calibri"/>
              </w:rPr>
              <w:br/>
              <w:t>The full ASCR-15-informed threat-technique-to-architecture mapping (CPS Threat Chain stage, entry zone/conduit, target zone, architectural controls, detection point, and ASCR-08 classification guidance for local ASCR-05 mapping identifiers T-CPS-001 through T-CPS-011) is maintained in ASCR-05-OE01-Reference-Tables.xlsx, sheet “5.1 Adversary Techniques.” The T-CPS-001 through T-CPS-011 identifiers are local ASCR-05 architecture-mapping identifiers, not identifiers owned by ASCR-15. ASCR-15 remains authoritative for adversary classes, campaign entry patterns, objective-to-consequence chains, detection coverage, and campaign dwell or lookback analysis.</w:t>
            </w:r>
          </w:p>
        </w:tc>
      </w:tr>
    </w:tbl>
    <w:p w14:paraId="6D54E4D7" w14:textId="77777777" w:rsidR="007F43A1" w:rsidRPr="00E66C83" w:rsidRDefault="00000000" w:rsidP="00917293">
      <w:pPr>
        <w:pStyle w:val="P0-Paragraph"/>
      </w:pPr>
      <w:r w:rsidRPr="00E66C83">
        <w:rPr>
          <w:rFonts w:eastAsia="Calibri"/>
        </w:rPr>
        <w:t xml:space="preserve">Detailed adversary-class response timing, escalation thresholds, and detection tuning are governed by ASCR-08 and ASCR-15. ASCR-05 records only the architectural zones, conduits, enforcement points, and evidence dependencies required by those detection and response mechanisms. Any detection path claimed as </w:t>
      </w:r>
      <w:proofErr w:type="gramStart"/>
      <w:r w:rsidRPr="00E66C83">
        <w:rPr>
          <w:rFonts w:eastAsia="Calibri"/>
        </w:rPr>
        <w:t>a pre</w:t>
      </w:r>
      <w:proofErr w:type="gramEnd"/>
      <w:r w:rsidRPr="00E66C83">
        <w:rPr>
          <w:rFonts w:eastAsia="Calibri"/>
        </w:rPr>
        <w:t>-deployment architectural control must be represented in the enforcement-point map or in the deployment-authorization criteria in Section 6.1.</w:t>
      </w:r>
    </w:p>
    <w:p w14:paraId="6CDBFCA5" w14:textId="77777777" w:rsidR="007F43A1" w:rsidRPr="00E66C83" w:rsidRDefault="00000000">
      <w:pPr>
        <w:pStyle w:val="Heading2"/>
        <w:spacing w:before="260" w:after="140"/>
        <w:rPr>
          <w:color w:val="auto"/>
        </w:rPr>
      </w:pPr>
      <w:r w:rsidRPr="00E66C83">
        <w:rPr>
          <w:rFonts w:ascii="Calibri" w:eastAsia="Calibri" w:hAnsi="Calibri" w:cs="Calibri"/>
          <w:color w:val="auto"/>
        </w:rPr>
        <w:t>5.2 Coverage gaps and residual risk</w:t>
      </w:r>
    </w:p>
    <w:p w14:paraId="4E783F8D" w14:textId="77777777" w:rsidR="007F43A1" w:rsidRPr="00E66C83" w:rsidRDefault="00000000" w:rsidP="00917293">
      <w:pPr>
        <w:pStyle w:val="P0-Paragraph"/>
      </w:pPr>
      <w:r w:rsidRPr="00917293">
        <w:rPr>
          <w:rStyle w:val="CS-Keyword"/>
        </w:rPr>
        <w:t>External segmentation dependency:</w:t>
      </w:r>
      <w:r w:rsidRPr="00917293">
        <w:rPr>
          <w:rFonts w:eastAsiaTheme="minorHAnsi"/>
        </w:rPr>
        <w:t xml:space="preserve"> Coverage claims for attack paths that originate in corporate IT or enter the OT environment through controls outside the ASCR-05 system boundary are conditional on verified deployment evidence for those external segmentation and access-control measures. ASCR-05 must not treat such a technique as fully covered solely because the external control is assumed.</w:t>
      </w:r>
    </w:p>
    <w:p w14:paraId="762AD691" w14:textId="77777777" w:rsidR="007F43A1" w:rsidRPr="00E66C83" w:rsidRDefault="00000000" w:rsidP="00917293">
      <w:pPr>
        <w:pStyle w:val="P0-Paragraph"/>
      </w:pPr>
      <w:r w:rsidRPr="00917293">
        <w:rPr>
          <w:rStyle w:val="CS-Keyword"/>
        </w:rPr>
        <w:t>Gap 1 - Decision-log tampering:</w:t>
      </w:r>
      <w:r w:rsidRPr="00917293">
        <w:rPr>
          <w:rFonts w:eastAsiaTheme="minorHAnsi"/>
        </w:rPr>
        <w:t xml:space="preserve"> Technique T-CPS-008 (Decision Log Tampering) targets the ASCR-07 storage infrastructure directly. Successful ASCR-07 Merkle anchoring and subsequent chain verification make post-write alteration or deletion detectable within the applicable anchored interval; they do not prevent alteration or recover the original record. Where ASCR-07 requires an external witness or other external anchor for the applicable evidence or retention class, that witness or anchor is part of the tamper-evidence basis. The residual risk is an evidence gap in Physical Impact Attribution proceedings if log tampering occurs before the chain-integrity violation is detected.</w:t>
      </w:r>
    </w:p>
    <w:p w14:paraId="64766A6A" w14:textId="77777777" w:rsidR="007F43A1" w:rsidRPr="00E66C83" w:rsidRDefault="00000000" w:rsidP="00917293">
      <w:pPr>
        <w:pStyle w:val="P0-Paragraph"/>
      </w:pPr>
      <w:r w:rsidRPr="00917293">
        <w:rPr>
          <w:rStyle w:val="CS-Keyword"/>
        </w:rPr>
        <w:t>Option A - WORM storage:</w:t>
      </w:r>
      <w:r w:rsidRPr="00917293">
        <w:rPr>
          <w:rFonts w:eastAsiaTheme="minorHAnsi"/>
        </w:rPr>
        <w:t xml:space="preserve"> use write-once storage for primary ASCR-07 records, with the WORM volume accessible only to the logging pipeline and not to the agent workload or orchestration infrastructure.</w:t>
      </w:r>
    </w:p>
    <w:p w14:paraId="2DDD5A85" w14:textId="77777777" w:rsidR="007F43A1" w:rsidRPr="00E66C83" w:rsidRDefault="00000000" w:rsidP="00917293">
      <w:pPr>
        <w:pStyle w:val="P0-Paragraph"/>
      </w:pPr>
      <w:r w:rsidRPr="00917293">
        <w:rPr>
          <w:rStyle w:val="CS-Keyword"/>
        </w:rPr>
        <w:t>Option B - Synchronous replication:</w:t>
      </w:r>
      <w:r w:rsidRPr="00917293">
        <w:rPr>
          <w:rFonts w:eastAsiaTheme="minorHAnsi"/>
        </w:rPr>
        <w:t xml:space="preserve"> replicate each ASCR-07 record synchronously to a secondary integrity-protected replica on physically separate infrastructure before the gateway returns a verdict to the calling workload.</w:t>
      </w:r>
    </w:p>
    <w:p w14:paraId="1FE67D61" w14:textId="77777777" w:rsidR="007F43A1" w:rsidRPr="00E66C83" w:rsidRDefault="00000000" w:rsidP="00917293">
      <w:pPr>
        <w:pStyle w:val="P0-Paragraph"/>
      </w:pPr>
      <w:r w:rsidRPr="00917293">
        <w:rPr>
          <w:rStyle w:val="CS-Keyword"/>
        </w:rPr>
        <w:lastRenderedPageBreak/>
        <w:t>Gap 1 deployment requirement:</w:t>
      </w:r>
      <w:r w:rsidRPr="00917293">
        <w:rPr>
          <w:rFonts w:eastAsiaTheme="minorHAnsi"/>
        </w:rPr>
        <w:t xml:space="preserve"> at least one of Option A or Option B must be implemented and documented in the deployment's ASCR-05 instance before deployment is authorized. The infrastructure configuration for the selected option is authorized through the ASCR-10 change-authorization workflow. Owner: Security/IR Lead, with CISO sign-off.</w:t>
      </w:r>
    </w:p>
    <w:p w14:paraId="6864BCA4" w14:textId="77777777" w:rsidR="007F43A1" w:rsidRPr="00E66C83" w:rsidRDefault="00000000" w:rsidP="00917293">
      <w:pPr>
        <w:pStyle w:val="P0-Paragraph"/>
      </w:pPr>
      <w:r w:rsidRPr="00917293">
        <w:rPr>
          <w:rStyle w:val="CS-Keyword"/>
        </w:rPr>
        <w:t>Gap 2 - Zone 1 / Zone 2 co-location:</w:t>
      </w:r>
      <w:r w:rsidRPr="00917293">
        <w:rPr>
          <w:rFonts w:eastAsiaTheme="minorHAnsi"/>
        </w:rPr>
        <w:t xml:space="preserve"> where the AI Services Zone and Orchestration Zone are co-located on the same compute infrastructure, the C2 conduit between them is a logical boundary rather than a physical one. The TEE attestation enforcement at EP-03 partially mitigates this, but the zone boundary's enforcement strength is reduced compared to a physically separated deployment. This architectural decision must be documented explicitly in the ASCR-05 instance and disclosed to the Regulatory/Compliance Officer, who must assess whether the reduced boundary strength affects any regulatory provision that requires physical separation.</w:t>
      </w:r>
    </w:p>
    <w:p w14:paraId="7BA5C793" w14:textId="77777777" w:rsidR="007F43A1" w:rsidRPr="00E66C83" w:rsidRDefault="00000000" w:rsidP="00917293">
      <w:pPr>
        <w:pStyle w:val="HS-Heading1"/>
      </w:pPr>
      <w:r w:rsidRPr="00E66C83">
        <w:t>Section 6 - Deployment instantiation requirements</w:t>
      </w:r>
    </w:p>
    <w:p w14:paraId="21E6571A" w14:textId="77777777" w:rsidR="007F43A1" w:rsidRPr="00E66C83" w:rsidRDefault="00000000" w:rsidP="00917293">
      <w:pPr>
        <w:pStyle w:val="HS-Heading2"/>
      </w:pPr>
      <w:r w:rsidRPr="00E66C83">
        <w:rPr>
          <w:rFonts w:eastAsia="Calibri"/>
        </w:rPr>
        <w:t>6.1 Reference architecture instantiation</w:t>
      </w:r>
    </w:p>
    <w:p w14:paraId="7FD088E1" w14:textId="0C1779B1" w:rsidR="007F43A1" w:rsidRPr="00E66C83" w:rsidRDefault="00000000" w:rsidP="00917293">
      <w:pPr>
        <w:pStyle w:val="P0-Paragraph"/>
      </w:pPr>
      <w:r w:rsidRPr="00E66C83">
        <w:rPr>
          <w:rFonts w:eastAsia="Calibri"/>
        </w:rPr>
        <w:t>The reference architecture in this artifact must be instantiated for each specific deployment before ASCR-03 Section 2 deployment scope is finalized. Complete the companion workbook's Section 6.1 deployment registers before authorization. DP-07 records the deployment-governed SVID credential-lifetime policy or policy reference; workload-specific System Inventory entries must conform to DP-07 or identify the approved policy or exception that governs them. DP-08 records the deployment's ASCR-07 Merkle-anchoring configuration and, where ASCR-07 requires an external witness or other external anchor for the applicable evidence or retention class, the corresponding witness or anchor reference and supporting dependency. Deployment authorization uses the consolidated checklist below; all unconditional rows must pass, and conditional rows must pass when their stated condition applies.</w:t>
      </w:r>
    </w:p>
    <w:p w14:paraId="7E2026AE" w14:textId="0DBC4E60" w:rsidR="007F43A1" w:rsidRPr="00917293" w:rsidRDefault="007F43A1">
      <w:pPr>
        <w:rPr>
          <w:rStyle w:val="CS-Keyword"/>
        </w:rPr>
      </w:pPr>
    </w:p>
    <w:tbl>
      <w:tblPr>
        <w:tblStyle w:val="af"/>
        <w:tblW w:w="10080" w:type="dxa"/>
        <w:jc w:val="center"/>
        <w:tblInd w:w="0" w:type="dxa"/>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00" w:firstRow="0" w:lastRow="0" w:firstColumn="0" w:lastColumn="0" w:noHBand="0" w:noVBand="1"/>
      </w:tblPr>
      <w:tblGrid>
        <w:gridCol w:w="1584"/>
        <w:gridCol w:w="5472"/>
        <w:gridCol w:w="1296"/>
        <w:gridCol w:w="1728"/>
      </w:tblGrid>
      <w:tr w:rsidR="007F43A1" w:rsidRPr="00E66C83" w14:paraId="1D3D3046" w14:textId="77777777">
        <w:trPr>
          <w:cantSplit/>
          <w:tblHeader/>
          <w:jc w:val="center"/>
        </w:trPr>
        <w:tc>
          <w:tcPr>
            <w:tcW w:w="1584" w:type="dxa"/>
            <w:shd w:val="clear" w:color="auto" w:fill="E7E6E6"/>
          </w:tcPr>
          <w:p w14:paraId="3278E6A9" w14:textId="77777777" w:rsidR="007F43A1" w:rsidRPr="00917293" w:rsidRDefault="00000000" w:rsidP="00917293">
            <w:pPr>
              <w:pStyle w:val="T0-Table"/>
              <w:rPr>
                <w:rStyle w:val="CS-Keyword"/>
              </w:rPr>
            </w:pPr>
            <w:r w:rsidRPr="00917293">
              <w:rPr>
                <w:rStyle w:val="CS-Keyword"/>
              </w:rPr>
              <w:t>Category</w:t>
            </w:r>
          </w:p>
        </w:tc>
        <w:tc>
          <w:tcPr>
            <w:tcW w:w="5472" w:type="dxa"/>
            <w:shd w:val="clear" w:color="auto" w:fill="E7E6E6"/>
          </w:tcPr>
          <w:p w14:paraId="6335A833" w14:textId="77777777" w:rsidR="007F43A1" w:rsidRPr="00917293" w:rsidRDefault="00000000" w:rsidP="00917293">
            <w:pPr>
              <w:pStyle w:val="T0-Table"/>
              <w:rPr>
                <w:rStyle w:val="CS-Keyword"/>
              </w:rPr>
            </w:pPr>
            <w:r w:rsidRPr="00917293">
              <w:rPr>
                <w:rStyle w:val="CS-Keyword"/>
              </w:rPr>
              <w:t>Requirement / pass criterion</w:t>
            </w:r>
          </w:p>
        </w:tc>
        <w:tc>
          <w:tcPr>
            <w:tcW w:w="1296" w:type="dxa"/>
            <w:shd w:val="clear" w:color="auto" w:fill="E7E6E6"/>
          </w:tcPr>
          <w:p w14:paraId="1C829F52" w14:textId="77777777" w:rsidR="007F43A1" w:rsidRPr="00917293" w:rsidRDefault="00000000" w:rsidP="00917293">
            <w:pPr>
              <w:pStyle w:val="T0-Table"/>
              <w:rPr>
                <w:rStyle w:val="CS-Keyword"/>
              </w:rPr>
            </w:pPr>
            <w:r w:rsidRPr="00917293">
              <w:rPr>
                <w:rStyle w:val="CS-Keyword"/>
              </w:rPr>
              <w:t>Owner</w:t>
            </w:r>
          </w:p>
        </w:tc>
        <w:tc>
          <w:tcPr>
            <w:tcW w:w="1728" w:type="dxa"/>
            <w:shd w:val="clear" w:color="auto" w:fill="E7E6E6"/>
          </w:tcPr>
          <w:p w14:paraId="5A26CAC1" w14:textId="77777777" w:rsidR="007F43A1" w:rsidRPr="00917293" w:rsidRDefault="00000000" w:rsidP="00917293">
            <w:pPr>
              <w:pStyle w:val="T0-Table"/>
              <w:rPr>
                <w:rStyle w:val="CS-Keyword"/>
              </w:rPr>
            </w:pPr>
            <w:r w:rsidRPr="00917293">
              <w:rPr>
                <w:rStyle w:val="CS-Keyword"/>
              </w:rPr>
              <w:t>Additional sign-off</w:t>
            </w:r>
          </w:p>
        </w:tc>
      </w:tr>
      <w:tr w:rsidR="007F43A1" w:rsidRPr="00E66C83" w14:paraId="588024A9" w14:textId="77777777">
        <w:trPr>
          <w:cantSplit/>
          <w:jc w:val="center"/>
        </w:trPr>
        <w:tc>
          <w:tcPr>
            <w:tcW w:w="1584" w:type="dxa"/>
          </w:tcPr>
          <w:p w14:paraId="4F719EF5" w14:textId="77777777" w:rsidR="007F43A1" w:rsidRPr="00E66C83" w:rsidRDefault="00000000" w:rsidP="00917293">
            <w:pPr>
              <w:pStyle w:val="T0-Table"/>
            </w:pPr>
            <w:r w:rsidRPr="00E66C83">
              <w:rPr>
                <w:rFonts w:ascii="Calibri" w:eastAsia="Calibri" w:hAnsi="Calibri" w:cs="Calibri"/>
                <w:sz w:val="18"/>
                <w:szCs w:val="18"/>
              </w:rPr>
              <w:t>System inventory</w:t>
            </w:r>
          </w:p>
        </w:tc>
        <w:tc>
          <w:tcPr>
            <w:tcW w:w="5472" w:type="dxa"/>
          </w:tcPr>
          <w:p w14:paraId="54EBF951" w14:textId="77777777" w:rsidR="007F43A1" w:rsidRPr="00E66C83" w:rsidRDefault="00000000" w:rsidP="00917293">
            <w:pPr>
              <w:pStyle w:val="T0-Table"/>
            </w:pPr>
            <w:r w:rsidRPr="00E66C83">
              <w:rPr>
                <w:rFonts w:ascii="Calibri" w:eastAsia="Calibri" w:hAnsi="Calibri" w:cs="Calibri"/>
                <w:sz w:val="18"/>
                <w:szCs w:val="18"/>
              </w:rPr>
              <w:t>Every Zone 1-4 system or workload is recorded in companion-workbook sheet “6.1 System Inventory” with name, function, vendor or provider, version or build, and ASCR-03 Section 2 reference. Every applicable Zone 4 physical system includes its ASCR-03 Section 6 Safe-State definition reference. Every applicable Zone 2 agent workload includes its SPIFFE ID or equivalent workload identity, trust domain, SVID type and issuer, maximum-validity policy, and ASCR-10 authorized-tool-inventory reference. Where an enterprise CMDB or inventory system is authoritative, its record identifier is also captured.</w:t>
            </w:r>
          </w:p>
        </w:tc>
        <w:tc>
          <w:tcPr>
            <w:tcW w:w="1296" w:type="dxa"/>
          </w:tcPr>
          <w:p w14:paraId="7BC869DF" w14:textId="77777777" w:rsidR="007F43A1" w:rsidRPr="00E66C83" w:rsidRDefault="00000000" w:rsidP="00917293">
            <w:pPr>
              <w:pStyle w:val="T0-Table"/>
            </w:pPr>
            <w:r w:rsidRPr="00E66C83">
              <w:rPr>
                <w:rFonts w:ascii="Calibri" w:eastAsia="Calibri" w:hAnsi="Calibri" w:cs="Calibri"/>
                <w:sz w:val="18"/>
                <w:szCs w:val="18"/>
              </w:rPr>
              <w:t>OT Engineering Lead</w:t>
            </w:r>
          </w:p>
        </w:tc>
        <w:tc>
          <w:tcPr>
            <w:tcW w:w="1728" w:type="dxa"/>
          </w:tcPr>
          <w:p w14:paraId="52927ADC" w14:textId="77777777" w:rsidR="007F43A1" w:rsidRPr="00E66C83" w:rsidRDefault="007F43A1" w:rsidP="00917293">
            <w:pPr>
              <w:pStyle w:val="T0-Table"/>
            </w:pPr>
          </w:p>
        </w:tc>
      </w:tr>
      <w:tr w:rsidR="007F43A1" w:rsidRPr="00E66C83" w14:paraId="1C95677D" w14:textId="77777777">
        <w:trPr>
          <w:cantSplit/>
          <w:jc w:val="center"/>
        </w:trPr>
        <w:tc>
          <w:tcPr>
            <w:tcW w:w="1584" w:type="dxa"/>
          </w:tcPr>
          <w:p w14:paraId="470B3FF6" w14:textId="77777777" w:rsidR="007F43A1" w:rsidRPr="00E66C83" w:rsidRDefault="00000000" w:rsidP="00917293">
            <w:pPr>
              <w:pStyle w:val="T0-Table"/>
            </w:pPr>
            <w:r w:rsidRPr="00E66C83">
              <w:rPr>
                <w:rFonts w:ascii="Calibri" w:eastAsia="Calibri" w:hAnsi="Calibri" w:cs="Calibri"/>
                <w:sz w:val="18"/>
                <w:szCs w:val="18"/>
              </w:rPr>
              <w:t>Conduit topology</w:t>
            </w:r>
          </w:p>
        </w:tc>
        <w:tc>
          <w:tcPr>
            <w:tcW w:w="5472" w:type="dxa"/>
          </w:tcPr>
          <w:p w14:paraId="15A18EAC" w14:textId="77777777" w:rsidR="007F43A1" w:rsidRPr="00E66C83" w:rsidRDefault="00000000" w:rsidP="00917293">
            <w:pPr>
              <w:pStyle w:val="T0-Table"/>
            </w:pPr>
            <w:r w:rsidRPr="00E66C83">
              <w:rPr>
                <w:rFonts w:ascii="Calibri" w:eastAsia="Calibri" w:hAnsi="Calibri" w:cs="Calibri"/>
                <w:sz w:val="18"/>
                <w:szCs w:val="18"/>
              </w:rPr>
              <w:t>Every reference conduit is recorded in the companion workbook with its actual physical or logical implementation or transport, control or policy-decision location, implementation status, deployment-assessed conduit SL-T, governing risk-assessment reference or rationale, and last-verification date. Partially Implemented or Not Implemented conduits require the applicable risk disposition or acceptance reference. A reference conduit may be marked Not Applicable only when that conduit or deployment pattern is genuinely absent; the rationale must be recorded. Any deployment flow absent from the reference architecture must be added with a full enforcement-point specification before authorization.</w:t>
            </w:r>
          </w:p>
        </w:tc>
        <w:tc>
          <w:tcPr>
            <w:tcW w:w="1296" w:type="dxa"/>
          </w:tcPr>
          <w:p w14:paraId="71EB08D7" w14:textId="77777777" w:rsidR="007F43A1" w:rsidRPr="00E66C83" w:rsidRDefault="00000000" w:rsidP="00917293">
            <w:pPr>
              <w:pStyle w:val="T0-Table"/>
            </w:pPr>
            <w:r w:rsidRPr="00E66C83">
              <w:rPr>
                <w:rFonts w:ascii="Calibri" w:eastAsia="Calibri" w:hAnsi="Calibri" w:cs="Calibri"/>
                <w:sz w:val="18"/>
                <w:szCs w:val="18"/>
              </w:rPr>
              <w:t>OT Engineering Lead</w:t>
            </w:r>
          </w:p>
        </w:tc>
        <w:tc>
          <w:tcPr>
            <w:tcW w:w="1728" w:type="dxa"/>
          </w:tcPr>
          <w:p w14:paraId="60BF0E53" w14:textId="77777777" w:rsidR="007F43A1" w:rsidRPr="00E66C83" w:rsidRDefault="00000000" w:rsidP="00917293">
            <w:pPr>
              <w:pStyle w:val="T0-Table"/>
            </w:pPr>
            <w:r w:rsidRPr="00E66C83">
              <w:rPr>
                <w:rFonts w:ascii="Calibri" w:eastAsia="Calibri" w:hAnsi="Calibri" w:cs="Calibri"/>
                <w:sz w:val="18"/>
                <w:szCs w:val="18"/>
              </w:rPr>
              <w:t>Security/IR Lead review</w:t>
            </w:r>
          </w:p>
        </w:tc>
      </w:tr>
      <w:tr w:rsidR="007F43A1" w:rsidRPr="00E66C83" w14:paraId="0ABA7DCD" w14:textId="77777777">
        <w:trPr>
          <w:cantSplit/>
          <w:jc w:val="center"/>
        </w:trPr>
        <w:tc>
          <w:tcPr>
            <w:tcW w:w="1584" w:type="dxa"/>
          </w:tcPr>
          <w:p w14:paraId="2AAFD804" w14:textId="77777777" w:rsidR="007F43A1" w:rsidRPr="00E66C83" w:rsidRDefault="00000000" w:rsidP="00917293">
            <w:pPr>
              <w:pStyle w:val="T0-Table"/>
            </w:pPr>
            <w:r w:rsidRPr="00E66C83">
              <w:rPr>
                <w:rFonts w:ascii="Calibri" w:eastAsia="Calibri" w:hAnsi="Calibri" w:cs="Calibri"/>
                <w:sz w:val="18"/>
                <w:szCs w:val="18"/>
              </w:rPr>
              <w:lastRenderedPageBreak/>
              <w:t>Cross-domain / federation relationships</w:t>
            </w:r>
          </w:p>
        </w:tc>
        <w:tc>
          <w:tcPr>
            <w:tcW w:w="5472" w:type="dxa"/>
          </w:tcPr>
          <w:p w14:paraId="36FECE5F" w14:textId="77777777" w:rsidR="007F43A1" w:rsidRPr="00E66C83" w:rsidRDefault="00000000" w:rsidP="00917293">
            <w:pPr>
              <w:pStyle w:val="T0-Table"/>
            </w:pPr>
            <w:r w:rsidRPr="00E66C83">
              <w:rPr>
                <w:rFonts w:ascii="Calibri" w:eastAsia="Calibri" w:hAnsi="Calibri" w:cs="Calibri"/>
                <w:sz w:val="18"/>
                <w:szCs w:val="18"/>
              </w:rPr>
              <w:t>Where cross-domain workload authentication or federation is used, every authorized directional trust relationship is recorded in sheet “6.1 Federation Relationships,” including the receiving and foreign trust domains, federation direction, relationship status, authorized SPIFFE ID namespace or path scope, accepted trust-material reference, authorization-policy reference, responsible owner, last-verification date, verification state, and applicable SLO-I2/SLO-I6 evidence linkage. Only relationships marked Active form the active federation population for SLO-I6.</w:t>
            </w:r>
          </w:p>
        </w:tc>
        <w:tc>
          <w:tcPr>
            <w:tcW w:w="1296" w:type="dxa"/>
          </w:tcPr>
          <w:p w14:paraId="683FDFD6" w14:textId="77777777" w:rsidR="007F43A1" w:rsidRPr="00E66C83" w:rsidRDefault="00000000" w:rsidP="00917293">
            <w:pPr>
              <w:pStyle w:val="T0-Table"/>
            </w:pPr>
            <w:r w:rsidRPr="00E66C83">
              <w:rPr>
                <w:rFonts w:ascii="Calibri" w:eastAsia="Calibri" w:hAnsi="Calibri" w:cs="Calibri"/>
                <w:sz w:val="18"/>
                <w:szCs w:val="18"/>
              </w:rPr>
              <w:t>Security/IR Lead</w:t>
            </w:r>
          </w:p>
        </w:tc>
        <w:tc>
          <w:tcPr>
            <w:tcW w:w="1728" w:type="dxa"/>
          </w:tcPr>
          <w:p w14:paraId="757AFFF6" w14:textId="77777777" w:rsidR="007F43A1" w:rsidRPr="00E66C83" w:rsidRDefault="00000000" w:rsidP="00917293">
            <w:pPr>
              <w:pStyle w:val="T0-Table"/>
            </w:pPr>
            <w:r w:rsidRPr="00E66C83">
              <w:rPr>
                <w:rFonts w:ascii="Calibri" w:eastAsia="Calibri" w:hAnsi="Calibri" w:cs="Calibri"/>
                <w:sz w:val="18"/>
                <w:szCs w:val="18"/>
              </w:rPr>
              <w:t>AI/ML Engineering Lead review</w:t>
            </w:r>
          </w:p>
        </w:tc>
      </w:tr>
      <w:tr w:rsidR="007F43A1" w:rsidRPr="00E66C83" w14:paraId="4E26375E" w14:textId="77777777">
        <w:trPr>
          <w:cantSplit/>
          <w:jc w:val="center"/>
        </w:trPr>
        <w:tc>
          <w:tcPr>
            <w:tcW w:w="1584" w:type="dxa"/>
          </w:tcPr>
          <w:p w14:paraId="2F78D7A6" w14:textId="77777777" w:rsidR="007F43A1" w:rsidRPr="00E66C83" w:rsidRDefault="00000000" w:rsidP="00917293">
            <w:pPr>
              <w:pStyle w:val="T0-Table"/>
            </w:pPr>
            <w:r w:rsidRPr="00E66C83">
              <w:rPr>
                <w:rFonts w:ascii="Calibri" w:eastAsia="Calibri" w:hAnsi="Calibri" w:cs="Calibri"/>
                <w:sz w:val="18"/>
                <w:szCs w:val="18"/>
              </w:rPr>
              <w:t>Enforcement-point status</w:t>
            </w:r>
          </w:p>
        </w:tc>
        <w:tc>
          <w:tcPr>
            <w:tcW w:w="5472" w:type="dxa"/>
          </w:tcPr>
          <w:p w14:paraId="49F5BB4B" w14:textId="77777777" w:rsidR="007F43A1" w:rsidRPr="00E66C83" w:rsidRDefault="00000000" w:rsidP="00917293">
            <w:pPr>
              <w:pStyle w:val="T0-Table"/>
            </w:pPr>
            <w:r w:rsidRPr="00E66C83">
              <w:rPr>
                <w:rFonts w:ascii="Calibri" w:eastAsia="Calibri" w:hAnsi="Calibri" w:cs="Calibri"/>
                <w:sz w:val="18"/>
                <w:szCs w:val="18"/>
              </w:rPr>
              <w:t>Every EP is marked Implemented, Partially Implemented, Not Implemented, or Not Applicable. Not Applicable is permitted only when the reference enforcement point or conditional deployment pattern is genuinely absent from the deployment, and the rationale must be documented. Any Partially Implemented or Not Implemented status requires the applicable documented risk disposition or risk-acceptance reference.</w:t>
            </w:r>
          </w:p>
        </w:tc>
        <w:tc>
          <w:tcPr>
            <w:tcW w:w="1296" w:type="dxa"/>
          </w:tcPr>
          <w:p w14:paraId="731F0ABA" w14:textId="77777777" w:rsidR="007F43A1" w:rsidRPr="00E66C83" w:rsidRDefault="00000000" w:rsidP="00917293">
            <w:pPr>
              <w:pStyle w:val="T0-Table"/>
            </w:pPr>
            <w:r w:rsidRPr="00E66C83">
              <w:rPr>
                <w:rFonts w:ascii="Calibri" w:eastAsia="Calibri" w:hAnsi="Calibri" w:cs="Calibri"/>
                <w:sz w:val="18"/>
                <w:szCs w:val="18"/>
              </w:rPr>
              <w:t>Security/IR Lead</w:t>
            </w:r>
          </w:p>
        </w:tc>
        <w:tc>
          <w:tcPr>
            <w:tcW w:w="1728" w:type="dxa"/>
          </w:tcPr>
          <w:p w14:paraId="08EB83A6" w14:textId="77777777" w:rsidR="007F43A1" w:rsidRPr="00E66C83" w:rsidRDefault="00000000" w:rsidP="00917293">
            <w:pPr>
              <w:pStyle w:val="T0-Table"/>
            </w:pPr>
            <w:r w:rsidRPr="00E66C83">
              <w:rPr>
                <w:rFonts w:ascii="Calibri" w:eastAsia="Calibri" w:hAnsi="Calibri" w:cs="Calibri"/>
                <w:sz w:val="18"/>
                <w:szCs w:val="18"/>
              </w:rPr>
              <w:t>CISO; EP-10, EP-13, EP-14 also OT Engineering Lead</w:t>
            </w:r>
          </w:p>
        </w:tc>
      </w:tr>
      <w:tr w:rsidR="007F43A1" w:rsidRPr="00E66C83" w14:paraId="1D285885" w14:textId="77777777">
        <w:trPr>
          <w:cantSplit/>
          <w:jc w:val="center"/>
        </w:trPr>
        <w:tc>
          <w:tcPr>
            <w:tcW w:w="1584" w:type="dxa"/>
          </w:tcPr>
          <w:p w14:paraId="2B26F69A" w14:textId="77777777" w:rsidR="007F43A1" w:rsidRPr="00E66C83" w:rsidRDefault="00000000" w:rsidP="00917293">
            <w:pPr>
              <w:pStyle w:val="T0-Table"/>
            </w:pPr>
            <w:r w:rsidRPr="00E66C83">
              <w:rPr>
                <w:rFonts w:ascii="Calibri" w:eastAsia="Calibri" w:hAnsi="Calibri" w:cs="Calibri"/>
                <w:sz w:val="18"/>
                <w:szCs w:val="18"/>
              </w:rPr>
              <w:t>Evidence-pipeline verification</w:t>
            </w:r>
          </w:p>
        </w:tc>
        <w:tc>
          <w:tcPr>
            <w:tcW w:w="5472" w:type="dxa"/>
          </w:tcPr>
          <w:p w14:paraId="10CF498A" w14:textId="77777777" w:rsidR="007F43A1" w:rsidRPr="00E66C83" w:rsidRDefault="00000000" w:rsidP="00917293">
            <w:pPr>
              <w:pStyle w:val="T0-Table"/>
            </w:pPr>
            <w:r w:rsidRPr="00E66C83">
              <w:rPr>
                <w:rFonts w:ascii="Calibri" w:eastAsia="Calibri" w:hAnsi="Calibri" w:cs="Calibri"/>
                <w:sz w:val="18"/>
                <w:szCs w:val="18"/>
              </w:rPr>
              <w:t>ASCR-09 TVA-01 is completed for the applicable ASCR-07 decision-record schema, integrity, chain-continuity, and ingestion-timing checks. Separately, deployment commissioning verifies that every ASCR-05-required enforcement-point evidence record or evidence reference is reachable from its governed evidence store and available to the applicable ASCR-08 investigation workflow.</w:t>
            </w:r>
          </w:p>
        </w:tc>
        <w:tc>
          <w:tcPr>
            <w:tcW w:w="1296" w:type="dxa"/>
          </w:tcPr>
          <w:p w14:paraId="7B44F391" w14:textId="77777777" w:rsidR="007F43A1" w:rsidRPr="00E66C83" w:rsidRDefault="00000000" w:rsidP="00917293">
            <w:pPr>
              <w:pStyle w:val="T0-Table"/>
            </w:pPr>
            <w:r w:rsidRPr="00E66C83">
              <w:rPr>
                <w:rFonts w:ascii="Calibri" w:eastAsia="Calibri" w:hAnsi="Calibri" w:cs="Calibri"/>
                <w:sz w:val="18"/>
                <w:szCs w:val="18"/>
              </w:rPr>
              <w:t>Security/IR Lead</w:t>
            </w:r>
          </w:p>
        </w:tc>
        <w:tc>
          <w:tcPr>
            <w:tcW w:w="1728" w:type="dxa"/>
          </w:tcPr>
          <w:p w14:paraId="1F4109F9" w14:textId="77777777" w:rsidR="007F43A1" w:rsidRPr="00E66C83" w:rsidRDefault="007F43A1" w:rsidP="00917293">
            <w:pPr>
              <w:pStyle w:val="T0-Table"/>
            </w:pPr>
          </w:p>
        </w:tc>
      </w:tr>
      <w:tr w:rsidR="007F43A1" w:rsidRPr="00E66C83" w14:paraId="05BF5ACF" w14:textId="77777777">
        <w:trPr>
          <w:cantSplit/>
          <w:jc w:val="center"/>
        </w:trPr>
        <w:tc>
          <w:tcPr>
            <w:tcW w:w="1584" w:type="dxa"/>
          </w:tcPr>
          <w:p w14:paraId="2FD8AF99" w14:textId="77777777" w:rsidR="007F43A1" w:rsidRPr="00E66C83" w:rsidRDefault="00000000" w:rsidP="00917293">
            <w:pPr>
              <w:pStyle w:val="T0-Table"/>
            </w:pPr>
            <w:r w:rsidRPr="00E66C83">
              <w:rPr>
                <w:rFonts w:ascii="Calibri" w:eastAsia="Calibri" w:hAnsi="Calibri" w:cs="Calibri"/>
                <w:sz w:val="18"/>
                <w:szCs w:val="18"/>
              </w:rPr>
              <w:t>Evidence-integrity mitigation</w:t>
            </w:r>
          </w:p>
        </w:tc>
        <w:tc>
          <w:tcPr>
            <w:tcW w:w="5472" w:type="dxa"/>
          </w:tcPr>
          <w:p w14:paraId="26D54CC9" w14:textId="77777777" w:rsidR="007F43A1" w:rsidRPr="00E66C83" w:rsidRDefault="00000000" w:rsidP="00917293">
            <w:pPr>
              <w:pStyle w:val="T0-Table"/>
            </w:pPr>
            <w:r w:rsidRPr="00E66C83">
              <w:rPr>
                <w:rFonts w:ascii="Calibri" w:eastAsia="Calibri" w:hAnsi="Calibri" w:cs="Calibri"/>
                <w:sz w:val="18"/>
                <w:szCs w:val="18"/>
              </w:rPr>
              <w:t>At least one Section 5.2 evidence-integrity mitigation is implemented and documented for the deployment, and the selected mitigation is recorded in DP-09.</w:t>
            </w:r>
          </w:p>
        </w:tc>
        <w:tc>
          <w:tcPr>
            <w:tcW w:w="1296" w:type="dxa"/>
          </w:tcPr>
          <w:p w14:paraId="5FEF8A71" w14:textId="77777777" w:rsidR="007F43A1" w:rsidRPr="00E66C83" w:rsidRDefault="00000000" w:rsidP="00917293">
            <w:pPr>
              <w:pStyle w:val="T0-Table"/>
            </w:pPr>
            <w:r w:rsidRPr="00E66C83">
              <w:rPr>
                <w:rFonts w:ascii="Calibri" w:eastAsia="Calibri" w:hAnsi="Calibri" w:cs="Calibri"/>
                <w:sz w:val="18"/>
                <w:szCs w:val="18"/>
              </w:rPr>
              <w:t>Security/IR Lead</w:t>
            </w:r>
          </w:p>
        </w:tc>
        <w:tc>
          <w:tcPr>
            <w:tcW w:w="1728" w:type="dxa"/>
          </w:tcPr>
          <w:p w14:paraId="039EFF93" w14:textId="77777777" w:rsidR="007F43A1" w:rsidRPr="00E66C83" w:rsidRDefault="00000000" w:rsidP="00917293">
            <w:pPr>
              <w:pStyle w:val="T0-Table"/>
            </w:pPr>
            <w:r w:rsidRPr="00E66C83">
              <w:rPr>
                <w:rFonts w:ascii="Calibri" w:eastAsia="Calibri" w:hAnsi="Calibri" w:cs="Calibri"/>
                <w:sz w:val="18"/>
                <w:szCs w:val="18"/>
              </w:rPr>
              <w:t>CISO sign-off</w:t>
            </w:r>
          </w:p>
        </w:tc>
      </w:tr>
      <w:tr w:rsidR="007F43A1" w:rsidRPr="00E66C83" w14:paraId="10046325" w14:textId="77777777">
        <w:trPr>
          <w:cantSplit/>
          <w:jc w:val="center"/>
        </w:trPr>
        <w:tc>
          <w:tcPr>
            <w:tcW w:w="1584" w:type="dxa"/>
          </w:tcPr>
          <w:p w14:paraId="190B77B7" w14:textId="77777777" w:rsidR="007F43A1" w:rsidRPr="00E66C83" w:rsidRDefault="00000000" w:rsidP="00917293">
            <w:pPr>
              <w:pStyle w:val="T0-Table"/>
            </w:pPr>
            <w:r w:rsidRPr="00E66C83">
              <w:rPr>
                <w:rFonts w:ascii="Calibri" w:eastAsia="Calibri" w:hAnsi="Calibri" w:cs="Calibri"/>
                <w:sz w:val="18"/>
                <w:szCs w:val="18"/>
              </w:rPr>
              <w:t>Financially Motivated detection coverage</w:t>
            </w:r>
          </w:p>
        </w:tc>
        <w:tc>
          <w:tcPr>
            <w:tcW w:w="5472" w:type="dxa"/>
          </w:tcPr>
          <w:p w14:paraId="67FC6A04" w14:textId="77777777" w:rsidR="007F43A1" w:rsidRPr="00E66C83" w:rsidRDefault="00000000" w:rsidP="00917293">
            <w:pPr>
              <w:pStyle w:val="T0-Table"/>
            </w:pPr>
            <w:r w:rsidRPr="00E66C83">
              <w:rPr>
                <w:rFonts w:ascii="Calibri" w:eastAsia="Calibri" w:hAnsi="Calibri" w:cs="Calibri"/>
                <w:sz w:val="18"/>
                <w:szCs w:val="18"/>
              </w:rPr>
              <w:t>Where the Financially Motivated adversary class is in scope, identify the applicable deployment-specific detection path or paths from ASCR-15 Component 2 (Financially Motivated attack progression) and Component 3 (Detection Coverage Heatmap) for the relevant variant and CPS layer. At least one applicable path must be implemented and validated, with its evidence/configuration reference recorded in DP-11, before the class is represented as covered.</w:t>
            </w:r>
          </w:p>
        </w:tc>
        <w:tc>
          <w:tcPr>
            <w:tcW w:w="1296" w:type="dxa"/>
          </w:tcPr>
          <w:p w14:paraId="597C00AE" w14:textId="77777777" w:rsidR="007F43A1" w:rsidRPr="00E66C83" w:rsidRDefault="00000000" w:rsidP="00917293">
            <w:pPr>
              <w:pStyle w:val="T0-Table"/>
            </w:pPr>
            <w:r w:rsidRPr="00E66C83">
              <w:rPr>
                <w:rFonts w:ascii="Calibri" w:eastAsia="Calibri" w:hAnsi="Calibri" w:cs="Calibri"/>
                <w:sz w:val="18"/>
                <w:szCs w:val="18"/>
              </w:rPr>
              <w:t>Security/IR Lead</w:t>
            </w:r>
          </w:p>
        </w:tc>
        <w:tc>
          <w:tcPr>
            <w:tcW w:w="1728" w:type="dxa"/>
          </w:tcPr>
          <w:p w14:paraId="0532FC44" w14:textId="77777777" w:rsidR="007F43A1" w:rsidRPr="00E66C83" w:rsidRDefault="007F43A1" w:rsidP="00917293">
            <w:pPr>
              <w:pStyle w:val="T0-Table"/>
            </w:pPr>
          </w:p>
        </w:tc>
      </w:tr>
      <w:tr w:rsidR="007F43A1" w:rsidRPr="00E66C83" w14:paraId="2B9C1DF2" w14:textId="77777777">
        <w:trPr>
          <w:cantSplit/>
          <w:jc w:val="center"/>
        </w:trPr>
        <w:tc>
          <w:tcPr>
            <w:tcW w:w="1584" w:type="dxa"/>
          </w:tcPr>
          <w:p w14:paraId="135C3CE3" w14:textId="77777777" w:rsidR="007F43A1" w:rsidRPr="00E66C83" w:rsidRDefault="00000000" w:rsidP="00917293">
            <w:pPr>
              <w:pStyle w:val="T0-Table"/>
            </w:pPr>
            <w:r w:rsidRPr="00E66C83">
              <w:rPr>
                <w:rFonts w:ascii="Calibri" w:eastAsia="Calibri" w:hAnsi="Calibri" w:cs="Calibri"/>
                <w:sz w:val="18"/>
                <w:szCs w:val="18"/>
              </w:rPr>
              <w:t>Zone 1 / Zone 2 co-location disclosure</w:t>
            </w:r>
          </w:p>
        </w:tc>
        <w:tc>
          <w:tcPr>
            <w:tcW w:w="5472" w:type="dxa"/>
          </w:tcPr>
          <w:p w14:paraId="54989E04" w14:textId="77777777" w:rsidR="007F43A1" w:rsidRPr="00E66C83" w:rsidRDefault="00000000" w:rsidP="00917293">
            <w:pPr>
              <w:pStyle w:val="T0-Table"/>
            </w:pPr>
            <w:r w:rsidRPr="00E66C83">
              <w:rPr>
                <w:rFonts w:ascii="Calibri" w:eastAsia="Calibri" w:hAnsi="Calibri" w:cs="Calibri"/>
                <w:sz w:val="18"/>
                <w:szCs w:val="18"/>
              </w:rPr>
              <w:t>If Zones 1 and 2 share compute infrastructure, the logical-boundary decision, compensating-control reference, and reduced separation are documented in DP-10 and disclosed for compliance review.</w:t>
            </w:r>
          </w:p>
        </w:tc>
        <w:tc>
          <w:tcPr>
            <w:tcW w:w="1296" w:type="dxa"/>
          </w:tcPr>
          <w:p w14:paraId="7DF2D937" w14:textId="77777777" w:rsidR="007F43A1" w:rsidRPr="00E66C83" w:rsidRDefault="00000000" w:rsidP="00917293">
            <w:pPr>
              <w:pStyle w:val="T0-Table"/>
            </w:pPr>
            <w:r w:rsidRPr="00E66C83">
              <w:rPr>
                <w:rFonts w:ascii="Calibri" w:eastAsia="Calibri" w:hAnsi="Calibri" w:cs="Calibri"/>
                <w:sz w:val="18"/>
                <w:szCs w:val="18"/>
              </w:rPr>
              <w:t>OT Engineering Lead</w:t>
            </w:r>
          </w:p>
        </w:tc>
        <w:tc>
          <w:tcPr>
            <w:tcW w:w="1728" w:type="dxa"/>
          </w:tcPr>
          <w:p w14:paraId="6884040C" w14:textId="77777777" w:rsidR="007F43A1" w:rsidRPr="00E66C83" w:rsidRDefault="00000000" w:rsidP="00917293">
            <w:pPr>
              <w:pStyle w:val="T0-Table"/>
            </w:pPr>
            <w:r w:rsidRPr="00E66C83">
              <w:rPr>
                <w:rFonts w:ascii="Calibri" w:eastAsia="Calibri" w:hAnsi="Calibri" w:cs="Calibri"/>
                <w:sz w:val="18"/>
                <w:szCs w:val="18"/>
              </w:rPr>
              <w:t>Regulatory/Compliance Officer review</w:t>
            </w:r>
          </w:p>
        </w:tc>
      </w:tr>
      <w:tr w:rsidR="007F43A1" w:rsidRPr="00E66C83" w14:paraId="45C0BB8B" w14:textId="77777777">
        <w:trPr>
          <w:cantSplit/>
          <w:jc w:val="center"/>
        </w:trPr>
        <w:tc>
          <w:tcPr>
            <w:tcW w:w="1584" w:type="dxa"/>
          </w:tcPr>
          <w:p w14:paraId="1F35A1BC" w14:textId="77777777" w:rsidR="007F43A1" w:rsidRPr="00E66C83" w:rsidRDefault="00000000" w:rsidP="00917293">
            <w:pPr>
              <w:pStyle w:val="T0-Table"/>
            </w:pPr>
            <w:r w:rsidRPr="00E66C83">
              <w:rPr>
                <w:rFonts w:ascii="Calibri" w:eastAsia="Calibri" w:hAnsi="Calibri" w:cs="Calibri"/>
                <w:sz w:val="18"/>
                <w:szCs w:val="18"/>
              </w:rPr>
              <w:t>EP-03 latency confirmation</w:t>
            </w:r>
          </w:p>
        </w:tc>
        <w:tc>
          <w:tcPr>
            <w:tcW w:w="5472" w:type="dxa"/>
          </w:tcPr>
          <w:p w14:paraId="678A7473" w14:textId="77777777" w:rsidR="007F43A1" w:rsidRPr="00E66C83" w:rsidRDefault="00000000" w:rsidP="00917293">
            <w:pPr>
              <w:pStyle w:val="T0-Table"/>
            </w:pPr>
            <w:r w:rsidRPr="00E66C83">
              <w:rPr>
                <w:rFonts w:ascii="Calibri" w:eastAsia="Calibri" w:hAnsi="Calibri" w:cs="Calibri"/>
                <w:sz w:val="18"/>
                <w:szCs w:val="18"/>
              </w:rPr>
              <w:t>If the implemented C2/Layer-3 admission or re-attestation path is timing-critical, the deployment-approved admission/re-attestation budget is recorded in DP-</w:t>
            </w:r>
            <w:proofErr w:type="gramStart"/>
            <w:r w:rsidRPr="00E66C83">
              <w:rPr>
                <w:rFonts w:ascii="Calibri" w:eastAsia="Calibri" w:hAnsi="Calibri" w:cs="Calibri"/>
                <w:sz w:val="18"/>
                <w:szCs w:val="18"/>
              </w:rPr>
              <w:t>01</w:t>
            </w:r>
            <w:proofErr w:type="gramEnd"/>
            <w:r w:rsidRPr="00E66C83">
              <w:rPr>
                <w:rFonts w:ascii="Calibri" w:eastAsia="Calibri" w:hAnsi="Calibri" w:cs="Calibri"/>
                <w:sz w:val="18"/>
                <w:szCs w:val="18"/>
              </w:rPr>
              <w:t xml:space="preserve"> and the applicable timing analysis is completed before deployment authorization.</w:t>
            </w:r>
          </w:p>
        </w:tc>
        <w:tc>
          <w:tcPr>
            <w:tcW w:w="1296" w:type="dxa"/>
          </w:tcPr>
          <w:p w14:paraId="45A240BC" w14:textId="77777777" w:rsidR="007F43A1" w:rsidRPr="00E66C83" w:rsidRDefault="00000000" w:rsidP="00917293">
            <w:pPr>
              <w:pStyle w:val="T0-Table"/>
            </w:pPr>
            <w:r w:rsidRPr="00E66C83">
              <w:rPr>
                <w:rFonts w:ascii="Calibri" w:eastAsia="Calibri" w:hAnsi="Calibri" w:cs="Calibri"/>
                <w:sz w:val="18"/>
                <w:szCs w:val="18"/>
              </w:rPr>
              <w:t>OT Engineering Lead</w:t>
            </w:r>
          </w:p>
        </w:tc>
        <w:tc>
          <w:tcPr>
            <w:tcW w:w="1728" w:type="dxa"/>
          </w:tcPr>
          <w:p w14:paraId="7C9A47C8" w14:textId="77777777" w:rsidR="007F43A1" w:rsidRPr="00E66C83" w:rsidRDefault="00000000" w:rsidP="00917293">
            <w:pPr>
              <w:pStyle w:val="T0-Table"/>
            </w:pPr>
            <w:r w:rsidRPr="00E66C83">
              <w:rPr>
                <w:rFonts w:ascii="Calibri" w:eastAsia="Calibri" w:hAnsi="Calibri" w:cs="Calibri"/>
                <w:sz w:val="18"/>
                <w:szCs w:val="18"/>
              </w:rPr>
              <w:t>Security/IR Lead review</w:t>
            </w:r>
          </w:p>
        </w:tc>
      </w:tr>
      <w:tr w:rsidR="007F43A1" w:rsidRPr="00E66C83" w14:paraId="17D7D510" w14:textId="77777777">
        <w:trPr>
          <w:jc w:val="center"/>
        </w:trPr>
        <w:tc>
          <w:tcPr>
            <w:tcW w:w="1584" w:type="dxa"/>
          </w:tcPr>
          <w:p w14:paraId="0DE78EF4" w14:textId="77777777" w:rsidR="007F43A1" w:rsidRPr="00E66C83" w:rsidRDefault="00000000" w:rsidP="00917293">
            <w:pPr>
              <w:pStyle w:val="T0-Table"/>
            </w:pPr>
            <w:r w:rsidRPr="00E66C83">
              <w:rPr>
                <w:rFonts w:ascii="Calibri" w:eastAsia="Calibri" w:hAnsi="Calibri" w:cs="Calibri"/>
                <w:sz w:val="18"/>
                <w:szCs w:val="18"/>
              </w:rPr>
              <w:t>Deployment parameters</w:t>
            </w:r>
          </w:p>
        </w:tc>
        <w:tc>
          <w:tcPr>
            <w:tcW w:w="5472" w:type="dxa"/>
          </w:tcPr>
          <w:p w14:paraId="0763D6C0" w14:textId="77777777" w:rsidR="007F43A1" w:rsidRPr="00E66C83" w:rsidRDefault="00000000" w:rsidP="00917293">
            <w:pPr>
              <w:pStyle w:val="T0-Table"/>
            </w:pPr>
            <w:r w:rsidRPr="00E66C83">
              <w:rPr>
                <w:rFonts w:ascii="Calibri" w:eastAsia="Calibri" w:hAnsi="Calibri" w:cs="Calibri"/>
                <w:sz w:val="18"/>
                <w:szCs w:val="18"/>
              </w:rPr>
              <w:t>Every applicable DP-01 through DP-11 entry is completed in sheet “6.1 Deployment Parameters”; Not Applicable is used only where the stated applicability condition is not met.</w:t>
            </w:r>
          </w:p>
        </w:tc>
        <w:tc>
          <w:tcPr>
            <w:tcW w:w="1296" w:type="dxa"/>
          </w:tcPr>
          <w:p w14:paraId="1C322864" w14:textId="77777777" w:rsidR="007F43A1" w:rsidRPr="00E66C83" w:rsidRDefault="00000000" w:rsidP="00917293">
            <w:pPr>
              <w:pStyle w:val="T0-Table"/>
            </w:pPr>
            <w:r w:rsidRPr="00E66C83">
              <w:rPr>
                <w:rFonts w:ascii="Calibri" w:eastAsia="Calibri" w:hAnsi="Calibri" w:cs="Calibri"/>
                <w:sz w:val="18"/>
                <w:szCs w:val="18"/>
              </w:rPr>
              <w:t>Security/IR Lead</w:t>
            </w:r>
          </w:p>
        </w:tc>
        <w:tc>
          <w:tcPr>
            <w:tcW w:w="1728" w:type="dxa"/>
          </w:tcPr>
          <w:p w14:paraId="4B445759" w14:textId="77777777" w:rsidR="007F43A1" w:rsidRPr="00E66C83" w:rsidRDefault="00000000" w:rsidP="00917293">
            <w:pPr>
              <w:pStyle w:val="T0-Table"/>
            </w:pPr>
            <w:r w:rsidRPr="00E66C83">
              <w:rPr>
                <w:rFonts w:ascii="Calibri" w:eastAsia="Calibri" w:hAnsi="Calibri" w:cs="Calibri"/>
                <w:sz w:val="18"/>
                <w:szCs w:val="18"/>
              </w:rPr>
              <w:t>Applicable technical owner review</w:t>
            </w:r>
          </w:p>
        </w:tc>
      </w:tr>
      <w:tr w:rsidR="007F43A1" w:rsidRPr="00E66C83" w14:paraId="01F9DC65" w14:textId="77777777">
        <w:trPr>
          <w:jc w:val="center"/>
        </w:trPr>
        <w:tc>
          <w:tcPr>
            <w:tcW w:w="1584" w:type="dxa"/>
          </w:tcPr>
          <w:p w14:paraId="4E159796" w14:textId="77777777" w:rsidR="007F43A1" w:rsidRPr="00E66C83" w:rsidRDefault="00000000" w:rsidP="00917293">
            <w:pPr>
              <w:pStyle w:val="T0-Table"/>
            </w:pPr>
            <w:r w:rsidRPr="00E66C83">
              <w:rPr>
                <w:rFonts w:ascii="Calibri" w:eastAsia="Calibri" w:hAnsi="Calibri" w:cs="Calibri"/>
                <w:sz w:val="18"/>
                <w:szCs w:val="18"/>
              </w:rPr>
              <w:t>Supporting dependencies</w:t>
            </w:r>
          </w:p>
        </w:tc>
        <w:tc>
          <w:tcPr>
            <w:tcW w:w="5472" w:type="dxa"/>
          </w:tcPr>
          <w:p w14:paraId="2D6527FD" w14:textId="77777777" w:rsidR="007F43A1" w:rsidRPr="00E66C83" w:rsidRDefault="00000000" w:rsidP="00917293">
            <w:pPr>
              <w:pStyle w:val="T0-Table"/>
            </w:pPr>
            <w:r w:rsidRPr="00E66C83">
              <w:rPr>
                <w:rFonts w:ascii="Calibri" w:eastAsia="Calibri" w:hAnsi="Calibri" w:cs="Calibri"/>
                <w:sz w:val="18"/>
                <w:szCs w:val="18"/>
              </w:rPr>
              <w:t xml:space="preserve">Every external/supporting dependency required for evidence integrity, time, replication, monitoring, transparency, or other ASCR-05 architectural assumptions is recorded in sheet “6.1 Supporting </w:t>
            </w:r>
            <w:r w:rsidRPr="00E66C83">
              <w:rPr>
                <w:rFonts w:ascii="Calibri" w:eastAsia="Calibri" w:hAnsi="Calibri" w:cs="Calibri"/>
                <w:sz w:val="18"/>
                <w:szCs w:val="18"/>
              </w:rPr>
              <w:lastRenderedPageBreak/>
              <w:t>Dependencies” with owner, implementation status, last-verification date, verification state, and risk reference where applicable.</w:t>
            </w:r>
          </w:p>
        </w:tc>
        <w:tc>
          <w:tcPr>
            <w:tcW w:w="1296" w:type="dxa"/>
          </w:tcPr>
          <w:p w14:paraId="1CBBEE3A" w14:textId="77777777" w:rsidR="007F43A1" w:rsidRPr="00E66C83" w:rsidRDefault="00000000" w:rsidP="00917293">
            <w:pPr>
              <w:pStyle w:val="T0-Table"/>
            </w:pPr>
            <w:r w:rsidRPr="00E66C83">
              <w:rPr>
                <w:rFonts w:ascii="Calibri" w:eastAsia="Calibri" w:hAnsi="Calibri" w:cs="Calibri"/>
                <w:sz w:val="18"/>
                <w:szCs w:val="18"/>
              </w:rPr>
              <w:lastRenderedPageBreak/>
              <w:t>Security/IR Lead</w:t>
            </w:r>
          </w:p>
        </w:tc>
        <w:tc>
          <w:tcPr>
            <w:tcW w:w="1728" w:type="dxa"/>
          </w:tcPr>
          <w:p w14:paraId="70AEEE53" w14:textId="77777777" w:rsidR="007F43A1" w:rsidRPr="00E66C83" w:rsidRDefault="00000000" w:rsidP="00917293">
            <w:pPr>
              <w:pStyle w:val="T0-Table"/>
            </w:pPr>
            <w:r w:rsidRPr="00E66C83">
              <w:rPr>
                <w:rFonts w:ascii="Calibri" w:eastAsia="Calibri" w:hAnsi="Calibri" w:cs="Calibri"/>
                <w:sz w:val="18"/>
                <w:szCs w:val="18"/>
              </w:rPr>
              <w:t xml:space="preserve">OT Engineering Lead review where </w:t>
            </w:r>
            <w:r w:rsidRPr="00E66C83">
              <w:rPr>
                <w:rFonts w:ascii="Calibri" w:eastAsia="Calibri" w:hAnsi="Calibri" w:cs="Calibri"/>
                <w:sz w:val="18"/>
                <w:szCs w:val="18"/>
              </w:rPr>
              <w:lastRenderedPageBreak/>
              <w:t>operationally relevant</w:t>
            </w:r>
          </w:p>
        </w:tc>
      </w:tr>
      <w:tr w:rsidR="007F43A1" w:rsidRPr="00E66C83" w14:paraId="124CF3DE" w14:textId="77777777">
        <w:trPr>
          <w:jc w:val="center"/>
        </w:trPr>
        <w:tc>
          <w:tcPr>
            <w:tcW w:w="1584" w:type="dxa"/>
          </w:tcPr>
          <w:p w14:paraId="6988B414" w14:textId="77777777" w:rsidR="007F43A1" w:rsidRPr="00E66C83" w:rsidRDefault="00000000" w:rsidP="00917293">
            <w:pPr>
              <w:pStyle w:val="T0-Table"/>
            </w:pPr>
            <w:r w:rsidRPr="00E66C83">
              <w:rPr>
                <w:rFonts w:ascii="Calibri" w:eastAsia="Calibri" w:hAnsi="Calibri" w:cs="Calibri"/>
                <w:sz w:val="18"/>
                <w:szCs w:val="18"/>
              </w:rPr>
              <w:lastRenderedPageBreak/>
              <w:t>Zone security levels</w:t>
            </w:r>
          </w:p>
        </w:tc>
        <w:tc>
          <w:tcPr>
            <w:tcW w:w="5472" w:type="dxa"/>
          </w:tcPr>
          <w:p w14:paraId="3C71559C" w14:textId="77777777" w:rsidR="007F43A1" w:rsidRPr="00E66C83" w:rsidRDefault="00000000" w:rsidP="00917293">
            <w:pPr>
              <w:pStyle w:val="T0-Table"/>
            </w:pPr>
            <w:r w:rsidRPr="00E66C83">
              <w:rPr>
                <w:rFonts w:ascii="Calibri" w:eastAsia="Calibri" w:hAnsi="Calibri" w:cs="Calibri"/>
                <w:sz w:val="18"/>
                <w:szCs w:val="18"/>
              </w:rPr>
              <w:t>Every Zone 1-4 entry in sheet “4.1 Zone SL Assignments” records the deployment-assessed SL-T, governing zone risk-assessment reference or rationale, declared/achieved SL-C and gap, and Last Verified date. The reference SL-T starting value is not a substitute for the deployment IEC 62443-3-2 risk assessment.</w:t>
            </w:r>
          </w:p>
        </w:tc>
        <w:tc>
          <w:tcPr>
            <w:tcW w:w="1296" w:type="dxa"/>
          </w:tcPr>
          <w:p w14:paraId="62EE1331" w14:textId="77777777" w:rsidR="007F43A1" w:rsidRPr="00E66C83" w:rsidRDefault="00000000" w:rsidP="00917293">
            <w:pPr>
              <w:pStyle w:val="T0-Table"/>
            </w:pPr>
            <w:r w:rsidRPr="00E66C83">
              <w:rPr>
                <w:rFonts w:ascii="Calibri" w:eastAsia="Calibri" w:hAnsi="Calibri" w:cs="Calibri"/>
                <w:sz w:val="18"/>
                <w:szCs w:val="18"/>
              </w:rPr>
              <w:t>OT Engineering Lead</w:t>
            </w:r>
          </w:p>
        </w:tc>
        <w:tc>
          <w:tcPr>
            <w:tcW w:w="1728" w:type="dxa"/>
          </w:tcPr>
          <w:p w14:paraId="6263309D" w14:textId="77777777" w:rsidR="007F43A1" w:rsidRPr="00E66C83" w:rsidRDefault="00000000" w:rsidP="00917293">
            <w:pPr>
              <w:pStyle w:val="T0-Table"/>
            </w:pPr>
            <w:r w:rsidRPr="00E66C83">
              <w:rPr>
                <w:rFonts w:ascii="Calibri" w:eastAsia="Calibri" w:hAnsi="Calibri" w:cs="Calibri"/>
                <w:sz w:val="18"/>
                <w:szCs w:val="18"/>
              </w:rPr>
              <w:t>Security/IR Lead; qualified IEC 62443 assessor review before formal compliance use</w:t>
            </w:r>
          </w:p>
        </w:tc>
      </w:tr>
    </w:tbl>
    <w:p w14:paraId="6552B213" w14:textId="30866D87" w:rsidR="00917293" w:rsidRPr="00917293" w:rsidRDefault="00917293" w:rsidP="00917293">
      <w:pPr>
        <w:pStyle w:val="T0-TableCaption"/>
      </w:pPr>
      <w:r w:rsidRPr="00917293">
        <w:t>Table 6.1.1 - Deployment Authorization Checklist</w:t>
      </w:r>
    </w:p>
    <w:p w14:paraId="2D3456A7" w14:textId="7BA43358" w:rsidR="007F43A1" w:rsidRPr="00E66C83" w:rsidRDefault="00000000" w:rsidP="00917293">
      <w:pPr>
        <w:pStyle w:val="HS-Heading2"/>
      </w:pPr>
      <w:r w:rsidRPr="00E66C83">
        <w:rPr>
          <w:rFonts w:eastAsia="Calibri"/>
        </w:rPr>
        <w:t>6.2 Architecture maintenance obligations</w:t>
      </w:r>
    </w:p>
    <w:p w14:paraId="4BED17B0" w14:textId="77777777" w:rsidR="007F43A1" w:rsidRPr="00E66C83" w:rsidRDefault="00000000" w:rsidP="00917293">
      <w:pPr>
        <w:pStyle w:val="P0-Paragraph"/>
      </w:pPr>
      <w:r w:rsidRPr="00E66C83">
        <w:rPr>
          <w:rFonts w:eastAsia="Calibri"/>
        </w:rPr>
        <w:t>The ASCR-05 instantiation is not a point-in-time document. It must remain accurate throughout the deployment lifecycle. Three events require an immediate architecture review and update: any change to ASCR-03 Section 2 deployment scope; any ASCR-10 authorized change that adds, removes, or modifies a system, conduit, or enforcement point; and any post-incident finding that identifies a signal path not represented in the current architecture documentation.</w:t>
      </w:r>
    </w:p>
    <w:p w14:paraId="61B29EAA" w14:textId="77777777" w:rsidR="007F43A1" w:rsidRPr="00E66C83" w:rsidRDefault="00000000" w:rsidP="00917293">
      <w:pPr>
        <w:pStyle w:val="P0-Paragraph"/>
      </w:pPr>
      <w:r w:rsidRPr="00E66C83">
        <w:rPr>
          <w:rFonts w:eastAsia="Calibri"/>
        </w:rPr>
        <w:t>The ASCR-12 quarterly scorecard review must include an explicit ASCR-05 accuracy check confirming that the documented architecture matches the deployed architecture. The check consists of two steps: (1) reconciling the documented conduit topology against current-state technical evidence appropriate to the environment, such as passive network or OT flow telemetry, gateway and firewall policy exports, message-broker/API route configuration, and Zone 3 protocol inventories, and then comparing those observations with current network topology documentation; any observed flow that cannot be attributed to a documented conduit is an architecture finding; and (2) confirming that every system listed in companion-workbook sheet “6.1 System Inventory” remains accurately described and traceable to its authoritative deployment record, including name, function, vendor or provider, version or build, zone assignment, and applicable ASCR-specific references. The check is performed by the OT Engineering Lead and reviewed by the Security/IR Lead. Any discrepancy identified must be resolved and the architecture updated before the ASCR-12 scorecard is finalized. A divergence between documented and deployed architectures discovered during a post-incident investigation is an audit finding that must be evaluated against applicable EU AI Act quality-management and NIS2 risk-management obligations.</w:t>
      </w:r>
    </w:p>
    <w:p w14:paraId="1C7DD6E5" w14:textId="77777777" w:rsidR="007F43A1" w:rsidRPr="00E66C83" w:rsidRDefault="00000000" w:rsidP="00917293">
      <w:pPr>
        <w:pStyle w:val="HS-Heading1"/>
      </w:pPr>
      <w:r w:rsidRPr="00E66C83">
        <w:t>Section 7 - Scope and limitations</w:t>
      </w:r>
    </w:p>
    <w:p w14:paraId="22A9E1B1" w14:textId="77777777" w:rsidR="007F43A1" w:rsidRPr="00E66C83" w:rsidRDefault="00000000" w:rsidP="00917293">
      <w:pPr>
        <w:pStyle w:val="P0-Paragraph"/>
      </w:pPr>
      <w:r w:rsidRPr="00E66C83">
        <w:rPr>
          <w:rFonts w:eastAsia="Calibri"/>
        </w:rPr>
        <w:t xml:space="preserve">ASCR-05 is an architecture specification artifact, not an implementation artifact. It specifies what must be represented in the architecture and where controls are positioned. Implementation specifications remain in their </w:t>
      </w:r>
      <w:proofErr w:type="gramStart"/>
      <w:r w:rsidRPr="00E66C83">
        <w:rPr>
          <w:rFonts w:eastAsia="Calibri"/>
        </w:rPr>
        <w:t>owning</w:t>
      </w:r>
      <w:proofErr w:type="gramEnd"/>
      <w:r w:rsidRPr="00E66C83">
        <w:rPr>
          <w:rFonts w:eastAsia="Calibri"/>
        </w:rPr>
        <w:t xml:space="preserve"> artifacts. ASCR-11 governs approved policy and effective values; ASCR-04 materializes and applies the governed runtime configuration at the enforcement boundary; ASCR-06 verifies proposed physical actions; ASCR-07 records and proves the resulting decision and execution evidence; and ASCR-10 validates operational performance and governs controlled validation, recalibration, and change management. Safety and consequential-actuation timing constraints must be derived from worst-case execution time analysis and the applicable enforcement and actuator timing envelopes. EP-03 is an admission and re-attestation gate and is evaluated against the deployment's admission/re-attestation timing requirement, not the per-invocation physical-actuation budget. EP-07 is the Layer 3 control on the invocation path. Its runtime verification latency is governed by the deployment-approved ASCR-04 Layer 3 P95/P99 allocation and the ASCR-04 GATEWAY-E2E-LATENCY-PROFILE; ASCR-05 records the architectural placement of EP-07 and does not duplicate those runtime budget values. Kinetic Quarantine Protocol (KQP) response timing is measured separately from </w:t>
      </w:r>
      <w:r w:rsidRPr="00E66C83">
        <w:rPr>
          <w:rFonts w:eastAsia="Calibri"/>
        </w:rPr>
        <w:lastRenderedPageBreak/>
        <w:t>normal-path Layer 3 verification; the normative KQP sequence and timing requirements remain defined by ASCR-04 Section 3.6.</w:t>
      </w:r>
    </w:p>
    <w:p w14:paraId="6A43F640" w14:textId="77777777" w:rsidR="007F43A1" w:rsidRPr="00E66C83" w:rsidRDefault="00000000" w:rsidP="00917293">
      <w:pPr>
        <w:pStyle w:val="P0-Paragraph"/>
      </w:pPr>
      <w:r w:rsidRPr="00E66C83">
        <w:rPr>
          <w:rFonts w:eastAsia="Calibri"/>
        </w:rPr>
        <w:t xml:space="preserve">Two explicit scope boundaries apply. First, ASCR-05 does not specify the internal architecture of Zone 4 physical systems. IEC 61508 / IEC 61511 safety-system architecture within physical systems is governed by those standards and is outside this artifact's scope. The ASCR-governed implementation controls or constrains commands presented to the Zone 4 boundary through the applicable EP-13 / EP-14 architecture, while the independently engineered functional-safety or machine-safety mechanism remains authoritative for achieving or maintaining the safe physical condition. The ASCR-03 Section 6 Safe-State or safe-interruption definition is the governed interface between the ASCR security-control path and the physical system's safety-engineering basis. ASCR-05 specifies the security boundary and evidence expectations; it does not replace the internal safety architecture. Second, ASCR-05 does not specify the corporate IT network architecture that hosts Zone 1 or Zone 2 systems. Network segmentation between the corporate IT environment and the OT Integration Zone is addressed through the IEC 62443-3-2 zone-and-conduit model and may form part of the technical measures used to implement NIS2 Article 21 risk-management obligations. NIS2 Article 21(2)(a) does not </w:t>
      </w:r>
      <w:proofErr w:type="gramStart"/>
      <w:r w:rsidRPr="00E66C83">
        <w:rPr>
          <w:rFonts w:eastAsia="Calibri"/>
        </w:rPr>
        <w:t>itself prescribe network segmentation</w:t>
      </w:r>
      <w:proofErr w:type="gramEnd"/>
      <w:r w:rsidRPr="00E66C83">
        <w:rPr>
          <w:rFonts w:eastAsia="Calibri"/>
        </w:rPr>
        <w:t>. ASCR-05 assumes that required external corporate-IT segmentation is implemented and documented where relied upon.</w:t>
      </w:r>
    </w:p>
    <w:p w14:paraId="4C4AE2DF" w14:textId="77777777" w:rsidR="007F43A1" w:rsidRPr="00E66C83" w:rsidRDefault="00000000" w:rsidP="00917293">
      <w:pPr>
        <w:pStyle w:val="HS-Heading1"/>
      </w:pPr>
      <w:r w:rsidRPr="00E66C83">
        <w:t>Summary</w:t>
      </w:r>
    </w:p>
    <w:p w14:paraId="6FEE54E2" w14:textId="77777777" w:rsidR="007F43A1" w:rsidRPr="00E66C83" w:rsidRDefault="00000000" w:rsidP="00917293">
      <w:pPr>
        <w:pStyle w:val="P0-Paragraph"/>
      </w:pPr>
      <w:r w:rsidRPr="00E66C83">
        <w:rPr>
          <w:rFonts w:eastAsia="Calibri"/>
        </w:rPr>
        <w:t>ASCR-05 is the authoritative documented reference model against which deployment architecture and ASCR control placement are evaluated. It must be reconciled with the deployed physical and logical topology during instantiation and quarterly architecture-accuracy verification; it is not itself the deployed environment. A control specified in an owning ASCR artifact but positioned at the wrong conduit or boundary may fail to achieve its intended control objective. Evidence-generation mechanisms that are not represented in the deployment-specific architecture may be unavailable or incomplete during Physical Impact Attribution.</w:t>
      </w:r>
    </w:p>
    <w:p w14:paraId="253B5412" w14:textId="77777777" w:rsidR="007F43A1" w:rsidRPr="00E66C83" w:rsidRDefault="00000000" w:rsidP="00917293">
      <w:pPr>
        <w:pStyle w:val="P0-Paragraph"/>
      </w:pPr>
      <w:r w:rsidRPr="00E66C83">
        <w:rPr>
          <w:rFonts w:eastAsia="Calibri"/>
        </w:rPr>
        <w:t xml:space="preserve">Keep ASCR-05 accurate. Update it when the deployment changes. Verify it at every ASCR-12 cycle. The architecture document that diverges from the deployed architecture does not describe a security system - it describes a security aspiration. </w:t>
      </w:r>
    </w:p>
    <w:sectPr w:rsidR="007F43A1" w:rsidRPr="00E66C83">
      <w:headerReference w:type="default" r:id="rId8"/>
      <w:footerReference w:type="default" r:id="rId9"/>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E39C5" w14:textId="77777777" w:rsidR="00C1618E" w:rsidRDefault="00C1618E">
      <w:pPr>
        <w:spacing w:after="0" w:line="240" w:lineRule="auto"/>
      </w:pPr>
      <w:r>
        <w:separator/>
      </w:r>
    </w:p>
  </w:endnote>
  <w:endnote w:type="continuationSeparator" w:id="0">
    <w:p w14:paraId="589A3539" w14:textId="77777777" w:rsidR="00C1618E" w:rsidRDefault="00C16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0F6378E-7DD4-42E1-9470-E2A19DFE46D7}"/>
    <w:embedBold r:id="rId2" w:fontKey="{1CC949CB-4E12-456F-A455-47B0785B5577}"/>
    <w:embedItalic r:id="rId3" w:fontKey="{52C73820-7CE3-4CC0-828B-A495C7667F69}"/>
    <w:embedBoldItalic r:id="rId4" w:fontKey="{3783A465-2DE1-406D-AD33-2EA63131A379}"/>
  </w:font>
  <w:font w:name="Cambria">
    <w:panose1 w:val="02040503050406030204"/>
    <w:charset w:val="00"/>
    <w:family w:val="roman"/>
    <w:pitch w:val="variable"/>
    <w:sig w:usb0="E00006FF" w:usb1="420024FF" w:usb2="02000000" w:usb3="00000000" w:csb0="0000019F" w:csb1="00000000"/>
    <w:embedRegular r:id="rId5" w:fontKey="{39C468F6-E872-4013-B49D-BCD53B61679B}"/>
    <w:embedBold r:id="rId6" w:fontKey="{86CBB71D-72C5-4B7C-AABA-93C3105AAE95}"/>
    <w:embedItalic r:id="rId7" w:fontKey="{B8D915FB-9047-499B-A12B-0C96AD3303EB}"/>
  </w:font>
  <w:font w:name="Crimson Pro">
    <w:altName w:val="Calibri"/>
    <w:charset w:val="00"/>
    <w:family w:val="auto"/>
    <w:pitch w:val="variable"/>
    <w:sig w:usb0="A00000FF" w:usb1="5000E04B" w:usb2="00000000" w:usb3="00000000" w:csb0="000001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A5F324F8-0A8D-4E5F-BB39-D6314D836030}"/>
    <w:embedBold r:id="rId9" w:fontKey="{BD413ED9-135C-4556-AE15-8A15EE071369}"/>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10" w:fontKey="{5958F82C-FD33-4FC0-9E26-06DE63EF1EBA}"/>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1" w:fontKey="{4AFA9852-3C64-4607-9F77-F04EDD569C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14F5F" w14:textId="7910BB37" w:rsidR="007F43A1" w:rsidRDefault="007F43A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52440" w14:textId="77777777" w:rsidR="00C1618E" w:rsidRDefault="00C1618E">
      <w:pPr>
        <w:spacing w:after="0" w:line="240" w:lineRule="auto"/>
      </w:pPr>
      <w:r>
        <w:separator/>
      </w:r>
    </w:p>
  </w:footnote>
  <w:footnote w:type="continuationSeparator" w:id="0">
    <w:p w14:paraId="45E1FFD1" w14:textId="77777777" w:rsidR="00C1618E" w:rsidRDefault="00C161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32C7" w14:textId="01CB557C" w:rsidR="007F43A1" w:rsidRDefault="007F43A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6C62EF9"/>
    <w:multiLevelType w:val="multilevel"/>
    <w:tmpl w:val="87CAF340"/>
    <w:lvl w:ilvl="0">
      <w:start w:val="1"/>
      <w:numFmt w:val="bullet"/>
      <w:lvlText w:val="•"/>
      <w:lvlJc w:val="left"/>
      <w:pPr>
        <w:ind w:left="3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1"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C21C7E"/>
    <w:multiLevelType w:val="multilevel"/>
    <w:tmpl w:val="7E482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6" w15:restartNumberingAfterBreak="0">
    <w:nsid w:val="52AA0274"/>
    <w:multiLevelType w:val="multilevel"/>
    <w:tmpl w:val="8A186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8"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9"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668168897">
    <w:abstractNumId w:val="13"/>
  </w:num>
  <w:num w:numId="2" w16cid:durableId="49620243">
    <w:abstractNumId w:val="6"/>
  </w:num>
  <w:num w:numId="3" w16cid:durableId="1536501756">
    <w:abstractNumId w:val="16"/>
  </w:num>
  <w:num w:numId="4" w16cid:durableId="512497296">
    <w:abstractNumId w:val="19"/>
  </w:num>
  <w:num w:numId="5" w16cid:durableId="1730574350">
    <w:abstractNumId w:val="3"/>
  </w:num>
  <w:num w:numId="6" w16cid:durableId="264657427">
    <w:abstractNumId w:val="0"/>
  </w:num>
  <w:num w:numId="7" w16cid:durableId="1399671067">
    <w:abstractNumId w:val="4"/>
  </w:num>
  <w:num w:numId="8" w16cid:durableId="1604025277">
    <w:abstractNumId w:val="10"/>
  </w:num>
  <w:num w:numId="9" w16cid:durableId="1253124087">
    <w:abstractNumId w:val="8"/>
  </w:num>
  <w:num w:numId="10" w16cid:durableId="1655912333">
    <w:abstractNumId w:val="12"/>
  </w:num>
  <w:num w:numId="11" w16cid:durableId="722173098">
    <w:abstractNumId w:val="7"/>
  </w:num>
  <w:num w:numId="12" w16cid:durableId="1279526178">
    <w:abstractNumId w:val="2"/>
  </w:num>
  <w:num w:numId="13" w16cid:durableId="696858381">
    <w:abstractNumId w:val="11"/>
  </w:num>
  <w:num w:numId="14" w16cid:durableId="984697512">
    <w:abstractNumId w:val="1"/>
  </w:num>
  <w:num w:numId="15" w16cid:durableId="1314287334">
    <w:abstractNumId w:val="5"/>
  </w:num>
  <w:num w:numId="16" w16cid:durableId="529880452">
    <w:abstractNumId w:val="9"/>
  </w:num>
  <w:num w:numId="17" w16cid:durableId="957100090">
    <w:abstractNumId w:val="17"/>
  </w:num>
  <w:num w:numId="18" w16cid:durableId="500195562">
    <w:abstractNumId w:val="14"/>
  </w:num>
  <w:num w:numId="19" w16cid:durableId="427190788">
    <w:abstractNumId w:val="18"/>
  </w:num>
  <w:num w:numId="20" w16cid:durableId="14386720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attachedTemplate r:id="rId1"/>
  <w:linkStyles/>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3A1"/>
    <w:rsid w:val="0005145B"/>
    <w:rsid w:val="003F73E9"/>
    <w:rsid w:val="007F43A1"/>
    <w:rsid w:val="00917293"/>
    <w:rsid w:val="0092276A"/>
    <w:rsid w:val="00C1618E"/>
    <w:rsid w:val="00E66C83"/>
    <w:rsid w:val="00F87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DE23"/>
  <w15:docId w15:val="{F2EC032A-4A93-425B-ABC9-24F4FDF36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293"/>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rsid w:val="00E66C8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E66C8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E66C8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E66C8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E66C8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E66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E66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E66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E66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66C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6C83"/>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E66C83"/>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link w:val="SubtitleChar"/>
    <w:uiPriority w:val="11"/>
    <w:qFormat/>
    <w:rsid w:val="00E66C83"/>
    <w:pPr>
      <w:numPr>
        <w:ilvl w:val="1"/>
      </w:numPr>
    </w:pPr>
    <w:rPr>
      <w:rFonts w:eastAsiaTheme="majorEastAsia" w:cstheme="majorBidi"/>
      <w:color w:val="595959" w:themeColor="text1" w:themeTint="A6"/>
      <w:spacing w:val="15"/>
      <w:sz w:val="28"/>
      <w:szCs w:val="28"/>
    </w:r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character" w:customStyle="1" w:styleId="Heading7Char">
    <w:name w:val="Heading 7 Char"/>
    <w:basedOn w:val="DefaultParagraphFont"/>
    <w:link w:val="Heading7"/>
    <w:uiPriority w:val="9"/>
    <w:rsid w:val="00E66C83"/>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rsid w:val="00E66C83"/>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rsid w:val="00E66C83"/>
    <w:rPr>
      <w:rFonts w:asciiTheme="minorHAnsi" w:eastAsiaTheme="majorEastAsia" w:hAnsiTheme="minorHAnsi" w:cstheme="majorBidi"/>
      <w:color w:val="272727" w:themeColor="text1" w:themeTint="D8"/>
      <w:kern w:val="2"/>
      <w:sz w:val="24"/>
      <w:szCs w:val="24"/>
      <w14:ligatures w14:val="standardContextual"/>
    </w:rPr>
  </w:style>
  <w:style w:type="paragraph" w:customStyle="1" w:styleId="BM-BookCover">
    <w:name w:val="BM - BookCover"/>
    <w:basedOn w:val="Normal"/>
    <w:rsid w:val="00E66C83"/>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E66C83"/>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E66C83"/>
    <w:pPr>
      <w:spacing w:after="120" w:line="276" w:lineRule="auto"/>
      <w:jc w:val="both"/>
    </w:pPr>
    <w:rPr>
      <w:rFonts w:ascii="Crimson Pro" w:eastAsia="Times New Roman" w:hAnsi="Crimson Pro" w:cs="Times New Roman"/>
      <w:szCs w:val="24"/>
    </w:rPr>
  </w:style>
  <w:style w:type="paragraph" w:customStyle="1" w:styleId="C-Comment">
    <w:name w:val="C - Comment"/>
    <w:basedOn w:val="P0-Paragraph"/>
    <w:next w:val="P0-Paragraph"/>
    <w:rsid w:val="00E66C83"/>
    <w:pPr>
      <w:spacing w:line="360" w:lineRule="auto"/>
    </w:pPr>
    <w:rPr>
      <w:rFonts w:ascii="Arial" w:hAnsi="Arial"/>
      <w:b/>
      <w:color w:val="FF0000"/>
      <w:sz w:val="28"/>
      <w:szCs w:val="28"/>
    </w:rPr>
  </w:style>
  <w:style w:type="paragraph" w:customStyle="1" w:styleId="C-Citation">
    <w:name w:val="C - Citation"/>
    <w:basedOn w:val="C-Comment"/>
    <w:qFormat/>
    <w:rsid w:val="00E66C83"/>
    <w:rPr>
      <w:color w:val="FFFF00"/>
      <w:sz w:val="20"/>
    </w:rPr>
  </w:style>
  <w:style w:type="paragraph" w:customStyle="1" w:styleId="C0-CodeBlock">
    <w:name w:val="C0 - CodeBlock"/>
    <w:basedOn w:val="Normal"/>
    <w:rsid w:val="00E66C83"/>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E66C83"/>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E66C83"/>
    <w:pPr>
      <w:ind w:left="907"/>
    </w:pPr>
  </w:style>
  <w:style w:type="paragraph" w:customStyle="1" w:styleId="C1-ConsoleBlock">
    <w:name w:val="C1 - ConsoleBlock"/>
    <w:basedOn w:val="C1-CodeBlock"/>
    <w:rsid w:val="00E66C83"/>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E66C83"/>
    <w:pPr>
      <w:ind w:left="1526"/>
    </w:pPr>
  </w:style>
  <w:style w:type="paragraph" w:customStyle="1" w:styleId="C2-ConsoleBlock">
    <w:name w:val="C2 - ConsoleBlock"/>
    <w:basedOn w:val="C0-ConsoleBlock"/>
    <w:rsid w:val="00E66C83"/>
    <w:pPr>
      <w:ind w:left="2074"/>
    </w:pPr>
  </w:style>
  <w:style w:type="character" w:customStyle="1" w:styleId="CS-BoldItalic">
    <w:name w:val="CS - BoldItalic"/>
    <w:basedOn w:val="DefaultParagraphFont"/>
    <w:rsid w:val="00E66C83"/>
    <w:rPr>
      <w:b/>
      <w:i/>
    </w:rPr>
  </w:style>
  <w:style w:type="character" w:customStyle="1" w:styleId="CS-HighlightedCode">
    <w:name w:val="CS - HighlightedCode"/>
    <w:qFormat/>
    <w:rsid w:val="00E66C83"/>
    <w:rPr>
      <w:rFonts w:ascii="Consolas" w:hAnsi="Consolas"/>
      <w:b/>
      <w:color w:val="747959"/>
      <w:sz w:val="19"/>
      <w:szCs w:val="18"/>
    </w:rPr>
  </w:style>
  <w:style w:type="character" w:customStyle="1" w:styleId="CS-InlineCode">
    <w:name w:val="CS - InlineCode"/>
    <w:rsid w:val="00E66C83"/>
    <w:rPr>
      <w:rFonts w:ascii="Consolas" w:hAnsi="Consolas"/>
      <w:color w:val="747959"/>
      <w:sz w:val="19"/>
      <w:szCs w:val="18"/>
    </w:rPr>
  </w:style>
  <w:style w:type="character" w:customStyle="1" w:styleId="CS-Italic">
    <w:name w:val="CS - Italic"/>
    <w:rsid w:val="00E66C83"/>
    <w:rPr>
      <w:i/>
      <w:color w:val="FF99CC"/>
    </w:rPr>
  </w:style>
  <w:style w:type="character" w:customStyle="1" w:styleId="CS-Keyword">
    <w:name w:val="CS - Keyword"/>
    <w:rsid w:val="00E66C83"/>
    <w:rPr>
      <w:b/>
    </w:rPr>
  </w:style>
  <w:style w:type="character" w:customStyle="1" w:styleId="CS-Screentext">
    <w:name w:val="CS - Screentext"/>
    <w:rsid w:val="00E66C83"/>
    <w:rPr>
      <w:b/>
      <w:color w:val="008000"/>
    </w:rPr>
  </w:style>
  <w:style w:type="character" w:customStyle="1" w:styleId="CS-Subscript">
    <w:name w:val="CS - Subscript"/>
    <w:basedOn w:val="DefaultParagraphFont"/>
    <w:rsid w:val="00E66C83"/>
    <w:rPr>
      <w:i w:val="0"/>
      <w:vertAlign w:val="subscript"/>
    </w:rPr>
  </w:style>
  <w:style w:type="character" w:customStyle="1" w:styleId="CS-SubscriptBold">
    <w:name w:val="CS - SubscriptBold"/>
    <w:basedOn w:val="DefaultParagraphFont"/>
    <w:rsid w:val="00E66C83"/>
    <w:rPr>
      <w:b/>
      <w:vertAlign w:val="subscript"/>
    </w:rPr>
  </w:style>
  <w:style w:type="character" w:customStyle="1" w:styleId="CS-SubscriptBoldItalic">
    <w:name w:val="CS - SubscriptBoldItalic"/>
    <w:basedOn w:val="DefaultParagraphFont"/>
    <w:rsid w:val="00E66C83"/>
    <w:rPr>
      <w:b/>
      <w:i/>
      <w:vertAlign w:val="subscript"/>
    </w:rPr>
  </w:style>
  <w:style w:type="character" w:customStyle="1" w:styleId="CS-SubscriptItalic">
    <w:name w:val="CS - SubscriptItalic"/>
    <w:basedOn w:val="DefaultParagraphFont"/>
    <w:rsid w:val="00E66C83"/>
    <w:rPr>
      <w:i/>
      <w:vertAlign w:val="subscript"/>
    </w:rPr>
  </w:style>
  <w:style w:type="character" w:customStyle="1" w:styleId="CS-Superscript">
    <w:name w:val="CS - Superscript"/>
    <w:basedOn w:val="DefaultParagraphFont"/>
    <w:rsid w:val="00E66C83"/>
    <w:rPr>
      <w:vertAlign w:val="superscript"/>
    </w:rPr>
  </w:style>
  <w:style w:type="character" w:customStyle="1" w:styleId="CS-SuperscriptBold">
    <w:name w:val="CS - SuperscriptBold"/>
    <w:basedOn w:val="DefaultParagraphFont"/>
    <w:rsid w:val="00E66C83"/>
    <w:rPr>
      <w:b/>
      <w:vertAlign w:val="superscript"/>
    </w:rPr>
  </w:style>
  <w:style w:type="character" w:customStyle="1" w:styleId="CS-SuperscriptBoldItalic">
    <w:name w:val="CS - SuperscriptBoldItalic"/>
    <w:basedOn w:val="DefaultParagraphFont"/>
    <w:rsid w:val="00E66C83"/>
    <w:rPr>
      <w:b/>
      <w:i/>
      <w:vertAlign w:val="superscript"/>
    </w:rPr>
  </w:style>
  <w:style w:type="character" w:customStyle="1" w:styleId="CS-SuperscriptItalic">
    <w:name w:val="CS - SuperscriptItalic"/>
    <w:basedOn w:val="DefaultParagraphFont"/>
    <w:rsid w:val="00E66C83"/>
    <w:rPr>
      <w:i/>
      <w:vertAlign w:val="superscript"/>
    </w:rPr>
  </w:style>
  <w:style w:type="character" w:customStyle="1" w:styleId="CS-URL">
    <w:name w:val="CS - URL"/>
    <w:rsid w:val="00E66C83"/>
    <w:rPr>
      <w:rFonts w:ascii="Consolas" w:hAnsi="Consolas"/>
      <w:color w:val="0000FF"/>
      <w:sz w:val="19"/>
      <w:szCs w:val="18"/>
    </w:rPr>
  </w:style>
  <w:style w:type="paragraph" w:customStyle="1" w:styleId="F0-Figure">
    <w:name w:val="F0 - Figure"/>
    <w:basedOn w:val="P0-Paragraph"/>
    <w:next w:val="Normal"/>
    <w:rsid w:val="00E66C83"/>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E66C83"/>
    <w:pPr>
      <w:ind w:left="630" w:right="630"/>
    </w:pPr>
  </w:style>
  <w:style w:type="paragraph" w:customStyle="1" w:styleId="F1-Figure">
    <w:name w:val="F1 - Figure"/>
    <w:basedOn w:val="F0-Figure"/>
    <w:next w:val="F0-FigureCaption"/>
    <w:qFormat/>
    <w:rsid w:val="00E66C83"/>
    <w:pPr>
      <w:ind w:left="630"/>
    </w:pPr>
  </w:style>
  <w:style w:type="paragraph" w:customStyle="1" w:styleId="F1-FigureCaption">
    <w:name w:val="F1 - FigureCaption"/>
    <w:basedOn w:val="F0-FigureCaption"/>
    <w:rsid w:val="00E66C83"/>
    <w:pPr>
      <w:ind w:left="1260"/>
    </w:pPr>
  </w:style>
  <w:style w:type="paragraph" w:customStyle="1" w:styleId="F2-Figure">
    <w:name w:val="F2 - Figure"/>
    <w:basedOn w:val="F0-Figure"/>
    <w:rsid w:val="00E66C83"/>
    <w:pPr>
      <w:ind w:left="1260"/>
    </w:pPr>
  </w:style>
  <w:style w:type="paragraph" w:customStyle="1" w:styleId="F2-FigureCaption">
    <w:name w:val="F2 - FigureCaption"/>
    <w:basedOn w:val="F0-FigureCaption"/>
    <w:rsid w:val="00E66C83"/>
    <w:pPr>
      <w:ind w:left="1890"/>
    </w:pPr>
  </w:style>
  <w:style w:type="paragraph" w:customStyle="1" w:styleId="FM-Acknowledgement">
    <w:name w:val="FM - Acknowledgement"/>
    <w:basedOn w:val="Normal"/>
    <w:rsid w:val="00E66C83"/>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E66C83"/>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E66C83"/>
    <w:rPr>
      <w:b/>
      <w:sz w:val="28"/>
    </w:rPr>
  </w:style>
  <w:style w:type="character" w:customStyle="1" w:styleId="FM-AuthorNameinBio">
    <w:name w:val="FM - AuthorNameinBio"/>
    <w:uiPriority w:val="1"/>
    <w:rsid w:val="00E66C83"/>
    <w:rPr>
      <w:b/>
      <w:color w:val="FF0000"/>
      <w:sz w:val="24"/>
    </w:rPr>
  </w:style>
  <w:style w:type="paragraph" w:customStyle="1" w:styleId="FM-BookEdition">
    <w:name w:val="FM - BookEdition"/>
    <w:basedOn w:val="FM-BookTitle"/>
    <w:rsid w:val="00E66C83"/>
    <w:rPr>
      <w:sz w:val="28"/>
    </w:rPr>
  </w:style>
  <w:style w:type="paragraph" w:customStyle="1" w:styleId="FM-CopyrightPageBookEdition">
    <w:name w:val="FM - CopyrightPageBookEdition"/>
    <w:basedOn w:val="FM-BookTitle"/>
    <w:rsid w:val="00E66C83"/>
    <w:pPr>
      <w:spacing w:before="0"/>
    </w:pPr>
    <w:rPr>
      <w:sz w:val="26"/>
    </w:rPr>
  </w:style>
  <w:style w:type="paragraph" w:customStyle="1" w:styleId="FM-CopyrightPageBookTitle">
    <w:name w:val="FM - CopyrightPageBookTitle"/>
    <w:basedOn w:val="FM-BookTitle"/>
    <w:rsid w:val="00E66C83"/>
    <w:rPr>
      <w:sz w:val="32"/>
    </w:rPr>
  </w:style>
  <w:style w:type="paragraph" w:customStyle="1" w:styleId="FM-CopyrightPageText">
    <w:name w:val="FM - CopyrightPageText"/>
    <w:basedOn w:val="Normal"/>
    <w:rsid w:val="00E66C83"/>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E66C83"/>
    <w:pPr>
      <w:spacing w:after="80"/>
    </w:pPr>
  </w:style>
  <w:style w:type="paragraph" w:customStyle="1" w:styleId="FM-Subtitle">
    <w:name w:val="FM - Subtitle"/>
    <w:basedOn w:val="FM-BookTitle"/>
    <w:rsid w:val="00E66C83"/>
    <w:rPr>
      <w:sz w:val="32"/>
    </w:rPr>
  </w:style>
  <w:style w:type="paragraph" w:customStyle="1" w:styleId="FM-TitlePageLogo">
    <w:name w:val="FM - TitlePageLogo"/>
    <w:basedOn w:val="FM-BookTitle"/>
    <w:rsid w:val="00E66C83"/>
    <w:rPr>
      <w:noProof/>
      <w:sz w:val="22"/>
    </w:rPr>
  </w:style>
  <w:style w:type="paragraph" w:customStyle="1" w:styleId="FM-TitlePageLogoFooter">
    <w:name w:val="FM - TitlePageLogoFooter"/>
    <w:basedOn w:val="FM-BookTitle"/>
    <w:rsid w:val="00E66C83"/>
    <w:rPr>
      <w:sz w:val="22"/>
    </w:rPr>
  </w:style>
  <w:style w:type="paragraph" w:customStyle="1" w:styleId="hljs">
    <w:name w:val="hljs"/>
    <w:basedOn w:val="Normal"/>
    <w:uiPriority w:val="1"/>
    <w:unhideWhenUsed/>
    <w:rsid w:val="00E66C83"/>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E66C83"/>
    <w:rPr>
      <w:color w:val="50A14F"/>
    </w:rPr>
  </w:style>
  <w:style w:type="character" w:customStyle="1" w:styleId="hljs-addition-slc">
    <w:name w:val="hljs-addition-slc"/>
    <w:basedOn w:val="hljs-addition"/>
    <w:uiPriority w:val="1"/>
    <w:unhideWhenUsed/>
    <w:rsid w:val="00E66C83"/>
    <w:rPr>
      <w:b/>
      <w:bCs/>
      <w:color w:val="50A14F"/>
      <w:sz w:val="20"/>
      <w:shd w:val="clear" w:color="auto" w:fill="D4D4D4"/>
    </w:rPr>
  </w:style>
  <w:style w:type="character" w:customStyle="1" w:styleId="hljs-attr">
    <w:name w:val="hljs-attr"/>
    <w:basedOn w:val="DefaultParagraphFont"/>
    <w:uiPriority w:val="1"/>
    <w:unhideWhenUsed/>
    <w:rsid w:val="00E66C83"/>
    <w:rPr>
      <w:color w:val="986801"/>
    </w:rPr>
  </w:style>
  <w:style w:type="character" w:customStyle="1" w:styleId="hljs-attribute">
    <w:name w:val="hljs-attribute"/>
    <w:basedOn w:val="DefaultParagraphFont"/>
    <w:uiPriority w:val="1"/>
    <w:unhideWhenUsed/>
    <w:rsid w:val="00E66C83"/>
    <w:rPr>
      <w:color w:val="50A14F"/>
    </w:rPr>
  </w:style>
  <w:style w:type="character" w:customStyle="1" w:styleId="hljs-attribute-slc">
    <w:name w:val="hljs-attribute-slc"/>
    <w:basedOn w:val="hljs-attribute"/>
    <w:uiPriority w:val="1"/>
    <w:unhideWhenUsed/>
    <w:rsid w:val="00E66C83"/>
    <w:rPr>
      <w:b/>
      <w:bCs/>
      <w:color w:val="50A14F"/>
      <w:sz w:val="20"/>
      <w:shd w:val="clear" w:color="auto" w:fill="D4D4D4"/>
    </w:rPr>
  </w:style>
  <w:style w:type="character" w:customStyle="1" w:styleId="hljs-attr-slc">
    <w:name w:val="hljs-attr-slc"/>
    <w:basedOn w:val="hljs-attr"/>
    <w:uiPriority w:val="1"/>
    <w:unhideWhenUsed/>
    <w:rsid w:val="00E66C83"/>
    <w:rPr>
      <w:b/>
      <w:bCs/>
      <w:color w:val="986801"/>
      <w:sz w:val="20"/>
      <w:shd w:val="clear" w:color="auto" w:fill="D4D4D4"/>
    </w:rPr>
  </w:style>
  <w:style w:type="character" w:customStyle="1" w:styleId="hljs-builtin">
    <w:name w:val="hljs-built_in"/>
    <w:basedOn w:val="DefaultParagraphFont"/>
    <w:unhideWhenUsed/>
    <w:rsid w:val="00E66C83"/>
    <w:rPr>
      <w:color w:val="C18401"/>
    </w:rPr>
  </w:style>
  <w:style w:type="character" w:customStyle="1" w:styleId="hljs-builtin-slc">
    <w:name w:val="hljs-built_in-slc"/>
    <w:basedOn w:val="hljs-builtin"/>
    <w:uiPriority w:val="1"/>
    <w:unhideWhenUsed/>
    <w:rsid w:val="00E66C83"/>
    <w:rPr>
      <w:b/>
      <w:bCs/>
      <w:color w:val="C18401"/>
      <w:sz w:val="20"/>
      <w:shd w:val="clear" w:color="auto" w:fill="D4D4D4"/>
    </w:rPr>
  </w:style>
  <w:style w:type="character" w:customStyle="1" w:styleId="hljs-builtin-name">
    <w:name w:val="hljs-builtin-name"/>
    <w:basedOn w:val="DefaultParagraphFont"/>
    <w:uiPriority w:val="1"/>
    <w:unhideWhenUsed/>
    <w:rsid w:val="00E66C83"/>
  </w:style>
  <w:style w:type="character" w:customStyle="1" w:styleId="hljs-builtin-name-slc">
    <w:name w:val="hljs-builtin-name-slc"/>
    <w:basedOn w:val="hljs-builtin-name"/>
    <w:uiPriority w:val="1"/>
    <w:unhideWhenUsed/>
    <w:rsid w:val="00E66C83"/>
    <w:rPr>
      <w:b/>
      <w:bCs/>
      <w:sz w:val="20"/>
      <w:shd w:val="clear" w:color="auto" w:fill="D4D4D4"/>
    </w:rPr>
  </w:style>
  <w:style w:type="character" w:customStyle="1" w:styleId="hljs-bullet">
    <w:name w:val="hljs-bullet"/>
    <w:basedOn w:val="DefaultParagraphFont"/>
    <w:uiPriority w:val="1"/>
    <w:unhideWhenUsed/>
    <w:rsid w:val="00E66C83"/>
    <w:rPr>
      <w:color w:val="4078F2"/>
    </w:rPr>
  </w:style>
  <w:style w:type="character" w:customStyle="1" w:styleId="hljs-bullet-slc">
    <w:name w:val="hljs-bullet-slc"/>
    <w:basedOn w:val="hljs-bullet"/>
    <w:uiPriority w:val="1"/>
    <w:unhideWhenUsed/>
    <w:rsid w:val="00E66C83"/>
    <w:rPr>
      <w:b/>
      <w:bCs/>
      <w:color w:val="4078F2"/>
      <w:sz w:val="20"/>
      <w:shd w:val="clear" w:color="auto" w:fill="D4D4D4"/>
    </w:rPr>
  </w:style>
  <w:style w:type="character" w:customStyle="1" w:styleId="hljs-class">
    <w:name w:val="hljs-class"/>
    <w:basedOn w:val="DefaultParagraphFont"/>
    <w:uiPriority w:val="1"/>
    <w:unhideWhenUsed/>
    <w:rsid w:val="00E66C83"/>
  </w:style>
  <w:style w:type="character" w:customStyle="1" w:styleId="hljs-class-slc">
    <w:name w:val="hljs-class-slc"/>
    <w:basedOn w:val="hljs-class"/>
    <w:uiPriority w:val="1"/>
    <w:unhideWhenUsed/>
    <w:rsid w:val="00E66C83"/>
    <w:rPr>
      <w:b/>
      <w:bCs/>
      <w:sz w:val="20"/>
      <w:shd w:val="clear" w:color="auto" w:fill="D4D4D4"/>
    </w:rPr>
  </w:style>
  <w:style w:type="character" w:customStyle="1" w:styleId="hljs-code">
    <w:name w:val="hljs-code"/>
    <w:basedOn w:val="DefaultParagraphFont"/>
    <w:uiPriority w:val="1"/>
    <w:unhideWhenUsed/>
    <w:rsid w:val="00E66C83"/>
  </w:style>
  <w:style w:type="character" w:customStyle="1" w:styleId="hljs-code-slc">
    <w:name w:val="hljs-code-slc"/>
    <w:basedOn w:val="hljs-code"/>
    <w:uiPriority w:val="1"/>
    <w:unhideWhenUsed/>
    <w:rsid w:val="00E66C83"/>
    <w:rPr>
      <w:b/>
      <w:bCs/>
      <w:sz w:val="20"/>
      <w:shd w:val="clear" w:color="auto" w:fill="D4D4D4"/>
    </w:rPr>
  </w:style>
  <w:style w:type="character" w:customStyle="1" w:styleId="hljs-comment">
    <w:name w:val="hljs-comment"/>
    <w:basedOn w:val="DefaultParagraphFont"/>
    <w:uiPriority w:val="1"/>
    <w:unhideWhenUsed/>
    <w:rsid w:val="00E66C83"/>
    <w:rPr>
      <w:i/>
      <w:iCs/>
      <w:color w:val="A0A1A7"/>
    </w:rPr>
  </w:style>
  <w:style w:type="character" w:customStyle="1" w:styleId="hljs-comment-slc">
    <w:name w:val="hljs-comment-slc"/>
    <w:basedOn w:val="hljs-comment"/>
    <w:uiPriority w:val="1"/>
    <w:unhideWhenUsed/>
    <w:rsid w:val="00E66C83"/>
    <w:rPr>
      <w:b/>
      <w:bCs/>
      <w:i/>
      <w:iCs/>
      <w:color w:val="A0A1A7"/>
      <w:sz w:val="20"/>
      <w:shd w:val="clear" w:color="auto" w:fill="D4D4D4"/>
    </w:rPr>
  </w:style>
  <w:style w:type="paragraph" w:customStyle="1" w:styleId="hljs-con">
    <w:name w:val="hljs-con"/>
    <w:basedOn w:val="Normal"/>
    <w:uiPriority w:val="1"/>
    <w:unhideWhenUsed/>
    <w:rsid w:val="00E66C83"/>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E66C83"/>
    <w:rPr>
      <w:color w:val="F1FA8C"/>
    </w:rPr>
  </w:style>
  <w:style w:type="character" w:customStyle="1" w:styleId="hljs-con-addition-slc">
    <w:name w:val="hljs-con-addition-slc"/>
    <w:basedOn w:val="DefaultParagraphFont"/>
    <w:uiPriority w:val="1"/>
    <w:unhideWhenUsed/>
    <w:rsid w:val="00E66C83"/>
    <w:rPr>
      <w:b/>
      <w:bCs/>
      <w:color w:val="F1FA8C"/>
      <w:shd w:val="clear" w:color="auto" w:fill="44475A"/>
    </w:rPr>
  </w:style>
  <w:style w:type="character" w:customStyle="1" w:styleId="hljs-con-attr">
    <w:name w:val="hljs-con-attr"/>
    <w:basedOn w:val="DefaultParagraphFont"/>
    <w:uiPriority w:val="1"/>
    <w:unhideWhenUsed/>
    <w:rsid w:val="00E66C83"/>
    <w:rPr>
      <w:color w:val="F1FA8C"/>
    </w:rPr>
  </w:style>
  <w:style w:type="character" w:customStyle="1" w:styleId="hljs-con-attribute">
    <w:name w:val="hljs-con-attribute"/>
    <w:basedOn w:val="DefaultParagraphFont"/>
    <w:uiPriority w:val="1"/>
    <w:unhideWhenUsed/>
    <w:rsid w:val="00E66C83"/>
    <w:rPr>
      <w:color w:val="F8F8F2"/>
      <w:shd w:val="clear" w:color="auto" w:fill="282A36"/>
    </w:rPr>
  </w:style>
  <w:style w:type="character" w:customStyle="1" w:styleId="Heading1Char">
    <w:name w:val="Heading 1 Char"/>
    <w:basedOn w:val="DefaultParagraphFont"/>
    <w:link w:val="Heading1"/>
    <w:uiPriority w:val="9"/>
    <w:rsid w:val="00E66C83"/>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E66C83"/>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E66C83"/>
    <w:rPr>
      <w:rFonts w:asciiTheme="minorHAnsi" w:eastAsiaTheme="majorEastAsia" w:hAnsiTheme="minorHAnsi"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E66C83"/>
    <w:rPr>
      <w:rFonts w:asciiTheme="minorHAnsi" w:eastAsiaTheme="majorEastAsia" w:hAnsiTheme="minorHAnsi"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rsid w:val="00E66C83"/>
    <w:rPr>
      <w:rFonts w:asciiTheme="minorHAnsi" w:eastAsiaTheme="majorEastAsia" w:hAnsiTheme="minorHAnsi"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rsid w:val="00E66C83"/>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ljs-con-attribute-slc">
    <w:name w:val="hljs-con-attribute-slc"/>
    <w:basedOn w:val="DefaultParagraphFont"/>
    <w:uiPriority w:val="1"/>
    <w:unhideWhenUsed/>
    <w:rsid w:val="00E66C83"/>
    <w:rPr>
      <w:b/>
      <w:bCs/>
      <w:color w:val="F8F8F2"/>
      <w:shd w:val="clear" w:color="auto" w:fill="44475A"/>
    </w:rPr>
  </w:style>
  <w:style w:type="character" w:customStyle="1" w:styleId="hljs-con-attr-slc">
    <w:name w:val="hljs-con-attr-slc"/>
    <w:basedOn w:val="DefaultParagraphFont"/>
    <w:uiPriority w:val="1"/>
    <w:unhideWhenUsed/>
    <w:rsid w:val="00E66C83"/>
    <w:rPr>
      <w:b/>
      <w:bCs/>
      <w:color w:val="F1FA8C"/>
      <w:shd w:val="clear" w:color="auto" w:fill="44475A"/>
    </w:rPr>
  </w:style>
  <w:style w:type="character" w:customStyle="1" w:styleId="hljs-con-builtin">
    <w:name w:val="hljs-con-built_in"/>
    <w:basedOn w:val="DefaultParagraphFont"/>
    <w:uiPriority w:val="1"/>
    <w:unhideWhenUsed/>
    <w:rsid w:val="00E66C83"/>
    <w:rPr>
      <w:color w:val="8BE9FD"/>
    </w:rPr>
  </w:style>
  <w:style w:type="character" w:customStyle="1" w:styleId="hljs-con-builtin-slc">
    <w:name w:val="hljs-con-built_in-slc"/>
    <w:basedOn w:val="DefaultParagraphFont"/>
    <w:uiPriority w:val="1"/>
    <w:unhideWhenUsed/>
    <w:rsid w:val="00E66C83"/>
    <w:rPr>
      <w:b/>
      <w:bCs/>
      <w:color w:val="8BE9FD"/>
      <w:shd w:val="clear" w:color="auto" w:fill="44475A"/>
    </w:rPr>
  </w:style>
  <w:style w:type="character" w:customStyle="1" w:styleId="hljs-con-builtin-name">
    <w:name w:val="hljs-con-builtin-name"/>
    <w:basedOn w:val="DefaultParagraphFont"/>
    <w:uiPriority w:val="1"/>
    <w:unhideWhenUsed/>
    <w:rsid w:val="00E66C83"/>
    <w:rPr>
      <w:color w:val="F8F8F2"/>
      <w:shd w:val="clear" w:color="auto" w:fill="282A36"/>
    </w:rPr>
  </w:style>
  <w:style w:type="character" w:customStyle="1" w:styleId="hljs-con-builtin-name-slc">
    <w:name w:val="hljs-con-builtin-name-slc"/>
    <w:basedOn w:val="DefaultParagraphFont"/>
    <w:uiPriority w:val="1"/>
    <w:unhideWhenUsed/>
    <w:rsid w:val="00E66C83"/>
    <w:rPr>
      <w:b/>
      <w:bCs/>
      <w:color w:val="F8F8F2"/>
      <w:shd w:val="clear" w:color="auto" w:fill="44475A"/>
    </w:rPr>
  </w:style>
  <w:style w:type="character" w:customStyle="1" w:styleId="hljs-con-bullet">
    <w:name w:val="hljs-con-bullet"/>
    <w:basedOn w:val="DefaultParagraphFont"/>
    <w:uiPriority w:val="1"/>
    <w:unhideWhenUsed/>
    <w:rsid w:val="00E66C83"/>
    <w:rPr>
      <w:color w:val="F1FA8C"/>
    </w:rPr>
  </w:style>
  <w:style w:type="character" w:customStyle="1" w:styleId="hljs-con-bullet-slc">
    <w:name w:val="hljs-con-bullet-slc"/>
    <w:basedOn w:val="DefaultParagraphFont"/>
    <w:uiPriority w:val="1"/>
    <w:unhideWhenUsed/>
    <w:rsid w:val="00E66C83"/>
    <w:rPr>
      <w:b/>
      <w:bCs/>
      <w:color w:val="F1FA8C"/>
      <w:shd w:val="clear" w:color="auto" w:fill="44475A"/>
    </w:rPr>
  </w:style>
  <w:style w:type="character" w:customStyle="1" w:styleId="hljs-con-class">
    <w:name w:val="hljs-con-class"/>
    <w:basedOn w:val="DefaultParagraphFont"/>
    <w:uiPriority w:val="1"/>
    <w:unhideWhenUsed/>
    <w:rsid w:val="00E66C83"/>
    <w:rPr>
      <w:color w:val="F8F8F2"/>
      <w:shd w:val="clear" w:color="auto" w:fill="282A36"/>
    </w:rPr>
  </w:style>
  <w:style w:type="character" w:customStyle="1" w:styleId="hljs-con-class-slc">
    <w:name w:val="hljs-con-class-slc"/>
    <w:basedOn w:val="DefaultParagraphFont"/>
    <w:uiPriority w:val="1"/>
    <w:unhideWhenUsed/>
    <w:rsid w:val="00E66C83"/>
    <w:rPr>
      <w:b/>
      <w:bCs/>
      <w:color w:val="F8F8F2"/>
      <w:shd w:val="clear" w:color="auto" w:fill="44475A"/>
    </w:rPr>
  </w:style>
  <w:style w:type="character" w:customStyle="1" w:styleId="hljs-con-code">
    <w:name w:val="hljs-con-code"/>
    <w:basedOn w:val="DefaultParagraphFont"/>
    <w:uiPriority w:val="1"/>
    <w:unhideWhenUsed/>
    <w:rsid w:val="00E66C83"/>
    <w:rPr>
      <w:color w:val="F8F8F2"/>
      <w:shd w:val="clear" w:color="auto" w:fill="282A36"/>
    </w:rPr>
  </w:style>
  <w:style w:type="character" w:customStyle="1" w:styleId="hljs-con-code-slc">
    <w:name w:val="hljs-con-code-slc"/>
    <w:basedOn w:val="DefaultParagraphFont"/>
    <w:uiPriority w:val="1"/>
    <w:unhideWhenUsed/>
    <w:rsid w:val="00E66C83"/>
    <w:rPr>
      <w:b/>
      <w:bCs/>
      <w:color w:val="F8F8F2"/>
      <w:shd w:val="clear" w:color="auto" w:fill="44475A"/>
    </w:rPr>
  </w:style>
  <w:style w:type="character" w:customStyle="1" w:styleId="hljs-con-comment">
    <w:name w:val="hljs-con-comment"/>
    <w:basedOn w:val="DefaultParagraphFont"/>
    <w:uiPriority w:val="1"/>
    <w:unhideWhenUsed/>
    <w:rsid w:val="00E66C83"/>
    <w:rPr>
      <w:color w:val="6272A4"/>
    </w:rPr>
  </w:style>
  <w:style w:type="character" w:customStyle="1" w:styleId="hljs-con-comment-slc">
    <w:name w:val="hljs-con-comment-slc"/>
    <w:basedOn w:val="DefaultParagraphFont"/>
    <w:uiPriority w:val="1"/>
    <w:unhideWhenUsed/>
    <w:rsid w:val="00E66C83"/>
    <w:rPr>
      <w:b/>
      <w:bCs/>
      <w:color w:val="6272A4"/>
      <w:shd w:val="clear" w:color="auto" w:fill="44475A"/>
    </w:rPr>
  </w:style>
  <w:style w:type="character" w:customStyle="1" w:styleId="hljs-con-constructor">
    <w:name w:val="hljs-con-constructor"/>
    <w:basedOn w:val="DefaultParagraphFont"/>
    <w:uiPriority w:val="1"/>
    <w:unhideWhenUsed/>
    <w:rsid w:val="00E66C83"/>
    <w:rPr>
      <w:color w:val="F8F8F2"/>
      <w:shd w:val="clear" w:color="auto" w:fill="282A36"/>
    </w:rPr>
  </w:style>
  <w:style w:type="character" w:customStyle="1" w:styleId="hljs-con-constructor-slc">
    <w:name w:val="hljs-con-constructor-slc"/>
    <w:basedOn w:val="DefaultParagraphFont"/>
    <w:uiPriority w:val="1"/>
    <w:unhideWhenUsed/>
    <w:rsid w:val="00E66C83"/>
    <w:rPr>
      <w:b/>
      <w:bCs/>
      <w:color w:val="F8F8F2"/>
      <w:shd w:val="clear" w:color="auto" w:fill="44475A"/>
    </w:rPr>
  </w:style>
  <w:style w:type="character" w:customStyle="1" w:styleId="hljs-con-deletion">
    <w:name w:val="hljs-con-deletion"/>
    <w:basedOn w:val="DefaultParagraphFont"/>
    <w:uiPriority w:val="1"/>
    <w:unhideWhenUsed/>
    <w:rsid w:val="00E66C83"/>
    <w:rPr>
      <w:color w:val="6272A4"/>
    </w:rPr>
  </w:style>
  <w:style w:type="character" w:customStyle="1" w:styleId="hljs-con-deletion-slc">
    <w:name w:val="hljs-con-deletion-slc"/>
    <w:basedOn w:val="DefaultParagraphFont"/>
    <w:uiPriority w:val="1"/>
    <w:unhideWhenUsed/>
    <w:rsid w:val="00E66C83"/>
    <w:rPr>
      <w:b/>
      <w:bCs/>
      <w:color w:val="6272A4"/>
      <w:shd w:val="clear" w:color="auto" w:fill="44475A"/>
    </w:rPr>
  </w:style>
  <w:style w:type="character" w:customStyle="1" w:styleId="hljs-con-doctag">
    <w:name w:val="hljs-con-doctag"/>
    <w:basedOn w:val="DefaultParagraphFont"/>
    <w:uiPriority w:val="1"/>
    <w:unhideWhenUsed/>
    <w:rsid w:val="00E66C83"/>
    <w:rPr>
      <w:b/>
      <w:bCs/>
    </w:rPr>
  </w:style>
  <w:style w:type="character" w:customStyle="1" w:styleId="hljs-con-doctag-slc">
    <w:name w:val="hljs-con-doctag-slc"/>
    <w:basedOn w:val="DefaultParagraphFont"/>
    <w:uiPriority w:val="1"/>
    <w:unhideWhenUsed/>
    <w:rsid w:val="00E66C83"/>
    <w:rPr>
      <w:b/>
      <w:bCs/>
      <w:shd w:val="clear" w:color="auto" w:fill="44475A"/>
    </w:rPr>
  </w:style>
  <w:style w:type="character" w:customStyle="1" w:styleId="hljs-con-emphasis">
    <w:name w:val="hljs-con-emphasis"/>
    <w:basedOn w:val="DefaultParagraphFont"/>
    <w:uiPriority w:val="1"/>
    <w:unhideWhenUsed/>
    <w:rsid w:val="00E66C83"/>
    <w:rPr>
      <w:i/>
      <w:iCs/>
    </w:rPr>
  </w:style>
  <w:style w:type="character" w:customStyle="1" w:styleId="hljs-con-emphasis-slc">
    <w:name w:val="hljs-con-emphasis-slc"/>
    <w:basedOn w:val="DefaultParagraphFont"/>
    <w:uiPriority w:val="1"/>
    <w:unhideWhenUsed/>
    <w:rsid w:val="00E66C83"/>
    <w:rPr>
      <w:b/>
      <w:bCs/>
      <w:i/>
      <w:iCs/>
      <w:shd w:val="clear" w:color="auto" w:fill="44475A"/>
    </w:rPr>
  </w:style>
  <w:style w:type="character" w:customStyle="1" w:styleId="hljs-con-formula">
    <w:name w:val="hljs-con-formula"/>
    <w:basedOn w:val="DefaultParagraphFont"/>
    <w:uiPriority w:val="1"/>
    <w:unhideWhenUsed/>
    <w:rsid w:val="00E66C83"/>
    <w:rPr>
      <w:color w:val="F8F8F2"/>
      <w:shd w:val="clear" w:color="auto" w:fill="282A36"/>
    </w:rPr>
  </w:style>
  <w:style w:type="character" w:customStyle="1" w:styleId="hljs-con-formula-slc">
    <w:name w:val="hljs-con-formula-slc"/>
    <w:basedOn w:val="DefaultParagraphFont"/>
    <w:uiPriority w:val="1"/>
    <w:unhideWhenUsed/>
    <w:rsid w:val="00E66C83"/>
    <w:rPr>
      <w:b/>
      <w:bCs/>
      <w:color w:val="F8F8F2"/>
      <w:shd w:val="clear" w:color="auto" w:fill="44475A"/>
    </w:rPr>
  </w:style>
  <w:style w:type="character" w:customStyle="1" w:styleId="hljs-con-function">
    <w:name w:val="hljs-con-function"/>
    <w:basedOn w:val="DefaultParagraphFont"/>
    <w:uiPriority w:val="1"/>
    <w:unhideWhenUsed/>
    <w:rsid w:val="00E66C83"/>
    <w:rPr>
      <w:color w:val="F8F8F2"/>
      <w:shd w:val="clear" w:color="auto" w:fill="282A36"/>
    </w:rPr>
  </w:style>
  <w:style w:type="character" w:customStyle="1" w:styleId="hljs-con-function-slc">
    <w:name w:val="hljs-con-function-slc"/>
    <w:basedOn w:val="DefaultParagraphFont"/>
    <w:uiPriority w:val="1"/>
    <w:unhideWhenUsed/>
    <w:rsid w:val="00E66C83"/>
    <w:rPr>
      <w:b/>
      <w:bCs/>
      <w:color w:val="F8F8F2"/>
      <w:shd w:val="clear" w:color="auto" w:fill="44475A"/>
    </w:rPr>
  </w:style>
  <w:style w:type="character" w:customStyle="1" w:styleId="hljs-con-keyword">
    <w:name w:val="hljs-con-keyword"/>
    <w:basedOn w:val="DefaultParagraphFont"/>
    <w:uiPriority w:val="1"/>
    <w:unhideWhenUsed/>
    <w:rsid w:val="00E66C83"/>
    <w:rPr>
      <w:b/>
      <w:bCs/>
      <w:color w:val="FF79C6"/>
    </w:rPr>
  </w:style>
  <w:style w:type="character" w:customStyle="1" w:styleId="hljs-con-keyword-slc">
    <w:name w:val="hljs-con-keyword-slc"/>
    <w:basedOn w:val="DefaultParagraphFont"/>
    <w:uiPriority w:val="1"/>
    <w:unhideWhenUsed/>
    <w:rsid w:val="00E66C83"/>
    <w:rPr>
      <w:b/>
      <w:bCs/>
      <w:color w:val="FF79C6"/>
      <w:shd w:val="clear" w:color="auto" w:fill="44475A"/>
    </w:rPr>
  </w:style>
  <w:style w:type="character" w:customStyle="1" w:styleId="hljs-con-link">
    <w:name w:val="hljs-con-link"/>
    <w:basedOn w:val="DefaultParagraphFont"/>
    <w:uiPriority w:val="1"/>
    <w:unhideWhenUsed/>
    <w:rsid w:val="00E66C83"/>
    <w:rPr>
      <w:color w:val="8BE9FD"/>
    </w:rPr>
  </w:style>
  <w:style w:type="character" w:customStyle="1" w:styleId="hljs-con-link-slc">
    <w:name w:val="hljs-con-link-slc"/>
    <w:basedOn w:val="DefaultParagraphFont"/>
    <w:uiPriority w:val="1"/>
    <w:unhideWhenUsed/>
    <w:rsid w:val="00E66C83"/>
    <w:rPr>
      <w:b/>
      <w:bCs/>
      <w:color w:val="8BE9FD"/>
      <w:shd w:val="clear" w:color="auto" w:fill="44475A"/>
    </w:rPr>
  </w:style>
  <w:style w:type="character" w:customStyle="1" w:styleId="hljs-con-literal">
    <w:name w:val="hljs-con-literal"/>
    <w:basedOn w:val="DefaultParagraphFont"/>
    <w:uiPriority w:val="1"/>
    <w:unhideWhenUsed/>
    <w:rsid w:val="00E66C83"/>
    <w:rPr>
      <w:b/>
      <w:bCs/>
      <w:color w:val="BD93F9"/>
    </w:rPr>
  </w:style>
  <w:style w:type="character" w:customStyle="1" w:styleId="hljs-con-literal-slc">
    <w:name w:val="hljs-con-literal-slc"/>
    <w:basedOn w:val="DefaultParagraphFont"/>
    <w:uiPriority w:val="1"/>
    <w:unhideWhenUsed/>
    <w:rsid w:val="00E66C83"/>
    <w:rPr>
      <w:b/>
      <w:bCs/>
      <w:color w:val="BD93F9"/>
      <w:shd w:val="clear" w:color="auto" w:fill="44475A"/>
    </w:rPr>
  </w:style>
  <w:style w:type="character" w:customStyle="1" w:styleId="hljs-con-meta">
    <w:name w:val="hljs-con-meta"/>
    <w:basedOn w:val="DefaultParagraphFont"/>
    <w:uiPriority w:val="1"/>
    <w:unhideWhenUsed/>
    <w:rsid w:val="00E66C83"/>
    <w:rPr>
      <w:b/>
      <w:color w:val="50FA7B"/>
    </w:rPr>
  </w:style>
  <w:style w:type="character" w:customStyle="1" w:styleId="hljs-con-meta-keyword">
    <w:name w:val="hljs-con-meta-keyword"/>
    <w:basedOn w:val="DefaultParagraphFont"/>
    <w:uiPriority w:val="1"/>
    <w:unhideWhenUsed/>
    <w:rsid w:val="00E66C83"/>
    <w:rPr>
      <w:color w:val="F8F8F2"/>
      <w:shd w:val="clear" w:color="auto" w:fill="282A36"/>
    </w:rPr>
  </w:style>
  <w:style w:type="character" w:customStyle="1" w:styleId="hljs-con-meta-keyword-slc">
    <w:name w:val="hljs-con-meta-keyword-slc"/>
    <w:basedOn w:val="DefaultParagraphFont"/>
    <w:uiPriority w:val="1"/>
    <w:unhideWhenUsed/>
    <w:rsid w:val="00E66C83"/>
    <w:rPr>
      <w:b/>
      <w:bCs/>
      <w:color w:val="F8F8F2"/>
      <w:shd w:val="clear" w:color="auto" w:fill="44475A"/>
    </w:rPr>
  </w:style>
  <w:style w:type="character" w:customStyle="1" w:styleId="hljs-con-meta-slc">
    <w:name w:val="hljs-con-meta-slc"/>
    <w:basedOn w:val="DefaultParagraphFont"/>
    <w:uiPriority w:val="1"/>
    <w:unhideWhenUsed/>
    <w:rsid w:val="00E66C83"/>
    <w:rPr>
      <w:b/>
      <w:bCs/>
      <w:color w:val="50FA7B"/>
      <w:shd w:val="clear" w:color="auto" w:fill="44475A"/>
    </w:rPr>
  </w:style>
  <w:style w:type="character" w:customStyle="1" w:styleId="hljs-con-meta-string">
    <w:name w:val="hljs-con-meta-string"/>
    <w:basedOn w:val="DefaultParagraphFont"/>
    <w:uiPriority w:val="1"/>
    <w:unhideWhenUsed/>
    <w:rsid w:val="00E66C83"/>
    <w:rPr>
      <w:color w:val="F8F8F2"/>
      <w:shd w:val="clear" w:color="auto" w:fill="282A36"/>
    </w:rPr>
  </w:style>
  <w:style w:type="character" w:customStyle="1" w:styleId="hljs-con-meta-string-slc">
    <w:name w:val="hljs-con-meta-string-slc"/>
    <w:basedOn w:val="DefaultParagraphFont"/>
    <w:uiPriority w:val="1"/>
    <w:unhideWhenUsed/>
    <w:rsid w:val="00E66C83"/>
    <w:rPr>
      <w:b/>
      <w:bCs/>
      <w:color w:val="F8F8F2"/>
      <w:shd w:val="clear" w:color="auto" w:fill="44475A"/>
    </w:rPr>
  </w:style>
  <w:style w:type="character" w:customStyle="1" w:styleId="hljs-con-module">
    <w:name w:val="hljs-con-module"/>
    <w:basedOn w:val="DefaultParagraphFont"/>
    <w:uiPriority w:val="1"/>
    <w:unhideWhenUsed/>
    <w:rsid w:val="00E66C83"/>
    <w:rPr>
      <w:color w:val="F8F8F2"/>
      <w:shd w:val="clear" w:color="auto" w:fill="282A36"/>
    </w:rPr>
  </w:style>
  <w:style w:type="character" w:customStyle="1" w:styleId="hljs-con-module-access">
    <w:name w:val="hljs-con-module-access"/>
    <w:basedOn w:val="DefaultParagraphFont"/>
    <w:uiPriority w:val="1"/>
    <w:unhideWhenUsed/>
    <w:rsid w:val="00E66C83"/>
    <w:rPr>
      <w:color w:val="F8F8F2"/>
      <w:shd w:val="clear" w:color="auto" w:fill="282A36"/>
    </w:rPr>
  </w:style>
  <w:style w:type="character" w:customStyle="1" w:styleId="hljs-con-module-access-slc">
    <w:name w:val="hljs-con-module-access-slc"/>
    <w:basedOn w:val="DefaultParagraphFont"/>
    <w:uiPriority w:val="1"/>
    <w:unhideWhenUsed/>
    <w:rsid w:val="00E66C83"/>
    <w:rPr>
      <w:b/>
      <w:bCs/>
      <w:color w:val="F8F8F2"/>
      <w:shd w:val="clear" w:color="auto" w:fill="44475A"/>
    </w:rPr>
  </w:style>
  <w:style w:type="character" w:customStyle="1" w:styleId="hljs-con-module-slc">
    <w:name w:val="hljs-con-module-slc"/>
    <w:basedOn w:val="DefaultParagraphFont"/>
    <w:uiPriority w:val="1"/>
    <w:unhideWhenUsed/>
    <w:rsid w:val="00E66C83"/>
    <w:rPr>
      <w:b/>
      <w:bCs/>
      <w:color w:val="F8F8F2"/>
      <w:shd w:val="clear" w:color="auto" w:fill="44475A"/>
    </w:rPr>
  </w:style>
  <w:style w:type="character" w:customStyle="1" w:styleId="hljs-con-name">
    <w:name w:val="hljs-con-name"/>
    <w:basedOn w:val="DefaultParagraphFont"/>
    <w:uiPriority w:val="1"/>
    <w:unhideWhenUsed/>
    <w:rsid w:val="00E66C83"/>
    <w:rPr>
      <w:b/>
      <w:bCs/>
      <w:color w:val="F1FA8C"/>
    </w:rPr>
  </w:style>
  <w:style w:type="character" w:customStyle="1" w:styleId="hljs-con-name-slc">
    <w:name w:val="hljs-con-name-slc"/>
    <w:basedOn w:val="DefaultParagraphFont"/>
    <w:uiPriority w:val="1"/>
    <w:unhideWhenUsed/>
    <w:rsid w:val="00E66C83"/>
    <w:rPr>
      <w:b/>
      <w:bCs/>
      <w:color w:val="F1FA8C"/>
      <w:shd w:val="clear" w:color="auto" w:fill="44475A"/>
    </w:rPr>
  </w:style>
  <w:style w:type="character" w:customStyle="1" w:styleId="hljs-con-number">
    <w:name w:val="hljs-con-number"/>
    <w:basedOn w:val="DefaultParagraphFont"/>
    <w:uiPriority w:val="1"/>
    <w:unhideWhenUsed/>
    <w:rsid w:val="00E66C83"/>
    <w:rPr>
      <w:color w:val="BD93F9"/>
    </w:rPr>
  </w:style>
  <w:style w:type="character" w:customStyle="1" w:styleId="hljs-con-number-slc">
    <w:name w:val="hljs-con-number-slc"/>
    <w:basedOn w:val="DefaultParagraphFont"/>
    <w:uiPriority w:val="1"/>
    <w:unhideWhenUsed/>
    <w:rsid w:val="00E66C83"/>
    <w:rPr>
      <w:b/>
      <w:bCs/>
      <w:color w:val="BD93F9"/>
      <w:shd w:val="clear" w:color="auto" w:fill="44475A"/>
    </w:rPr>
  </w:style>
  <w:style w:type="character" w:customStyle="1" w:styleId="hljs-con-operator">
    <w:name w:val="hljs-con-operator"/>
    <w:basedOn w:val="DefaultParagraphFont"/>
    <w:uiPriority w:val="1"/>
    <w:unhideWhenUsed/>
    <w:rsid w:val="00E66C83"/>
    <w:rPr>
      <w:color w:val="F8F8F2"/>
      <w:shd w:val="clear" w:color="auto" w:fill="282A36"/>
    </w:rPr>
  </w:style>
  <w:style w:type="character" w:customStyle="1" w:styleId="hljs-con-operator-slc">
    <w:name w:val="hljs-con-operator-slc"/>
    <w:basedOn w:val="DefaultParagraphFont"/>
    <w:uiPriority w:val="1"/>
    <w:unhideWhenUsed/>
    <w:rsid w:val="00E66C83"/>
    <w:rPr>
      <w:b/>
      <w:bCs/>
      <w:color w:val="F8F8F2"/>
      <w:shd w:val="clear" w:color="auto" w:fill="44475A"/>
    </w:rPr>
  </w:style>
  <w:style w:type="character" w:customStyle="1" w:styleId="hljs-con-params">
    <w:name w:val="hljs-con-params"/>
    <w:basedOn w:val="DefaultParagraphFont"/>
    <w:uiPriority w:val="1"/>
    <w:unhideWhenUsed/>
    <w:rsid w:val="00E66C83"/>
    <w:rPr>
      <w:color w:val="F8F8F2"/>
      <w:shd w:val="clear" w:color="auto" w:fill="282A36"/>
    </w:rPr>
  </w:style>
  <w:style w:type="character" w:customStyle="1" w:styleId="hljs-con-params-slc">
    <w:name w:val="hljs-con-params-slc"/>
    <w:basedOn w:val="DefaultParagraphFont"/>
    <w:uiPriority w:val="1"/>
    <w:unhideWhenUsed/>
    <w:rsid w:val="00E66C83"/>
    <w:rPr>
      <w:b/>
      <w:bCs/>
      <w:color w:val="F8F8F2"/>
      <w:shd w:val="clear" w:color="auto" w:fill="44475A"/>
    </w:rPr>
  </w:style>
  <w:style w:type="character" w:customStyle="1" w:styleId="hljs-con-pattern-match">
    <w:name w:val="hljs-con-pattern-match"/>
    <w:basedOn w:val="DefaultParagraphFont"/>
    <w:uiPriority w:val="1"/>
    <w:unhideWhenUsed/>
    <w:rsid w:val="00E66C83"/>
    <w:rPr>
      <w:color w:val="F8F8F2"/>
      <w:shd w:val="clear" w:color="auto" w:fill="282A36"/>
    </w:rPr>
  </w:style>
  <w:style w:type="character" w:customStyle="1" w:styleId="hljs-con-pattern-match-slc">
    <w:name w:val="hljs-con-pattern-match-slc"/>
    <w:basedOn w:val="DefaultParagraphFont"/>
    <w:uiPriority w:val="1"/>
    <w:unhideWhenUsed/>
    <w:rsid w:val="00E66C83"/>
    <w:rPr>
      <w:b/>
      <w:bCs/>
      <w:color w:val="F8F8F2"/>
      <w:shd w:val="clear" w:color="auto" w:fill="44475A"/>
    </w:rPr>
  </w:style>
  <w:style w:type="character" w:customStyle="1" w:styleId="hljs-con-quote">
    <w:name w:val="hljs-con-quote"/>
    <w:basedOn w:val="DefaultParagraphFont"/>
    <w:uiPriority w:val="1"/>
    <w:unhideWhenUsed/>
    <w:rsid w:val="00E66C83"/>
    <w:rPr>
      <w:color w:val="6272A4"/>
    </w:rPr>
  </w:style>
  <w:style w:type="character" w:customStyle="1" w:styleId="hljs-con-quote-slc">
    <w:name w:val="hljs-con-quote-slc"/>
    <w:basedOn w:val="DefaultParagraphFont"/>
    <w:uiPriority w:val="1"/>
    <w:unhideWhenUsed/>
    <w:rsid w:val="00E66C83"/>
    <w:rPr>
      <w:b/>
      <w:bCs/>
      <w:color w:val="6272A4"/>
      <w:shd w:val="clear" w:color="auto" w:fill="44475A"/>
    </w:rPr>
  </w:style>
  <w:style w:type="character" w:customStyle="1" w:styleId="hljs-con-regexp">
    <w:name w:val="hljs-con-regexp"/>
    <w:basedOn w:val="DefaultParagraphFont"/>
    <w:uiPriority w:val="1"/>
    <w:unhideWhenUsed/>
    <w:rsid w:val="00E66C83"/>
    <w:rPr>
      <w:color w:val="F8F8F2"/>
      <w:shd w:val="clear" w:color="auto" w:fill="282A36"/>
    </w:rPr>
  </w:style>
  <w:style w:type="character" w:customStyle="1" w:styleId="hljs-con-regexp-slc">
    <w:name w:val="hljs-con-regexp-slc"/>
    <w:basedOn w:val="DefaultParagraphFont"/>
    <w:uiPriority w:val="1"/>
    <w:unhideWhenUsed/>
    <w:rsid w:val="00E66C83"/>
    <w:rPr>
      <w:b/>
      <w:bCs/>
      <w:color w:val="F8F8F2"/>
      <w:shd w:val="clear" w:color="auto" w:fill="44475A"/>
    </w:rPr>
  </w:style>
  <w:style w:type="character" w:customStyle="1" w:styleId="hljs-con-section">
    <w:name w:val="hljs-con-section"/>
    <w:basedOn w:val="DefaultParagraphFont"/>
    <w:uiPriority w:val="1"/>
    <w:unhideWhenUsed/>
    <w:rsid w:val="00E66C83"/>
    <w:rPr>
      <w:b/>
      <w:bCs/>
      <w:color w:val="8BE9FD"/>
    </w:rPr>
  </w:style>
  <w:style w:type="character" w:customStyle="1" w:styleId="hljs-con-section-slc">
    <w:name w:val="hljs-con-section-slc"/>
    <w:basedOn w:val="DefaultParagraphFont"/>
    <w:uiPriority w:val="1"/>
    <w:unhideWhenUsed/>
    <w:rsid w:val="00E66C83"/>
    <w:rPr>
      <w:b/>
      <w:bCs/>
      <w:color w:val="8BE9FD"/>
      <w:shd w:val="clear" w:color="auto" w:fill="44475A"/>
    </w:rPr>
  </w:style>
  <w:style w:type="character" w:customStyle="1" w:styleId="hljs-con-selector-attr">
    <w:name w:val="hljs-con-selector-attr"/>
    <w:basedOn w:val="DefaultParagraphFont"/>
    <w:uiPriority w:val="1"/>
    <w:unhideWhenUsed/>
    <w:rsid w:val="00E66C83"/>
    <w:rPr>
      <w:color w:val="F8F8F2"/>
      <w:shd w:val="clear" w:color="auto" w:fill="282A36"/>
    </w:rPr>
  </w:style>
  <w:style w:type="character" w:customStyle="1" w:styleId="hljs-con-selector-attr-slc">
    <w:name w:val="hljs-con-selector-attr-slc"/>
    <w:basedOn w:val="DefaultParagraphFont"/>
    <w:uiPriority w:val="1"/>
    <w:unhideWhenUsed/>
    <w:rsid w:val="00E66C83"/>
    <w:rPr>
      <w:b/>
      <w:bCs/>
      <w:color w:val="F8F8F2"/>
      <w:shd w:val="clear" w:color="auto" w:fill="44475A"/>
    </w:rPr>
  </w:style>
  <w:style w:type="character" w:customStyle="1" w:styleId="hljs-con-selector-class">
    <w:name w:val="hljs-con-selector-class"/>
    <w:basedOn w:val="DefaultParagraphFont"/>
    <w:uiPriority w:val="1"/>
    <w:unhideWhenUsed/>
    <w:rsid w:val="00E66C83"/>
    <w:rPr>
      <w:color w:val="F8F8F2"/>
      <w:shd w:val="clear" w:color="auto" w:fill="282A36"/>
    </w:rPr>
  </w:style>
  <w:style w:type="character" w:customStyle="1" w:styleId="hljs-con-selector-class-slc">
    <w:name w:val="hljs-con-selector-class-slc"/>
    <w:basedOn w:val="DefaultParagraphFont"/>
    <w:uiPriority w:val="1"/>
    <w:unhideWhenUsed/>
    <w:rsid w:val="00E66C83"/>
    <w:rPr>
      <w:b/>
      <w:bCs/>
      <w:color w:val="F8F8F2"/>
      <w:shd w:val="clear" w:color="auto" w:fill="44475A"/>
    </w:rPr>
  </w:style>
  <w:style w:type="character" w:customStyle="1" w:styleId="hljs-con-selector-id">
    <w:name w:val="hljs-con-selector-id"/>
    <w:basedOn w:val="DefaultParagraphFont"/>
    <w:uiPriority w:val="1"/>
    <w:unhideWhenUsed/>
    <w:rsid w:val="00E66C83"/>
    <w:rPr>
      <w:color w:val="F8F8F2"/>
      <w:shd w:val="clear" w:color="auto" w:fill="282A36"/>
    </w:rPr>
  </w:style>
  <w:style w:type="character" w:customStyle="1" w:styleId="hljs-con-selector-id-slc">
    <w:name w:val="hljs-con-selector-id-slc"/>
    <w:basedOn w:val="DefaultParagraphFont"/>
    <w:uiPriority w:val="1"/>
    <w:unhideWhenUsed/>
    <w:rsid w:val="00E66C83"/>
    <w:rPr>
      <w:b/>
      <w:bCs/>
      <w:color w:val="F8F8F2"/>
      <w:shd w:val="clear" w:color="auto" w:fill="44475A"/>
    </w:rPr>
  </w:style>
  <w:style w:type="character" w:customStyle="1" w:styleId="hljs-con-selector-pseudo">
    <w:name w:val="hljs-con-selector-pseudo"/>
    <w:basedOn w:val="DefaultParagraphFont"/>
    <w:uiPriority w:val="1"/>
    <w:unhideWhenUsed/>
    <w:rsid w:val="00E66C83"/>
    <w:rPr>
      <w:color w:val="F8F8F2"/>
      <w:shd w:val="clear" w:color="auto" w:fill="282A36"/>
    </w:rPr>
  </w:style>
  <w:style w:type="character" w:customStyle="1" w:styleId="hljs-con-selector-pseudo-slc">
    <w:name w:val="hljs-con-selector-pseudo-slc"/>
    <w:basedOn w:val="DefaultParagraphFont"/>
    <w:uiPriority w:val="1"/>
    <w:unhideWhenUsed/>
    <w:rsid w:val="00E66C83"/>
    <w:rPr>
      <w:b/>
      <w:bCs/>
      <w:color w:val="F8F8F2"/>
      <w:shd w:val="clear" w:color="auto" w:fill="44475A"/>
    </w:rPr>
  </w:style>
  <w:style w:type="character" w:customStyle="1" w:styleId="hljs-con-selector-tag">
    <w:name w:val="hljs-con-selector-tag"/>
    <w:basedOn w:val="DefaultParagraphFont"/>
    <w:uiPriority w:val="1"/>
    <w:unhideWhenUsed/>
    <w:rsid w:val="00E66C83"/>
    <w:rPr>
      <w:b/>
      <w:bCs/>
      <w:color w:val="8BE9FD"/>
    </w:rPr>
  </w:style>
  <w:style w:type="character" w:customStyle="1" w:styleId="hljs-con-selector-tag-slc">
    <w:name w:val="hljs-con-selector-tag-slc"/>
    <w:basedOn w:val="DefaultParagraphFont"/>
    <w:uiPriority w:val="1"/>
    <w:unhideWhenUsed/>
    <w:rsid w:val="00E66C83"/>
    <w:rPr>
      <w:b/>
      <w:bCs/>
      <w:color w:val="8BE9FD"/>
      <w:shd w:val="clear" w:color="auto" w:fill="44475A"/>
    </w:rPr>
  </w:style>
  <w:style w:type="character" w:customStyle="1" w:styleId="hljs-con-slc">
    <w:name w:val="hljs-con-slc"/>
    <w:basedOn w:val="DefaultParagraphFont"/>
    <w:uiPriority w:val="1"/>
    <w:unhideWhenUsed/>
    <w:rsid w:val="00E66C83"/>
    <w:rPr>
      <w:b/>
      <w:color w:val="F8F8F2"/>
      <w:bdr w:val="none" w:sz="0" w:space="0" w:color="auto"/>
      <w:shd w:val="clear" w:color="auto" w:fill="44475A"/>
    </w:rPr>
  </w:style>
  <w:style w:type="character" w:customStyle="1" w:styleId="hljs-con-string">
    <w:name w:val="hljs-con-string"/>
    <w:basedOn w:val="DefaultParagraphFont"/>
    <w:uiPriority w:val="1"/>
    <w:unhideWhenUsed/>
    <w:rsid w:val="00E66C83"/>
    <w:rPr>
      <w:color w:val="F1FA8C"/>
    </w:rPr>
  </w:style>
  <w:style w:type="character" w:customStyle="1" w:styleId="hljs-con-string-slc">
    <w:name w:val="hljs-con-string-slc"/>
    <w:basedOn w:val="DefaultParagraphFont"/>
    <w:uiPriority w:val="1"/>
    <w:unhideWhenUsed/>
    <w:rsid w:val="00E66C83"/>
    <w:rPr>
      <w:b/>
      <w:bCs/>
      <w:color w:val="F1FA8C"/>
      <w:shd w:val="clear" w:color="auto" w:fill="44475A"/>
    </w:rPr>
  </w:style>
  <w:style w:type="character" w:customStyle="1" w:styleId="hljs-con-strong">
    <w:name w:val="hljs-con-strong"/>
    <w:basedOn w:val="DefaultParagraphFont"/>
    <w:uiPriority w:val="1"/>
    <w:unhideWhenUsed/>
    <w:rsid w:val="00E66C83"/>
    <w:rPr>
      <w:b/>
      <w:bCs/>
    </w:rPr>
  </w:style>
  <w:style w:type="character" w:customStyle="1" w:styleId="hljs-con-strong-slc">
    <w:name w:val="hljs-con-strong-slc"/>
    <w:basedOn w:val="DefaultParagraphFont"/>
    <w:uiPriority w:val="1"/>
    <w:unhideWhenUsed/>
    <w:rsid w:val="00E66C83"/>
    <w:rPr>
      <w:b/>
      <w:bCs/>
      <w:shd w:val="clear" w:color="auto" w:fill="44475A"/>
    </w:rPr>
  </w:style>
  <w:style w:type="character" w:customStyle="1" w:styleId="hljs-constructor">
    <w:name w:val="hljs-constructor"/>
    <w:basedOn w:val="DefaultParagraphFont"/>
    <w:uiPriority w:val="1"/>
    <w:unhideWhenUsed/>
    <w:rsid w:val="00E66C83"/>
  </w:style>
  <w:style w:type="character" w:customStyle="1" w:styleId="hljs-constructor-slc">
    <w:name w:val="hljs-constructor-slc"/>
    <w:basedOn w:val="hljs-constructor"/>
    <w:uiPriority w:val="1"/>
    <w:unhideWhenUsed/>
    <w:rsid w:val="00E66C83"/>
    <w:rPr>
      <w:b/>
      <w:bCs/>
      <w:sz w:val="20"/>
      <w:shd w:val="clear" w:color="auto" w:fill="D4D4D4"/>
    </w:rPr>
  </w:style>
  <w:style w:type="character" w:customStyle="1" w:styleId="hljs-con-subst">
    <w:name w:val="hljs-con-subst"/>
    <w:basedOn w:val="DefaultParagraphFont"/>
    <w:uiPriority w:val="1"/>
    <w:unhideWhenUsed/>
    <w:rsid w:val="00E66C83"/>
    <w:rPr>
      <w:color w:val="F8F8F2"/>
    </w:rPr>
  </w:style>
  <w:style w:type="character" w:customStyle="1" w:styleId="hljs-con-subst-slc">
    <w:name w:val="hljs-con-subst-slc"/>
    <w:basedOn w:val="DefaultParagraphFont"/>
    <w:uiPriority w:val="1"/>
    <w:unhideWhenUsed/>
    <w:rsid w:val="00E66C83"/>
    <w:rPr>
      <w:b/>
      <w:bCs/>
      <w:color w:val="F8F8F2"/>
      <w:shd w:val="clear" w:color="auto" w:fill="44475A"/>
    </w:rPr>
  </w:style>
  <w:style w:type="character" w:customStyle="1" w:styleId="hljs-con-symbol">
    <w:name w:val="hljs-con-symbol"/>
    <w:basedOn w:val="DefaultParagraphFont"/>
    <w:uiPriority w:val="1"/>
    <w:unhideWhenUsed/>
    <w:rsid w:val="00E66C83"/>
    <w:rPr>
      <w:color w:val="F1FA8C"/>
    </w:rPr>
  </w:style>
  <w:style w:type="character" w:customStyle="1" w:styleId="hljs-con-symbol-slc">
    <w:name w:val="hljs-con-symbol-slc"/>
    <w:basedOn w:val="DefaultParagraphFont"/>
    <w:uiPriority w:val="1"/>
    <w:unhideWhenUsed/>
    <w:rsid w:val="00E66C83"/>
    <w:rPr>
      <w:b/>
      <w:bCs/>
      <w:color w:val="F1FA8C"/>
      <w:shd w:val="clear" w:color="auto" w:fill="44475A"/>
    </w:rPr>
  </w:style>
  <w:style w:type="character" w:customStyle="1" w:styleId="hljs-con-tag">
    <w:name w:val="hljs-con-tag"/>
    <w:basedOn w:val="DefaultParagraphFont"/>
    <w:uiPriority w:val="1"/>
    <w:unhideWhenUsed/>
    <w:rsid w:val="00E66C83"/>
    <w:rPr>
      <w:color w:val="F8F8F2"/>
      <w:shd w:val="clear" w:color="auto" w:fill="282A36"/>
    </w:rPr>
  </w:style>
  <w:style w:type="character" w:customStyle="1" w:styleId="hljs-con-tag-slc">
    <w:name w:val="hljs-con-tag-slc"/>
    <w:basedOn w:val="DefaultParagraphFont"/>
    <w:uiPriority w:val="1"/>
    <w:unhideWhenUsed/>
    <w:rsid w:val="00E66C83"/>
    <w:rPr>
      <w:b/>
      <w:bCs/>
      <w:color w:val="F8F8F2"/>
      <w:shd w:val="clear" w:color="auto" w:fill="44475A"/>
    </w:rPr>
  </w:style>
  <w:style w:type="character" w:customStyle="1" w:styleId="hljs-con-template-tag">
    <w:name w:val="hljs-con-template-tag"/>
    <w:basedOn w:val="DefaultParagraphFont"/>
    <w:uiPriority w:val="1"/>
    <w:unhideWhenUsed/>
    <w:rsid w:val="00E66C83"/>
    <w:rPr>
      <w:color w:val="F1FA8C"/>
    </w:rPr>
  </w:style>
  <w:style w:type="character" w:customStyle="1" w:styleId="hljs-con-template-tag-slc">
    <w:name w:val="hljs-con-template-tag-slc"/>
    <w:basedOn w:val="DefaultParagraphFont"/>
    <w:uiPriority w:val="1"/>
    <w:unhideWhenUsed/>
    <w:rsid w:val="00E66C83"/>
    <w:rPr>
      <w:b/>
      <w:bCs/>
      <w:color w:val="F1FA8C"/>
      <w:shd w:val="clear" w:color="auto" w:fill="44475A"/>
    </w:rPr>
  </w:style>
  <w:style w:type="character" w:customStyle="1" w:styleId="hljs-con-template-variable">
    <w:name w:val="hljs-con-template-variable"/>
    <w:basedOn w:val="DefaultParagraphFont"/>
    <w:uiPriority w:val="1"/>
    <w:unhideWhenUsed/>
    <w:rsid w:val="00E66C83"/>
    <w:rPr>
      <w:color w:val="F1FA8C"/>
    </w:rPr>
  </w:style>
  <w:style w:type="character" w:customStyle="1" w:styleId="hljs-con-template-variable-slc">
    <w:name w:val="hljs-con-template-variable-slc"/>
    <w:basedOn w:val="DefaultParagraphFont"/>
    <w:uiPriority w:val="1"/>
    <w:unhideWhenUsed/>
    <w:rsid w:val="00E66C83"/>
    <w:rPr>
      <w:b/>
      <w:bCs/>
      <w:color w:val="F1FA8C"/>
      <w:shd w:val="clear" w:color="auto" w:fill="44475A"/>
    </w:rPr>
  </w:style>
  <w:style w:type="character" w:customStyle="1" w:styleId="hljs-con-title">
    <w:name w:val="hljs-con-title"/>
    <w:basedOn w:val="DefaultParagraphFont"/>
    <w:uiPriority w:val="1"/>
    <w:unhideWhenUsed/>
    <w:rsid w:val="00E66C83"/>
    <w:rPr>
      <w:b/>
      <w:bCs/>
      <w:color w:val="50FA7B"/>
    </w:rPr>
  </w:style>
  <w:style w:type="character" w:customStyle="1" w:styleId="hljs-con-title-slc">
    <w:name w:val="hljs-con-title-slc"/>
    <w:basedOn w:val="DefaultParagraphFont"/>
    <w:uiPriority w:val="1"/>
    <w:unhideWhenUsed/>
    <w:rsid w:val="00E66C83"/>
    <w:rPr>
      <w:b/>
      <w:bCs/>
      <w:color w:val="50FA7B"/>
      <w:shd w:val="clear" w:color="auto" w:fill="44475A"/>
    </w:rPr>
  </w:style>
  <w:style w:type="character" w:customStyle="1" w:styleId="hljs-con-type">
    <w:name w:val="hljs-con-type"/>
    <w:basedOn w:val="DefaultParagraphFont"/>
    <w:uiPriority w:val="1"/>
    <w:unhideWhenUsed/>
    <w:rsid w:val="00E66C83"/>
    <w:rPr>
      <w:b/>
      <w:bCs/>
      <w:color w:val="F1FA8C"/>
    </w:rPr>
  </w:style>
  <w:style w:type="character" w:customStyle="1" w:styleId="hljs-con-type-slc">
    <w:name w:val="hljs-con-type-slc"/>
    <w:basedOn w:val="DefaultParagraphFont"/>
    <w:uiPriority w:val="1"/>
    <w:unhideWhenUsed/>
    <w:rsid w:val="00E66C83"/>
    <w:rPr>
      <w:b/>
      <w:bCs/>
      <w:color w:val="F1FA8C"/>
      <w:shd w:val="clear" w:color="auto" w:fill="44475A"/>
    </w:rPr>
  </w:style>
  <w:style w:type="character" w:customStyle="1" w:styleId="hljs-con-typing">
    <w:name w:val="hljs-con-typing"/>
    <w:basedOn w:val="DefaultParagraphFont"/>
    <w:uiPriority w:val="1"/>
    <w:unhideWhenUsed/>
    <w:rsid w:val="00E66C83"/>
    <w:rPr>
      <w:color w:val="F8F8F2"/>
      <w:shd w:val="clear" w:color="auto" w:fill="282A36"/>
    </w:rPr>
  </w:style>
  <w:style w:type="character" w:customStyle="1" w:styleId="hljs-con-typing-slc">
    <w:name w:val="hljs-con-typing-slc"/>
    <w:basedOn w:val="DefaultParagraphFont"/>
    <w:uiPriority w:val="1"/>
    <w:unhideWhenUsed/>
    <w:rsid w:val="00E66C83"/>
    <w:rPr>
      <w:b/>
      <w:bCs/>
      <w:color w:val="F8F8F2"/>
      <w:shd w:val="clear" w:color="auto" w:fill="44475A"/>
    </w:rPr>
  </w:style>
  <w:style w:type="character" w:customStyle="1" w:styleId="hljs-con-variable">
    <w:name w:val="hljs-con-variable"/>
    <w:basedOn w:val="DefaultParagraphFont"/>
    <w:uiPriority w:val="1"/>
    <w:unhideWhenUsed/>
    <w:rsid w:val="00E66C83"/>
    <w:rPr>
      <w:color w:val="F1FA8C"/>
    </w:rPr>
  </w:style>
  <w:style w:type="character" w:customStyle="1" w:styleId="hljs-con-variable-slc">
    <w:name w:val="hljs-con-variable-slc"/>
    <w:basedOn w:val="DefaultParagraphFont"/>
    <w:uiPriority w:val="1"/>
    <w:unhideWhenUsed/>
    <w:rsid w:val="00E66C83"/>
    <w:rPr>
      <w:b/>
      <w:bCs/>
      <w:color w:val="F1FA8C"/>
      <w:shd w:val="clear" w:color="auto" w:fill="44475A"/>
    </w:rPr>
  </w:style>
  <w:style w:type="character" w:customStyle="1" w:styleId="hljs-deletion">
    <w:name w:val="hljs-deletion"/>
    <w:basedOn w:val="DefaultParagraphFont"/>
    <w:uiPriority w:val="1"/>
    <w:unhideWhenUsed/>
    <w:rsid w:val="00E66C83"/>
    <w:rPr>
      <w:color w:val="E45649"/>
    </w:rPr>
  </w:style>
  <w:style w:type="character" w:customStyle="1" w:styleId="hljs-deletion-slc">
    <w:name w:val="hljs-deletion-slc"/>
    <w:basedOn w:val="hljs-deletion"/>
    <w:uiPriority w:val="1"/>
    <w:unhideWhenUsed/>
    <w:rsid w:val="00E66C83"/>
    <w:rPr>
      <w:b/>
      <w:bCs/>
      <w:color w:val="E45649"/>
      <w:sz w:val="20"/>
      <w:shd w:val="clear" w:color="auto" w:fill="D4D4D4"/>
    </w:rPr>
  </w:style>
  <w:style w:type="character" w:customStyle="1" w:styleId="hljs-doctag">
    <w:name w:val="hljs-doctag"/>
    <w:basedOn w:val="DefaultParagraphFont"/>
    <w:uiPriority w:val="1"/>
    <w:unhideWhenUsed/>
    <w:rsid w:val="00E66C83"/>
    <w:rPr>
      <w:color w:val="A626A4"/>
    </w:rPr>
  </w:style>
  <w:style w:type="character" w:customStyle="1" w:styleId="hljs-doctag-slc">
    <w:name w:val="hljs-doctag-slc"/>
    <w:basedOn w:val="hljs-doctag"/>
    <w:uiPriority w:val="1"/>
    <w:unhideWhenUsed/>
    <w:rsid w:val="00E66C83"/>
    <w:rPr>
      <w:b/>
      <w:bCs/>
      <w:color w:val="A626A4"/>
      <w:sz w:val="20"/>
      <w:shd w:val="clear" w:color="auto" w:fill="D4D4D4"/>
    </w:rPr>
  </w:style>
  <w:style w:type="character" w:customStyle="1" w:styleId="hljs-emphasis">
    <w:name w:val="hljs-emphasis"/>
    <w:basedOn w:val="DefaultParagraphFont"/>
    <w:uiPriority w:val="1"/>
    <w:unhideWhenUsed/>
    <w:rsid w:val="00E66C83"/>
    <w:rPr>
      <w:i/>
      <w:iCs/>
    </w:rPr>
  </w:style>
  <w:style w:type="character" w:customStyle="1" w:styleId="hljs-emphasis-slc">
    <w:name w:val="hljs-emphasis-slc"/>
    <w:basedOn w:val="hljs-emphasis"/>
    <w:uiPriority w:val="1"/>
    <w:unhideWhenUsed/>
    <w:rsid w:val="00E66C83"/>
    <w:rPr>
      <w:b/>
      <w:bCs/>
      <w:i/>
      <w:iCs/>
      <w:sz w:val="20"/>
      <w:shd w:val="clear" w:color="auto" w:fill="D4D4D4"/>
    </w:rPr>
  </w:style>
  <w:style w:type="character" w:customStyle="1" w:styleId="hljs-formula">
    <w:name w:val="hljs-formula"/>
    <w:basedOn w:val="DefaultParagraphFont"/>
    <w:uiPriority w:val="1"/>
    <w:unhideWhenUsed/>
    <w:rsid w:val="00E66C83"/>
    <w:rPr>
      <w:color w:val="A626A4"/>
    </w:rPr>
  </w:style>
  <w:style w:type="character" w:customStyle="1" w:styleId="hljs-formula-slc">
    <w:name w:val="hljs-formula-slc"/>
    <w:basedOn w:val="hljs-formula"/>
    <w:uiPriority w:val="1"/>
    <w:unhideWhenUsed/>
    <w:rsid w:val="00E66C83"/>
    <w:rPr>
      <w:b/>
      <w:bCs/>
      <w:color w:val="A626A4"/>
      <w:sz w:val="20"/>
      <w:shd w:val="clear" w:color="auto" w:fill="D4D4D4"/>
    </w:rPr>
  </w:style>
  <w:style w:type="character" w:customStyle="1" w:styleId="hljs-function">
    <w:name w:val="hljs-function"/>
    <w:basedOn w:val="DefaultParagraphFont"/>
    <w:uiPriority w:val="1"/>
    <w:unhideWhenUsed/>
    <w:rsid w:val="00E66C83"/>
  </w:style>
  <w:style w:type="character" w:customStyle="1" w:styleId="hljs-function-slc">
    <w:name w:val="hljs-function-slc"/>
    <w:basedOn w:val="hljs-function"/>
    <w:uiPriority w:val="1"/>
    <w:unhideWhenUsed/>
    <w:rsid w:val="00E66C83"/>
    <w:rPr>
      <w:b/>
      <w:bCs/>
      <w:sz w:val="20"/>
      <w:shd w:val="clear" w:color="auto" w:fill="D4D4D4"/>
    </w:rPr>
  </w:style>
  <w:style w:type="character" w:customStyle="1" w:styleId="hljs-keyword">
    <w:name w:val="hljs-keyword"/>
    <w:basedOn w:val="DefaultParagraphFont"/>
    <w:uiPriority w:val="1"/>
    <w:unhideWhenUsed/>
    <w:rsid w:val="00E66C83"/>
    <w:rPr>
      <w:color w:val="A626A4"/>
    </w:rPr>
  </w:style>
  <w:style w:type="character" w:customStyle="1" w:styleId="hljs-keyword-slc">
    <w:name w:val="hljs-keyword-slc"/>
    <w:basedOn w:val="hljs-keyword"/>
    <w:uiPriority w:val="1"/>
    <w:unhideWhenUsed/>
    <w:rsid w:val="00E66C83"/>
    <w:rPr>
      <w:b/>
      <w:bCs/>
      <w:color w:val="A626A4"/>
      <w:sz w:val="20"/>
      <w:shd w:val="clear" w:color="auto" w:fill="D4D4D4"/>
    </w:rPr>
  </w:style>
  <w:style w:type="character" w:customStyle="1" w:styleId="hljs-link">
    <w:name w:val="hljs-link"/>
    <w:basedOn w:val="DefaultParagraphFont"/>
    <w:uiPriority w:val="1"/>
    <w:unhideWhenUsed/>
    <w:rsid w:val="00E66C83"/>
    <w:rPr>
      <w:color w:val="4078F2"/>
      <w:u w:val="single"/>
    </w:rPr>
  </w:style>
  <w:style w:type="character" w:customStyle="1" w:styleId="hljs-link-slc">
    <w:name w:val="hljs-link-slc"/>
    <w:basedOn w:val="hljs-link"/>
    <w:uiPriority w:val="1"/>
    <w:unhideWhenUsed/>
    <w:rsid w:val="00E66C83"/>
    <w:rPr>
      <w:b/>
      <w:bCs/>
      <w:color w:val="4078F2"/>
      <w:sz w:val="20"/>
      <w:u w:val="single"/>
      <w:shd w:val="clear" w:color="auto" w:fill="D4D4D4"/>
    </w:rPr>
  </w:style>
  <w:style w:type="character" w:customStyle="1" w:styleId="hljs-literal">
    <w:name w:val="hljs-literal"/>
    <w:basedOn w:val="DefaultParagraphFont"/>
    <w:uiPriority w:val="1"/>
    <w:unhideWhenUsed/>
    <w:rsid w:val="00E66C83"/>
    <w:rPr>
      <w:color w:val="0184BB"/>
    </w:rPr>
  </w:style>
  <w:style w:type="character" w:customStyle="1" w:styleId="hljs-literal-slc">
    <w:name w:val="hljs-literal-slc"/>
    <w:basedOn w:val="hljs-literal"/>
    <w:uiPriority w:val="1"/>
    <w:unhideWhenUsed/>
    <w:rsid w:val="00E66C83"/>
    <w:rPr>
      <w:b/>
      <w:bCs/>
      <w:color w:val="0184BB"/>
      <w:sz w:val="20"/>
      <w:shd w:val="clear" w:color="auto" w:fill="D4D4D4"/>
    </w:rPr>
  </w:style>
  <w:style w:type="character" w:customStyle="1" w:styleId="hljs-meta">
    <w:name w:val="hljs-meta"/>
    <w:basedOn w:val="DefaultParagraphFont"/>
    <w:uiPriority w:val="1"/>
    <w:unhideWhenUsed/>
    <w:rsid w:val="00E66C83"/>
    <w:rPr>
      <w:color w:val="4078F2"/>
    </w:rPr>
  </w:style>
  <w:style w:type="character" w:customStyle="1" w:styleId="hljs-meta-keyword">
    <w:name w:val="hljs-meta-keyword"/>
    <w:basedOn w:val="DefaultParagraphFont"/>
    <w:uiPriority w:val="1"/>
    <w:unhideWhenUsed/>
    <w:rsid w:val="00E66C83"/>
  </w:style>
  <w:style w:type="character" w:customStyle="1" w:styleId="hljs-meta-keyword-slc">
    <w:name w:val="hljs-meta-keyword-slc"/>
    <w:basedOn w:val="hljs-meta-keyword"/>
    <w:uiPriority w:val="1"/>
    <w:unhideWhenUsed/>
    <w:rsid w:val="00E66C83"/>
    <w:rPr>
      <w:b/>
      <w:bCs/>
      <w:sz w:val="20"/>
      <w:shd w:val="clear" w:color="auto" w:fill="D4D4D4"/>
    </w:rPr>
  </w:style>
  <w:style w:type="character" w:customStyle="1" w:styleId="hljs-meta-slc">
    <w:name w:val="hljs-meta-slc"/>
    <w:basedOn w:val="hljs-meta"/>
    <w:uiPriority w:val="1"/>
    <w:unhideWhenUsed/>
    <w:rsid w:val="00E66C83"/>
    <w:rPr>
      <w:b/>
      <w:bCs/>
      <w:color w:val="4078F2"/>
      <w:sz w:val="20"/>
      <w:shd w:val="clear" w:color="auto" w:fill="D4D4D4"/>
    </w:rPr>
  </w:style>
  <w:style w:type="character" w:customStyle="1" w:styleId="hljs-meta-string">
    <w:name w:val="hljs-meta-string"/>
    <w:basedOn w:val="DefaultParagraphFont"/>
    <w:uiPriority w:val="1"/>
    <w:unhideWhenUsed/>
    <w:rsid w:val="00E66C83"/>
    <w:rPr>
      <w:color w:val="50A14F"/>
    </w:rPr>
  </w:style>
  <w:style w:type="character" w:customStyle="1" w:styleId="hljs-meta-string-slc">
    <w:name w:val="hljs-meta-string-slc"/>
    <w:basedOn w:val="hljs-meta-string"/>
    <w:uiPriority w:val="1"/>
    <w:unhideWhenUsed/>
    <w:rsid w:val="00E66C83"/>
    <w:rPr>
      <w:b/>
      <w:bCs/>
      <w:color w:val="50A14F"/>
      <w:sz w:val="20"/>
      <w:shd w:val="clear" w:color="auto" w:fill="D4D4D4"/>
    </w:rPr>
  </w:style>
  <w:style w:type="character" w:customStyle="1" w:styleId="hljs-module">
    <w:name w:val="hljs-module"/>
    <w:basedOn w:val="DefaultParagraphFont"/>
    <w:uiPriority w:val="1"/>
    <w:unhideWhenUsed/>
    <w:rsid w:val="00E66C83"/>
  </w:style>
  <w:style w:type="character" w:customStyle="1" w:styleId="hljs-module-access">
    <w:name w:val="hljs-module-access"/>
    <w:basedOn w:val="DefaultParagraphFont"/>
    <w:uiPriority w:val="1"/>
    <w:unhideWhenUsed/>
    <w:rsid w:val="00E66C83"/>
  </w:style>
  <w:style w:type="character" w:customStyle="1" w:styleId="hljs-module-access-slc">
    <w:name w:val="hljs-module-access-slc"/>
    <w:basedOn w:val="hljs-module-access"/>
    <w:uiPriority w:val="1"/>
    <w:unhideWhenUsed/>
    <w:rsid w:val="00E66C83"/>
    <w:rPr>
      <w:b/>
      <w:bCs/>
      <w:sz w:val="20"/>
      <w:shd w:val="clear" w:color="auto" w:fill="D4D4D4"/>
    </w:rPr>
  </w:style>
  <w:style w:type="character" w:customStyle="1" w:styleId="hljs-module-slc">
    <w:name w:val="hljs-module-slc"/>
    <w:basedOn w:val="hljs-module"/>
    <w:uiPriority w:val="1"/>
    <w:unhideWhenUsed/>
    <w:rsid w:val="00E66C83"/>
    <w:rPr>
      <w:b/>
      <w:bCs/>
      <w:sz w:val="20"/>
      <w:shd w:val="clear" w:color="auto" w:fill="D4D4D4"/>
    </w:rPr>
  </w:style>
  <w:style w:type="character" w:customStyle="1" w:styleId="hljs-name">
    <w:name w:val="hljs-name"/>
    <w:basedOn w:val="DefaultParagraphFont"/>
    <w:uiPriority w:val="1"/>
    <w:unhideWhenUsed/>
    <w:rsid w:val="00E66C83"/>
    <w:rPr>
      <w:color w:val="E45649"/>
    </w:rPr>
  </w:style>
  <w:style w:type="character" w:customStyle="1" w:styleId="hljs-name-slc">
    <w:name w:val="hljs-name-slc"/>
    <w:basedOn w:val="hljs-name"/>
    <w:uiPriority w:val="1"/>
    <w:unhideWhenUsed/>
    <w:rsid w:val="00E66C83"/>
    <w:rPr>
      <w:b/>
      <w:bCs/>
      <w:color w:val="E45649"/>
      <w:sz w:val="20"/>
      <w:shd w:val="clear" w:color="auto" w:fill="D4D4D4"/>
    </w:rPr>
  </w:style>
  <w:style w:type="character" w:customStyle="1" w:styleId="hljs-number">
    <w:name w:val="hljs-number"/>
    <w:basedOn w:val="DefaultParagraphFont"/>
    <w:unhideWhenUsed/>
    <w:rsid w:val="00E66C83"/>
    <w:rPr>
      <w:color w:val="986801"/>
    </w:rPr>
  </w:style>
  <w:style w:type="character" w:customStyle="1" w:styleId="hljs-number-slc">
    <w:name w:val="hljs-number-slc"/>
    <w:basedOn w:val="hljs-number"/>
    <w:uiPriority w:val="1"/>
    <w:unhideWhenUsed/>
    <w:rsid w:val="00E66C83"/>
    <w:rPr>
      <w:b/>
      <w:bCs/>
      <w:color w:val="986801"/>
      <w:sz w:val="20"/>
      <w:shd w:val="clear" w:color="auto" w:fill="D4D4D4"/>
    </w:rPr>
  </w:style>
  <w:style w:type="character" w:customStyle="1" w:styleId="hljs-operator">
    <w:name w:val="hljs-operator"/>
    <w:basedOn w:val="DefaultParagraphFont"/>
    <w:unhideWhenUsed/>
    <w:rsid w:val="00E66C83"/>
  </w:style>
  <w:style w:type="character" w:customStyle="1" w:styleId="hljs-operator-slc">
    <w:name w:val="hljs-operator-slc"/>
    <w:basedOn w:val="hljs-operator"/>
    <w:uiPriority w:val="1"/>
    <w:unhideWhenUsed/>
    <w:rsid w:val="00E66C83"/>
    <w:rPr>
      <w:b/>
      <w:bCs/>
      <w:sz w:val="20"/>
      <w:shd w:val="clear" w:color="auto" w:fill="D4D4D4"/>
    </w:rPr>
  </w:style>
  <w:style w:type="character" w:customStyle="1" w:styleId="hljs-params">
    <w:name w:val="hljs-params"/>
    <w:basedOn w:val="DefaultParagraphFont"/>
    <w:uiPriority w:val="1"/>
    <w:unhideWhenUsed/>
    <w:rsid w:val="00E66C83"/>
  </w:style>
  <w:style w:type="character" w:customStyle="1" w:styleId="hljs-params-slc">
    <w:name w:val="hljs-params-slc"/>
    <w:basedOn w:val="hljs-params"/>
    <w:uiPriority w:val="1"/>
    <w:unhideWhenUsed/>
    <w:rsid w:val="00E66C83"/>
    <w:rPr>
      <w:b/>
      <w:bCs/>
      <w:sz w:val="20"/>
      <w:shd w:val="clear" w:color="auto" w:fill="D4D4D4"/>
    </w:rPr>
  </w:style>
  <w:style w:type="character" w:customStyle="1" w:styleId="hljs-pattern-match">
    <w:name w:val="hljs-pattern-match"/>
    <w:basedOn w:val="DefaultParagraphFont"/>
    <w:uiPriority w:val="1"/>
    <w:unhideWhenUsed/>
    <w:rsid w:val="00E66C83"/>
  </w:style>
  <w:style w:type="character" w:customStyle="1" w:styleId="hljs-pattern-match-slc">
    <w:name w:val="hljs-pattern-match-slc"/>
    <w:basedOn w:val="hljs-pattern-match"/>
    <w:uiPriority w:val="1"/>
    <w:unhideWhenUsed/>
    <w:rsid w:val="00E66C83"/>
    <w:rPr>
      <w:b/>
      <w:bCs/>
      <w:sz w:val="20"/>
      <w:shd w:val="clear" w:color="auto" w:fill="D4D4D4"/>
    </w:rPr>
  </w:style>
  <w:style w:type="character" w:customStyle="1" w:styleId="hljs-quote">
    <w:name w:val="hljs-quote"/>
    <w:basedOn w:val="DefaultParagraphFont"/>
    <w:uiPriority w:val="1"/>
    <w:unhideWhenUsed/>
    <w:rsid w:val="00E66C83"/>
    <w:rPr>
      <w:i/>
      <w:iCs/>
      <w:color w:val="A0A1A7"/>
    </w:rPr>
  </w:style>
  <w:style w:type="character" w:customStyle="1" w:styleId="hljs-quote-slc">
    <w:name w:val="hljs-quote-slc"/>
    <w:basedOn w:val="hljs-quote"/>
    <w:uiPriority w:val="1"/>
    <w:unhideWhenUsed/>
    <w:rsid w:val="00E66C83"/>
    <w:rPr>
      <w:b/>
      <w:bCs/>
      <w:i/>
      <w:iCs/>
      <w:color w:val="A0A1A7"/>
      <w:sz w:val="20"/>
      <w:shd w:val="clear" w:color="auto" w:fill="D4D4D4"/>
    </w:rPr>
  </w:style>
  <w:style w:type="character" w:customStyle="1" w:styleId="hljs-regexp">
    <w:name w:val="hljs-regexp"/>
    <w:basedOn w:val="DefaultParagraphFont"/>
    <w:uiPriority w:val="1"/>
    <w:unhideWhenUsed/>
    <w:rsid w:val="00E66C83"/>
    <w:rPr>
      <w:color w:val="50A14F"/>
    </w:rPr>
  </w:style>
  <w:style w:type="character" w:customStyle="1" w:styleId="hljs-regexp-slc">
    <w:name w:val="hljs-regexp-slc"/>
    <w:basedOn w:val="hljs-regexp"/>
    <w:uiPriority w:val="1"/>
    <w:unhideWhenUsed/>
    <w:rsid w:val="00E66C83"/>
    <w:rPr>
      <w:b/>
      <w:bCs/>
      <w:color w:val="50A14F"/>
      <w:sz w:val="20"/>
      <w:shd w:val="clear" w:color="auto" w:fill="D4D4D4"/>
    </w:rPr>
  </w:style>
  <w:style w:type="character" w:customStyle="1" w:styleId="hljs-section">
    <w:name w:val="hljs-section"/>
    <w:basedOn w:val="DefaultParagraphFont"/>
    <w:uiPriority w:val="1"/>
    <w:unhideWhenUsed/>
    <w:rsid w:val="00E66C83"/>
    <w:rPr>
      <w:color w:val="E45649"/>
    </w:rPr>
  </w:style>
  <w:style w:type="character" w:customStyle="1" w:styleId="hljs-section-slc">
    <w:name w:val="hljs-section-slc"/>
    <w:basedOn w:val="hljs-section"/>
    <w:uiPriority w:val="1"/>
    <w:unhideWhenUsed/>
    <w:rsid w:val="00E66C83"/>
    <w:rPr>
      <w:b/>
      <w:bCs/>
      <w:color w:val="E45649"/>
      <w:sz w:val="20"/>
      <w:shd w:val="clear" w:color="auto" w:fill="D4D4D4"/>
    </w:rPr>
  </w:style>
  <w:style w:type="character" w:customStyle="1" w:styleId="hljs-selector-attr">
    <w:name w:val="hljs-selector-attr"/>
    <w:basedOn w:val="DefaultParagraphFont"/>
    <w:uiPriority w:val="1"/>
    <w:unhideWhenUsed/>
    <w:rsid w:val="00E66C83"/>
    <w:rPr>
      <w:color w:val="986801"/>
    </w:rPr>
  </w:style>
  <w:style w:type="character" w:customStyle="1" w:styleId="hljs-selector-attr-slc">
    <w:name w:val="hljs-selector-attr-slc"/>
    <w:basedOn w:val="hljs-selector-attr"/>
    <w:uiPriority w:val="1"/>
    <w:unhideWhenUsed/>
    <w:rsid w:val="00E66C83"/>
    <w:rPr>
      <w:b/>
      <w:bCs/>
      <w:color w:val="986801"/>
      <w:sz w:val="20"/>
      <w:shd w:val="clear" w:color="auto" w:fill="D4D4D4"/>
    </w:rPr>
  </w:style>
  <w:style w:type="character" w:customStyle="1" w:styleId="hljs-selector-class">
    <w:name w:val="hljs-selector-class"/>
    <w:basedOn w:val="DefaultParagraphFont"/>
    <w:uiPriority w:val="1"/>
    <w:unhideWhenUsed/>
    <w:rsid w:val="00E66C83"/>
    <w:rPr>
      <w:color w:val="986801"/>
    </w:rPr>
  </w:style>
  <w:style w:type="character" w:customStyle="1" w:styleId="hljs-selector-class-slc">
    <w:name w:val="hljs-selector-class-slc"/>
    <w:basedOn w:val="hljs-selector-class"/>
    <w:uiPriority w:val="1"/>
    <w:unhideWhenUsed/>
    <w:rsid w:val="00E66C83"/>
    <w:rPr>
      <w:b/>
      <w:bCs/>
      <w:color w:val="986801"/>
      <w:sz w:val="20"/>
      <w:shd w:val="clear" w:color="auto" w:fill="D4D4D4"/>
    </w:rPr>
  </w:style>
  <w:style w:type="character" w:customStyle="1" w:styleId="hljs-selector-id">
    <w:name w:val="hljs-selector-id"/>
    <w:basedOn w:val="DefaultParagraphFont"/>
    <w:uiPriority w:val="1"/>
    <w:unhideWhenUsed/>
    <w:rsid w:val="00E66C83"/>
    <w:rPr>
      <w:color w:val="4078F2"/>
    </w:rPr>
  </w:style>
  <w:style w:type="character" w:customStyle="1" w:styleId="hljs-selector-id-slc">
    <w:name w:val="hljs-selector-id-slc"/>
    <w:basedOn w:val="hljs-selector-id"/>
    <w:uiPriority w:val="1"/>
    <w:unhideWhenUsed/>
    <w:rsid w:val="00E66C83"/>
    <w:rPr>
      <w:b/>
      <w:bCs/>
      <w:color w:val="4078F2"/>
      <w:sz w:val="20"/>
      <w:shd w:val="clear" w:color="auto" w:fill="D4D4D4"/>
    </w:rPr>
  </w:style>
  <w:style w:type="character" w:customStyle="1" w:styleId="hljs-selector-pseudo">
    <w:name w:val="hljs-selector-pseudo"/>
    <w:basedOn w:val="DefaultParagraphFont"/>
    <w:uiPriority w:val="1"/>
    <w:unhideWhenUsed/>
    <w:rsid w:val="00E66C83"/>
    <w:rPr>
      <w:color w:val="986801"/>
    </w:rPr>
  </w:style>
  <w:style w:type="character" w:customStyle="1" w:styleId="hljs-selector-pseudo-slc">
    <w:name w:val="hljs-selector-pseudo-slc"/>
    <w:basedOn w:val="hljs-selector-pseudo"/>
    <w:uiPriority w:val="1"/>
    <w:unhideWhenUsed/>
    <w:rsid w:val="00E66C83"/>
    <w:rPr>
      <w:b/>
      <w:bCs/>
      <w:color w:val="986801"/>
      <w:sz w:val="20"/>
      <w:shd w:val="clear" w:color="auto" w:fill="D4D4D4"/>
    </w:rPr>
  </w:style>
  <w:style w:type="character" w:customStyle="1" w:styleId="hljs-selector-tag">
    <w:name w:val="hljs-selector-tag"/>
    <w:basedOn w:val="DefaultParagraphFont"/>
    <w:uiPriority w:val="1"/>
    <w:unhideWhenUsed/>
    <w:rsid w:val="00E66C83"/>
    <w:rPr>
      <w:color w:val="E45649"/>
    </w:rPr>
  </w:style>
  <w:style w:type="character" w:customStyle="1" w:styleId="hljs-selector-tag-slc">
    <w:name w:val="hljs-selector-tag-slc"/>
    <w:basedOn w:val="hljs-selector-tag"/>
    <w:uiPriority w:val="1"/>
    <w:unhideWhenUsed/>
    <w:rsid w:val="00E66C83"/>
    <w:rPr>
      <w:b/>
      <w:bCs/>
      <w:color w:val="E45649"/>
      <w:sz w:val="20"/>
      <w:shd w:val="clear" w:color="auto" w:fill="D4D4D4"/>
    </w:rPr>
  </w:style>
  <w:style w:type="character" w:customStyle="1" w:styleId="hljs-slc">
    <w:name w:val="hljs-slc"/>
    <w:basedOn w:val="DefaultParagraphFont"/>
    <w:uiPriority w:val="1"/>
    <w:unhideWhenUsed/>
    <w:rsid w:val="00E66C83"/>
    <w:rPr>
      <w:b/>
      <w:bCs/>
      <w:shd w:val="clear" w:color="auto" w:fill="D4D4D4"/>
      <w:lang w:val="en-IN"/>
    </w:rPr>
  </w:style>
  <w:style w:type="character" w:customStyle="1" w:styleId="hljs-string">
    <w:name w:val="hljs-string"/>
    <w:basedOn w:val="DefaultParagraphFont"/>
    <w:uiPriority w:val="1"/>
    <w:unhideWhenUsed/>
    <w:rsid w:val="00E66C83"/>
    <w:rPr>
      <w:color w:val="50A14F"/>
    </w:rPr>
  </w:style>
  <w:style w:type="character" w:customStyle="1" w:styleId="hljs-string-slc">
    <w:name w:val="hljs-string-slc"/>
    <w:basedOn w:val="hljs-string"/>
    <w:uiPriority w:val="1"/>
    <w:unhideWhenUsed/>
    <w:rsid w:val="00E66C83"/>
    <w:rPr>
      <w:b/>
      <w:bCs/>
      <w:color w:val="50A14F"/>
      <w:sz w:val="20"/>
      <w:shd w:val="clear" w:color="auto" w:fill="D4D4D4"/>
    </w:rPr>
  </w:style>
  <w:style w:type="character" w:customStyle="1" w:styleId="hljs-strong">
    <w:name w:val="hljs-strong"/>
    <w:basedOn w:val="DefaultParagraphFont"/>
    <w:uiPriority w:val="1"/>
    <w:unhideWhenUsed/>
    <w:rsid w:val="00E66C83"/>
    <w:rPr>
      <w:b/>
      <w:bCs/>
    </w:rPr>
  </w:style>
  <w:style w:type="character" w:customStyle="1" w:styleId="hljs-strong-slc">
    <w:name w:val="hljs-strong-slc"/>
    <w:basedOn w:val="hljs-strong"/>
    <w:uiPriority w:val="1"/>
    <w:unhideWhenUsed/>
    <w:rsid w:val="00E66C83"/>
    <w:rPr>
      <w:b/>
      <w:bCs/>
      <w:sz w:val="20"/>
      <w:shd w:val="clear" w:color="auto" w:fill="D4D4D4"/>
    </w:rPr>
  </w:style>
  <w:style w:type="character" w:customStyle="1" w:styleId="hljs-subst">
    <w:name w:val="hljs-subst"/>
    <w:basedOn w:val="DefaultParagraphFont"/>
    <w:uiPriority w:val="1"/>
    <w:unhideWhenUsed/>
    <w:rsid w:val="00E66C83"/>
    <w:rPr>
      <w:color w:val="E45649"/>
    </w:rPr>
  </w:style>
  <w:style w:type="character" w:customStyle="1" w:styleId="hljs-subst-slc">
    <w:name w:val="hljs-subst-slc"/>
    <w:basedOn w:val="hljs-subst"/>
    <w:uiPriority w:val="1"/>
    <w:unhideWhenUsed/>
    <w:rsid w:val="00E66C83"/>
    <w:rPr>
      <w:b/>
      <w:bCs/>
      <w:color w:val="E45649"/>
      <w:sz w:val="20"/>
      <w:shd w:val="clear" w:color="auto" w:fill="D4D4D4"/>
    </w:rPr>
  </w:style>
  <w:style w:type="character" w:customStyle="1" w:styleId="hljs-symbol">
    <w:name w:val="hljs-symbol"/>
    <w:basedOn w:val="DefaultParagraphFont"/>
    <w:uiPriority w:val="1"/>
    <w:unhideWhenUsed/>
    <w:rsid w:val="00E66C83"/>
    <w:rPr>
      <w:color w:val="4078F2"/>
    </w:rPr>
  </w:style>
  <w:style w:type="character" w:customStyle="1" w:styleId="hljs-symbol-slc">
    <w:name w:val="hljs-symbol-slc"/>
    <w:basedOn w:val="hljs-symbol"/>
    <w:uiPriority w:val="1"/>
    <w:unhideWhenUsed/>
    <w:rsid w:val="00E66C83"/>
    <w:rPr>
      <w:b/>
      <w:bCs/>
      <w:color w:val="4078F2"/>
      <w:sz w:val="20"/>
      <w:shd w:val="clear" w:color="auto" w:fill="D4D4D4"/>
    </w:rPr>
  </w:style>
  <w:style w:type="character" w:customStyle="1" w:styleId="hljs-tag">
    <w:name w:val="hljs-tag"/>
    <w:basedOn w:val="DefaultParagraphFont"/>
    <w:uiPriority w:val="1"/>
    <w:unhideWhenUsed/>
    <w:rsid w:val="00E66C83"/>
  </w:style>
  <w:style w:type="character" w:customStyle="1" w:styleId="hljs-tag-slc">
    <w:name w:val="hljs-tag-slc"/>
    <w:basedOn w:val="hljs-tag"/>
    <w:uiPriority w:val="1"/>
    <w:unhideWhenUsed/>
    <w:rsid w:val="00E66C83"/>
    <w:rPr>
      <w:b/>
      <w:bCs/>
      <w:sz w:val="20"/>
      <w:shd w:val="clear" w:color="auto" w:fill="D4D4D4"/>
    </w:rPr>
  </w:style>
  <w:style w:type="character" w:customStyle="1" w:styleId="hljs-template-tag">
    <w:name w:val="hljs-template-tag"/>
    <w:basedOn w:val="DefaultParagraphFont"/>
    <w:uiPriority w:val="1"/>
    <w:unhideWhenUsed/>
    <w:rsid w:val="00E66C83"/>
  </w:style>
  <w:style w:type="character" w:customStyle="1" w:styleId="hljs-template-tag-slc">
    <w:name w:val="hljs-template-tag-slc"/>
    <w:basedOn w:val="hljs-template-tag"/>
    <w:uiPriority w:val="1"/>
    <w:unhideWhenUsed/>
    <w:rsid w:val="00E66C83"/>
    <w:rPr>
      <w:b/>
      <w:bCs/>
      <w:sz w:val="20"/>
      <w:shd w:val="clear" w:color="auto" w:fill="D4D4D4"/>
    </w:rPr>
  </w:style>
  <w:style w:type="character" w:customStyle="1" w:styleId="hljs-template-variable">
    <w:name w:val="hljs-template-variable"/>
    <w:basedOn w:val="DefaultParagraphFont"/>
    <w:uiPriority w:val="1"/>
    <w:unhideWhenUsed/>
    <w:rsid w:val="00E66C83"/>
    <w:rPr>
      <w:color w:val="986801"/>
    </w:rPr>
  </w:style>
  <w:style w:type="character" w:customStyle="1" w:styleId="hljs-template-variable-slc">
    <w:name w:val="hljs-template-variable-slc"/>
    <w:basedOn w:val="hljs-template-variable"/>
    <w:uiPriority w:val="1"/>
    <w:unhideWhenUsed/>
    <w:rsid w:val="00E66C83"/>
    <w:rPr>
      <w:b/>
      <w:bCs/>
      <w:color w:val="986801"/>
      <w:sz w:val="20"/>
      <w:shd w:val="clear" w:color="auto" w:fill="D4D4D4"/>
    </w:rPr>
  </w:style>
  <w:style w:type="character" w:customStyle="1" w:styleId="hljs-title">
    <w:name w:val="hljs-title"/>
    <w:basedOn w:val="DefaultParagraphFont"/>
    <w:uiPriority w:val="1"/>
    <w:unhideWhenUsed/>
    <w:rsid w:val="00E66C83"/>
    <w:rPr>
      <w:color w:val="4078F2"/>
    </w:rPr>
  </w:style>
  <w:style w:type="character" w:customStyle="1" w:styleId="hljs-title-slc">
    <w:name w:val="hljs-title-slc"/>
    <w:basedOn w:val="hljs-title"/>
    <w:uiPriority w:val="1"/>
    <w:unhideWhenUsed/>
    <w:rsid w:val="00E66C83"/>
    <w:rPr>
      <w:b/>
      <w:bCs/>
      <w:color w:val="4078F2"/>
      <w:sz w:val="20"/>
      <w:shd w:val="clear" w:color="auto" w:fill="D4D4D4"/>
    </w:rPr>
  </w:style>
  <w:style w:type="character" w:customStyle="1" w:styleId="hljs-type">
    <w:name w:val="hljs-type"/>
    <w:basedOn w:val="DefaultParagraphFont"/>
    <w:uiPriority w:val="1"/>
    <w:unhideWhenUsed/>
    <w:rsid w:val="00E66C83"/>
    <w:rPr>
      <w:color w:val="986801"/>
    </w:rPr>
  </w:style>
  <w:style w:type="character" w:customStyle="1" w:styleId="hljs-type-slc">
    <w:name w:val="hljs-type-slc"/>
    <w:basedOn w:val="hljs-type"/>
    <w:uiPriority w:val="1"/>
    <w:unhideWhenUsed/>
    <w:rsid w:val="00E66C83"/>
    <w:rPr>
      <w:b/>
      <w:bCs/>
      <w:color w:val="986801"/>
      <w:sz w:val="20"/>
      <w:shd w:val="clear" w:color="auto" w:fill="D4D4D4"/>
    </w:rPr>
  </w:style>
  <w:style w:type="character" w:customStyle="1" w:styleId="hljs-typing">
    <w:name w:val="hljs-typing"/>
    <w:basedOn w:val="DefaultParagraphFont"/>
    <w:uiPriority w:val="1"/>
    <w:unhideWhenUsed/>
    <w:rsid w:val="00E66C83"/>
  </w:style>
  <w:style w:type="character" w:customStyle="1" w:styleId="hljs-typing-slc">
    <w:name w:val="hljs-typing-slc"/>
    <w:basedOn w:val="hljs-typing"/>
    <w:uiPriority w:val="1"/>
    <w:unhideWhenUsed/>
    <w:rsid w:val="00E66C83"/>
    <w:rPr>
      <w:b/>
      <w:bCs/>
      <w:sz w:val="20"/>
      <w:shd w:val="clear" w:color="auto" w:fill="D4D4D4"/>
    </w:rPr>
  </w:style>
  <w:style w:type="character" w:customStyle="1" w:styleId="hljs-variable">
    <w:name w:val="hljs-variable"/>
    <w:basedOn w:val="DefaultParagraphFont"/>
    <w:unhideWhenUsed/>
    <w:rsid w:val="00E66C83"/>
    <w:rPr>
      <w:color w:val="986801"/>
    </w:rPr>
  </w:style>
  <w:style w:type="character" w:customStyle="1" w:styleId="hljs-variable-slc">
    <w:name w:val="hljs-variable-slc"/>
    <w:basedOn w:val="hljs-variable"/>
    <w:uiPriority w:val="1"/>
    <w:unhideWhenUsed/>
    <w:rsid w:val="00E66C83"/>
    <w:rPr>
      <w:b/>
      <w:bCs/>
      <w:color w:val="986801"/>
      <w:sz w:val="20"/>
      <w:shd w:val="clear" w:color="auto" w:fill="D4D4D4"/>
    </w:rPr>
  </w:style>
  <w:style w:type="paragraph" w:customStyle="1" w:styleId="HS-ChapterNumber">
    <w:name w:val="HS - ChapterNumber"/>
    <w:next w:val="Normal"/>
    <w:rsid w:val="00E66C83"/>
    <w:pPr>
      <w:spacing w:after="450" w:line="240" w:lineRule="auto"/>
    </w:pPr>
    <w:rPr>
      <w:rFonts w:ascii="Jost* Medium" w:eastAsia="Times New Roman" w:hAnsi="Jost* Medium" w:cs="Arial"/>
      <w:bCs/>
      <w:color w:val="000000"/>
      <w:kern w:val="32"/>
      <w:sz w:val="168"/>
      <w:szCs w:val="32"/>
      <w:lang w:val="en-GB"/>
    </w:rPr>
  </w:style>
  <w:style w:type="paragraph" w:customStyle="1" w:styleId="HS-ChapterTitle">
    <w:name w:val="HS - ChapterTitle"/>
    <w:next w:val="P0-Paragraph"/>
    <w:rsid w:val="00E66C83"/>
    <w:pPr>
      <w:spacing w:after="720" w:line="240" w:lineRule="auto"/>
    </w:pPr>
    <w:rPr>
      <w:rFonts w:ascii="Jost* Medium" w:eastAsia="Times New Roman" w:hAnsi="Jost* Medium" w:cs="Arial"/>
      <w:bCs/>
      <w:color w:val="000000"/>
      <w:kern w:val="32"/>
      <w:sz w:val="56"/>
      <w:szCs w:val="32"/>
      <w:lang w:val="en-GB"/>
    </w:rPr>
  </w:style>
  <w:style w:type="paragraph" w:customStyle="1" w:styleId="HS-Heading1">
    <w:name w:val="HS - Heading 1"/>
    <w:next w:val="P0-Paragraph"/>
    <w:link w:val="HS-Heading1Char"/>
    <w:qFormat/>
    <w:rsid w:val="00E66C83"/>
    <w:pPr>
      <w:keepNext/>
      <w:spacing w:before="90" w:after="50" w:line="240" w:lineRule="auto"/>
      <w:outlineLvl w:val="0"/>
    </w:pPr>
    <w:rPr>
      <w:rFonts w:ascii="Jost*" w:eastAsia="Times New Roman" w:hAnsi="Jost*" w:cs="Times New Roman"/>
      <w:b/>
      <w:sz w:val="32"/>
      <w:szCs w:val="24"/>
    </w:rPr>
  </w:style>
  <w:style w:type="character" w:customStyle="1" w:styleId="HS-Heading1Char">
    <w:name w:val="HS - Heading 1 Char"/>
    <w:basedOn w:val="DefaultParagraphFont"/>
    <w:link w:val="HS-Heading1"/>
    <w:rsid w:val="00E66C83"/>
    <w:rPr>
      <w:rFonts w:ascii="Jost*" w:eastAsia="Times New Roman" w:hAnsi="Jost*" w:cs="Times New Roman"/>
      <w:b/>
      <w:sz w:val="32"/>
      <w:szCs w:val="24"/>
    </w:rPr>
  </w:style>
  <w:style w:type="paragraph" w:customStyle="1" w:styleId="HS-Heading2">
    <w:name w:val="HS - Heading 2"/>
    <w:basedOn w:val="HS-Heading1"/>
    <w:next w:val="P0-Paragraph"/>
    <w:rsid w:val="00E66C83"/>
    <w:pPr>
      <w:outlineLvl w:val="1"/>
    </w:pPr>
    <w:rPr>
      <w:sz w:val="28"/>
    </w:rPr>
  </w:style>
  <w:style w:type="paragraph" w:customStyle="1" w:styleId="HS-Heading3">
    <w:name w:val="HS - Heading 3"/>
    <w:basedOn w:val="HS-Heading1"/>
    <w:next w:val="P0-Paragraph"/>
    <w:rsid w:val="00E66C83"/>
    <w:pPr>
      <w:spacing w:before="72"/>
      <w:outlineLvl w:val="2"/>
    </w:pPr>
    <w:rPr>
      <w:sz w:val="26"/>
    </w:rPr>
  </w:style>
  <w:style w:type="paragraph" w:customStyle="1" w:styleId="HS-Heading4">
    <w:name w:val="HS - Heading 4"/>
    <w:basedOn w:val="HS-Heading1"/>
    <w:next w:val="P0-Paragraph"/>
    <w:rsid w:val="00E66C83"/>
    <w:pPr>
      <w:spacing w:before="72"/>
      <w:outlineLvl w:val="3"/>
    </w:pPr>
    <w:rPr>
      <w:sz w:val="24"/>
    </w:rPr>
  </w:style>
  <w:style w:type="paragraph" w:customStyle="1" w:styleId="HS-Heading5">
    <w:name w:val="HS - Heading 5"/>
    <w:basedOn w:val="HS-Heading1"/>
    <w:next w:val="P0-Paragraph"/>
    <w:rsid w:val="00E66C83"/>
    <w:pPr>
      <w:spacing w:before="50"/>
      <w:outlineLvl w:val="4"/>
    </w:pPr>
    <w:rPr>
      <w:rFonts w:ascii="Jost* Semi" w:hAnsi="Jost* Semi"/>
      <w:b w:val="0"/>
      <w:sz w:val="24"/>
    </w:rPr>
  </w:style>
  <w:style w:type="paragraph" w:customStyle="1" w:styleId="HS-Heading6">
    <w:name w:val="HS - Heading 6"/>
    <w:basedOn w:val="HS-Heading1"/>
    <w:next w:val="P0-Paragraph"/>
    <w:rsid w:val="00E66C83"/>
    <w:pPr>
      <w:spacing w:before="50"/>
      <w:outlineLvl w:val="5"/>
    </w:pPr>
    <w:rPr>
      <w:rFonts w:ascii="Jost* Semi" w:hAnsi="Jost* Semi"/>
      <w:b w:val="0"/>
      <w:sz w:val="24"/>
    </w:rPr>
  </w:style>
  <w:style w:type="paragraph" w:customStyle="1" w:styleId="HS-MainHeading">
    <w:name w:val="HS - MainHeading"/>
    <w:basedOn w:val="HS-ChapterTitle"/>
    <w:rsid w:val="00E66C83"/>
    <w:pPr>
      <w:spacing w:before="900"/>
      <w:jc w:val="right"/>
    </w:pPr>
    <w:rPr>
      <w:rFonts w:ascii="Jost* Semi" w:hAnsi="Jost* Semi"/>
    </w:rPr>
  </w:style>
  <w:style w:type="paragraph" w:customStyle="1" w:styleId="HS-PartNumber">
    <w:name w:val="HS - PartNumber"/>
    <w:basedOn w:val="HS-ChapterTitle"/>
    <w:next w:val="Normal"/>
    <w:rsid w:val="00E66C83"/>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E66C83"/>
    <w:rPr>
      <w:rFonts w:ascii="Jost*" w:hAnsi="Jost*"/>
      <w:sz w:val="72"/>
    </w:rPr>
  </w:style>
  <w:style w:type="paragraph" w:customStyle="1" w:styleId="I0-InfoBox">
    <w:name w:val="I0 - InfoBox"/>
    <w:basedOn w:val="P0-Paragraph"/>
    <w:link w:val="I0-InfoBoxChar"/>
    <w:qFormat/>
    <w:rsid w:val="00E66C83"/>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E66C83"/>
    <w:rPr>
      <w:rFonts w:ascii="Crimson Pro" w:eastAsia="Times New Roman" w:hAnsi="Crimson Pro" w:cs="Times New Roman"/>
      <w:sz w:val="20"/>
      <w:szCs w:val="24"/>
      <w:shd w:val="clear" w:color="auto" w:fill="FFFFFF"/>
    </w:rPr>
  </w:style>
  <w:style w:type="paragraph" w:customStyle="1" w:styleId="I0-InfoBoxBullet">
    <w:name w:val="I0 - InfoBoxBullet"/>
    <w:basedOn w:val="I0-InfoBox"/>
    <w:qFormat/>
    <w:rsid w:val="00E66C83"/>
    <w:pPr>
      <w:numPr>
        <w:numId w:val="14"/>
      </w:numPr>
      <w:spacing w:after="0"/>
      <w:ind w:left="360"/>
      <w:contextualSpacing/>
    </w:pPr>
  </w:style>
  <w:style w:type="paragraph" w:customStyle="1" w:styleId="I0-InfoBoxFigure">
    <w:name w:val="I0 - InfoBoxFigure"/>
    <w:basedOn w:val="I0-InfoBox"/>
    <w:qFormat/>
    <w:rsid w:val="00E66C83"/>
    <w:pPr>
      <w:jc w:val="center"/>
    </w:pPr>
    <w:rPr>
      <w:sz w:val="16"/>
    </w:rPr>
  </w:style>
  <w:style w:type="paragraph" w:customStyle="1" w:styleId="I0-InfoBoxCaption">
    <w:name w:val="I0 - InfoBoxCaption"/>
    <w:basedOn w:val="I0-InfoBoxFigure"/>
    <w:rsid w:val="00E66C83"/>
  </w:style>
  <w:style w:type="paragraph" w:customStyle="1" w:styleId="I0-InfoBoxCenter">
    <w:name w:val="I0 - InfoBoxCenter"/>
    <w:basedOn w:val="I0-InfoBox"/>
    <w:rsid w:val="00E66C83"/>
    <w:pPr>
      <w:jc w:val="center"/>
    </w:pPr>
  </w:style>
  <w:style w:type="paragraph" w:customStyle="1" w:styleId="I0-InfoBoxCode">
    <w:name w:val="I0 - InfoBoxCode"/>
    <w:basedOn w:val="I0-InfoBox"/>
    <w:rsid w:val="00E66C83"/>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E66C83"/>
    <w:pPr>
      <w:shd w:val="clear" w:color="auto" w:fill="282A36"/>
    </w:pPr>
    <w:rPr>
      <w:color w:val="F8F8F2"/>
    </w:rPr>
  </w:style>
  <w:style w:type="paragraph" w:customStyle="1" w:styleId="I0-InfoBoxNumberedList">
    <w:name w:val="I0 - InfoBoxNumberedList"/>
    <w:basedOn w:val="I0-InfoBoxBullet"/>
    <w:rsid w:val="00E66C83"/>
    <w:pPr>
      <w:numPr>
        <w:numId w:val="4"/>
      </w:numPr>
      <w:ind w:left="360"/>
    </w:pPr>
  </w:style>
  <w:style w:type="paragraph" w:customStyle="1" w:styleId="L1-Bullet">
    <w:name w:val="L1 - Bullet"/>
    <w:basedOn w:val="P0-Paragraph"/>
    <w:autoRedefine/>
    <w:rsid w:val="00E66C83"/>
    <w:pPr>
      <w:numPr>
        <w:numId w:val="16"/>
      </w:numPr>
      <w:tabs>
        <w:tab w:val="left" w:pos="360"/>
      </w:tabs>
      <w:suppressAutoHyphens/>
      <w:spacing w:after="126"/>
      <w:ind w:left="990"/>
      <w:contextualSpacing/>
    </w:pPr>
  </w:style>
  <w:style w:type="paragraph" w:customStyle="1" w:styleId="L1-Alphabet">
    <w:name w:val="L1 - Alphabet"/>
    <w:basedOn w:val="L1-Bullet"/>
    <w:rsid w:val="00E66C83"/>
    <w:pPr>
      <w:numPr>
        <w:numId w:val="5"/>
      </w:numPr>
      <w:spacing w:after="2"/>
      <w:ind w:left="990"/>
    </w:pPr>
  </w:style>
  <w:style w:type="paragraph" w:customStyle="1" w:styleId="L1-Numbered">
    <w:name w:val="L1 - Numbered"/>
    <w:basedOn w:val="L1-Bullet"/>
    <w:rsid w:val="00E66C83"/>
    <w:pPr>
      <w:numPr>
        <w:numId w:val="6"/>
      </w:numPr>
      <w:ind w:left="990" w:hanging="360"/>
    </w:pPr>
  </w:style>
  <w:style w:type="paragraph" w:customStyle="1" w:styleId="L2-Bullet">
    <w:name w:val="L2 - Bullet"/>
    <w:basedOn w:val="L1-Bullet"/>
    <w:rsid w:val="00E66C83"/>
    <w:pPr>
      <w:ind w:left="1620"/>
    </w:pPr>
  </w:style>
  <w:style w:type="paragraph" w:customStyle="1" w:styleId="L2-Alphabet">
    <w:name w:val="L2 - Alphabet"/>
    <w:basedOn w:val="L2-Bullet"/>
    <w:qFormat/>
    <w:rsid w:val="00E66C83"/>
    <w:pPr>
      <w:numPr>
        <w:numId w:val="8"/>
      </w:numPr>
      <w:ind w:left="1620"/>
    </w:pPr>
    <w:rPr>
      <w:bCs/>
    </w:rPr>
  </w:style>
  <w:style w:type="paragraph" w:customStyle="1" w:styleId="L2-Numbered">
    <w:name w:val="L2 - Numbered"/>
    <w:basedOn w:val="L2-Bullet"/>
    <w:rsid w:val="00E66C83"/>
    <w:pPr>
      <w:numPr>
        <w:numId w:val="9"/>
      </w:numPr>
      <w:ind w:left="1620"/>
    </w:pPr>
  </w:style>
  <w:style w:type="paragraph" w:customStyle="1" w:styleId="L3-Bullet">
    <w:name w:val="L3 - Bullet"/>
    <w:basedOn w:val="L2-Bullet"/>
    <w:rsid w:val="00E66C83"/>
    <w:pPr>
      <w:ind w:left="2250"/>
    </w:pPr>
  </w:style>
  <w:style w:type="paragraph" w:customStyle="1" w:styleId="L3-Alphabet">
    <w:name w:val="L3 - Alphabet"/>
    <w:basedOn w:val="L3-Bullet"/>
    <w:rsid w:val="00E66C83"/>
    <w:pPr>
      <w:numPr>
        <w:numId w:val="11"/>
      </w:numPr>
      <w:ind w:left="2250"/>
    </w:pPr>
  </w:style>
  <w:style w:type="paragraph" w:customStyle="1" w:styleId="L3-Numbered">
    <w:name w:val="L3 - Numbered"/>
    <w:basedOn w:val="L3-Bullet"/>
    <w:rsid w:val="00E66C83"/>
    <w:pPr>
      <w:numPr>
        <w:numId w:val="12"/>
      </w:numPr>
      <w:ind w:left="2250"/>
    </w:pPr>
  </w:style>
  <w:style w:type="paragraph" w:customStyle="1" w:styleId="P0-ParagraphCenter">
    <w:name w:val="P0 - ParagraphCenter"/>
    <w:basedOn w:val="P0-Paragraph"/>
    <w:rsid w:val="00E66C83"/>
    <w:pPr>
      <w:jc w:val="center"/>
    </w:pPr>
  </w:style>
  <w:style w:type="paragraph" w:customStyle="1" w:styleId="P1-Paragraph">
    <w:name w:val="P1 - Paragraph"/>
    <w:basedOn w:val="L1-Bullet"/>
    <w:rsid w:val="00E66C83"/>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E66C83"/>
    <w:pPr>
      <w:ind w:left="634"/>
      <w:jc w:val="center"/>
    </w:pPr>
  </w:style>
  <w:style w:type="paragraph" w:customStyle="1" w:styleId="P2-Paragraph">
    <w:name w:val="P2 - Paragraph"/>
    <w:basedOn w:val="P1-Paragraph"/>
    <w:rsid w:val="00E66C83"/>
    <w:pPr>
      <w:ind w:left="1260"/>
    </w:pPr>
  </w:style>
  <w:style w:type="paragraph" w:customStyle="1" w:styleId="P2-ParagraphCenter">
    <w:name w:val="P2 - ParagraphCenter"/>
    <w:basedOn w:val="P2-Paragraph"/>
    <w:rsid w:val="00E66C83"/>
    <w:pPr>
      <w:ind w:left="1267"/>
      <w:jc w:val="center"/>
    </w:pPr>
  </w:style>
  <w:style w:type="paragraph" w:customStyle="1" w:styleId="QS-Quote">
    <w:name w:val="QS - Quote"/>
    <w:basedOn w:val="P0-Paragraph"/>
    <w:rsid w:val="00E66C83"/>
    <w:pPr>
      <w:shd w:val="clear" w:color="auto" w:fill="FFFF00"/>
      <w:spacing w:after="126"/>
      <w:ind w:left="540"/>
    </w:pPr>
    <w:rPr>
      <w:i/>
      <w:sz w:val="22"/>
    </w:rPr>
  </w:style>
  <w:style w:type="paragraph" w:customStyle="1" w:styleId="QS-Cite">
    <w:name w:val="QS - Cite"/>
    <w:basedOn w:val="QS-Quote"/>
    <w:next w:val="P0-Paragraph"/>
    <w:rsid w:val="00E66C83"/>
    <w:pPr>
      <w:ind w:left="547"/>
      <w:jc w:val="right"/>
    </w:pPr>
  </w:style>
  <w:style w:type="paragraph" w:customStyle="1" w:styleId="T0-TipBox">
    <w:name w:val="T0 - TipBox"/>
    <w:basedOn w:val="I0-InfoBox"/>
    <w:qFormat/>
    <w:rsid w:val="00E66C83"/>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E66C83"/>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E66C83"/>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E66C83"/>
  </w:style>
  <w:style w:type="paragraph" w:customStyle="1" w:styleId="T0-TipBoxCenter">
    <w:name w:val="T0 - TipBoxCenter"/>
    <w:basedOn w:val="T0-TipBox"/>
    <w:rsid w:val="00E66C83"/>
    <w:pPr>
      <w:jc w:val="center"/>
    </w:pPr>
  </w:style>
  <w:style w:type="paragraph" w:customStyle="1" w:styleId="T0-TipBoxCode">
    <w:name w:val="T0 - TipBoxCode"/>
    <w:basedOn w:val="I0-InfoBoxCode"/>
    <w:rsid w:val="00E66C83"/>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E66C83"/>
    <w:pPr>
      <w:shd w:val="clear" w:color="auto" w:fill="282A36"/>
    </w:pPr>
    <w:rPr>
      <w:color w:val="F8F8F2"/>
    </w:rPr>
  </w:style>
  <w:style w:type="paragraph" w:customStyle="1" w:styleId="T0-TipBoxNumberedList">
    <w:name w:val="T0 - TipBoxNumberedList"/>
    <w:basedOn w:val="T0-TipBoxBullet"/>
    <w:rsid w:val="00E66C83"/>
    <w:pPr>
      <w:numPr>
        <w:numId w:val="15"/>
      </w:numPr>
      <w:ind w:left="360"/>
    </w:pPr>
  </w:style>
  <w:style w:type="paragraph" w:customStyle="1" w:styleId="T0-Table">
    <w:name w:val="T0 - Table"/>
    <w:basedOn w:val="Normal"/>
    <w:rsid w:val="00E66C83"/>
    <w:pPr>
      <w:spacing w:after="126"/>
    </w:pPr>
    <w:rPr>
      <w:rFonts w:ascii="Crimson Pro" w:hAnsi="Crimson Pro" w:cs="Arial"/>
      <w:bCs/>
      <w:kern w:val="0"/>
      <w:sz w:val="20"/>
      <w14:ligatures w14:val="none"/>
    </w:rPr>
  </w:style>
  <w:style w:type="paragraph" w:customStyle="1" w:styleId="T0-TableBullet">
    <w:name w:val="T0 - TableBullet"/>
    <w:basedOn w:val="L1-Bullet"/>
    <w:qFormat/>
    <w:rsid w:val="00E66C83"/>
    <w:pPr>
      <w:spacing w:before="60" w:after="60"/>
      <w:ind w:left="432" w:right="72"/>
    </w:pPr>
    <w:rPr>
      <w:sz w:val="20"/>
      <w:lang w:eastAsia="ar-SA"/>
    </w:rPr>
  </w:style>
  <w:style w:type="paragraph" w:customStyle="1" w:styleId="T0-TableFigure">
    <w:name w:val="T0 - TableFigure"/>
    <w:basedOn w:val="T0-Table"/>
    <w:next w:val="Normal"/>
    <w:qFormat/>
    <w:rsid w:val="00E66C83"/>
    <w:pPr>
      <w:spacing w:before="120" w:after="120"/>
      <w:jc w:val="center"/>
    </w:pPr>
    <w:rPr>
      <w:sz w:val="16"/>
    </w:rPr>
  </w:style>
  <w:style w:type="paragraph" w:customStyle="1" w:styleId="T0-TableCaption">
    <w:name w:val="T0 - TableCaption"/>
    <w:basedOn w:val="T0-TableFigure"/>
    <w:next w:val="T0-Table"/>
    <w:rsid w:val="00E66C83"/>
  </w:style>
  <w:style w:type="paragraph" w:customStyle="1" w:styleId="T0-TableCenter">
    <w:name w:val="T0 - TableCenter"/>
    <w:basedOn w:val="T0-Table"/>
    <w:rsid w:val="00E66C83"/>
    <w:pPr>
      <w:jc w:val="center"/>
    </w:pPr>
  </w:style>
  <w:style w:type="paragraph" w:customStyle="1" w:styleId="T0-TableCode">
    <w:name w:val="T0 - TableCode"/>
    <w:basedOn w:val="T0-Table"/>
    <w:rsid w:val="00E66C83"/>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E66C83"/>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E66C83"/>
    <w:pPr>
      <w:numPr>
        <w:numId w:val="17"/>
      </w:numPr>
    </w:pPr>
  </w:style>
  <w:style w:type="paragraph" w:styleId="HTMLPreformatted">
    <w:name w:val="HTML Preformatted"/>
    <w:basedOn w:val="Normal"/>
    <w:link w:val="HTMLPreformattedChar"/>
    <w:uiPriority w:val="99"/>
    <w:semiHidden/>
    <w:unhideWhenUsed/>
    <w:rsid w:val="00E66C8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6C83"/>
    <w:rPr>
      <w:rFonts w:ascii="Consolas" w:eastAsiaTheme="minorHAnsi" w:hAnsi="Consolas" w:cstheme="minorBidi"/>
      <w:kern w:val="2"/>
      <w:sz w:val="20"/>
      <w:szCs w:val="20"/>
      <w14:ligatures w14:val="standardContextual"/>
    </w:rPr>
  </w:style>
  <w:style w:type="character" w:customStyle="1" w:styleId="TitleChar">
    <w:name w:val="Title Char"/>
    <w:basedOn w:val="DefaultParagraphFont"/>
    <w:link w:val="Title"/>
    <w:uiPriority w:val="10"/>
    <w:rsid w:val="00E66C83"/>
    <w:rPr>
      <w:rFonts w:asciiTheme="majorHAnsi" w:eastAsiaTheme="majorEastAsia" w:hAnsiTheme="majorHAnsi" w:cstheme="majorBidi"/>
      <w:spacing w:val="-10"/>
      <w:kern w:val="28"/>
      <w:sz w:val="56"/>
      <w:szCs w:val="56"/>
      <w14:ligatures w14:val="standardContextual"/>
    </w:rPr>
  </w:style>
  <w:style w:type="character" w:customStyle="1" w:styleId="SubtitleChar">
    <w:name w:val="Subtitle Char"/>
    <w:basedOn w:val="DefaultParagraphFont"/>
    <w:link w:val="Subtitle"/>
    <w:uiPriority w:val="11"/>
    <w:rsid w:val="00E66C83"/>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E66C83"/>
    <w:pPr>
      <w:ind w:left="720"/>
      <w:contextualSpacing/>
    </w:pPr>
  </w:style>
  <w:style w:type="paragraph" w:styleId="Quote">
    <w:name w:val="Quote"/>
    <w:basedOn w:val="Normal"/>
    <w:next w:val="Normal"/>
    <w:link w:val="QuoteChar"/>
    <w:uiPriority w:val="29"/>
    <w:qFormat/>
    <w:rsid w:val="00E66C83"/>
    <w:pPr>
      <w:spacing w:before="160"/>
      <w:jc w:val="center"/>
    </w:pPr>
    <w:rPr>
      <w:i/>
      <w:iCs/>
      <w:color w:val="404040" w:themeColor="text1" w:themeTint="BF"/>
    </w:rPr>
  </w:style>
  <w:style w:type="character" w:customStyle="1" w:styleId="QuoteChar">
    <w:name w:val="Quote Char"/>
    <w:basedOn w:val="DefaultParagraphFont"/>
    <w:link w:val="Quote"/>
    <w:uiPriority w:val="29"/>
    <w:rsid w:val="00E66C8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E66C8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66C83"/>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Emphasis">
    <w:name w:val="Intense Emphasis"/>
    <w:basedOn w:val="DefaultParagraphFont"/>
    <w:uiPriority w:val="21"/>
    <w:qFormat/>
    <w:rsid w:val="00E66C83"/>
    <w:rPr>
      <w:i/>
      <w:iCs/>
      <w:color w:val="365F91" w:themeColor="accent1" w:themeShade="BF"/>
    </w:rPr>
  </w:style>
  <w:style w:type="character" w:styleId="IntenseReference">
    <w:name w:val="Intense Reference"/>
    <w:basedOn w:val="DefaultParagraphFont"/>
    <w:uiPriority w:val="32"/>
    <w:qFormat/>
    <w:rsid w:val="00E66C83"/>
    <w:rPr>
      <w:b/>
      <w:bCs/>
      <w:smallCaps/>
      <w:color w:val="365F91" w:themeColor="accent1" w:themeShade="BF"/>
      <w:spacing w:val="5"/>
    </w:rPr>
  </w:style>
  <w:style w:type="paragraph" w:styleId="NoSpacing">
    <w:name w:val="No Spacing"/>
    <w:uiPriority w:val="1"/>
    <w:qFormat/>
    <w:rsid w:val="00E66C83"/>
    <w:pPr>
      <w:spacing w:after="0" w:line="240" w:lineRule="auto"/>
    </w:pPr>
    <w:rPr>
      <w:rFonts w:asciiTheme="minorHAnsi" w:eastAsiaTheme="minorHAnsi" w:hAnsiTheme="minorHAnsi" w:cstheme="minorBidi"/>
      <w:kern w:val="2"/>
      <w:sz w:val="24"/>
      <w:szCs w:val="24"/>
      <w14:ligatures w14:val="standardContextual"/>
    </w:rPr>
  </w:style>
  <w:style w:type="paragraph" w:customStyle="1" w:styleId="EQ-Normal">
    <w:name w:val="EQ - Normal"/>
    <w:rsid w:val="00E66C83"/>
    <w:pPr>
      <w:spacing w:after="0" w:line="278" w:lineRule="auto"/>
    </w:pPr>
    <w:rPr>
      <w:rFonts w:ascii="Book Antiqua" w:eastAsia="Times New Roman" w:hAnsi="Book Antiqua" w:cs="Times New Roman"/>
      <w:sz w:val="19"/>
      <w:szCs w:val="24"/>
    </w:rPr>
  </w:style>
  <w:style w:type="character" w:customStyle="1" w:styleId="EQ-Ruler">
    <w:name w:val="EQ - Ruler"/>
    <w:basedOn w:val="DefaultParagraphFont"/>
    <w:uiPriority w:val="1"/>
    <w:rsid w:val="00E66C83"/>
    <w:rPr>
      <w:rFonts w:ascii="Book Antiqua" w:hAnsi="Book Antiqua"/>
      <w:position w:val="490"/>
      <w:sz w:val="10"/>
    </w:rPr>
  </w:style>
  <w:style w:type="paragraph" w:customStyle="1" w:styleId="EQ-Small">
    <w:name w:val="EQ - Small"/>
    <w:rsid w:val="00E66C83"/>
    <w:pPr>
      <w:spacing w:after="0" w:line="278" w:lineRule="auto"/>
    </w:pPr>
    <w:rPr>
      <w:rFonts w:ascii="Book Antiqua" w:eastAsia="Times New Roman" w:hAnsi="Book Antiqua" w:cs="Times New Roman"/>
      <w:sz w:val="18"/>
      <w:szCs w:val="24"/>
    </w:rPr>
  </w:style>
  <w:style w:type="character" w:styleId="PlaceholderText">
    <w:name w:val="Placeholder Text"/>
    <w:basedOn w:val="DefaultParagraphFont"/>
    <w:uiPriority w:val="99"/>
    <w:semiHidden/>
    <w:rsid w:val="00E66C83"/>
    <w:rPr>
      <w:color w:val="666666"/>
    </w:rPr>
  </w:style>
  <w:style w:type="character" w:styleId="CommentReference">
    <w:name w:val="annotation reference"/>
    <w:basedOn w:val="DefaultParagraphFont"/>
    <w:uiPriority w:val="99"/>
    <w:semiHidden/>
    <w:unhideWhenUsed/>
    <w:rsid w:val="00E66C83"/>
    <w:rPr>
      <w:sz w:val="16"/>
      <w:szCs w:val="16"/>
    </w:rPr>
  </w:style>
  <w:style w:type="paragraph" w:styleId="CommentText">
    <w:name w:val="annotation text"/>
    <w:basedOn w:val="Normal"/>
    <w:link w:val="CommentTextChar"/>
    <w:uiPriority w:val="99"/>
    <w:semiHidden/>
    <w:unhideWhenUsed/>
    <w:rsid w:val="00E66C83"/>
    <w:pPr>
      <w:spacing w:line="240" w:lineRule="auto"/>
    </w:pPr>
    <w:rPr>
      <w:sz w:val="20"/>
      <w:szCs w:val="20"/>
    </w:rPr>
  </w:style>
  <w:style w:type="character" w:customStyle="1" w:styleId="CommentTextChar">
    <w:name w:val="Comment Text Char"/>
    <w:basedOn w:val="DefaultParagraphFont"/>
    <w:link w:val="CommentText"/>
    <w:uiPriority w:val="99"/>
    <w:semiHidden/>
    <w:rsid w:val="00E66C83"/>
    <w:rPr>
      <w:rFonts w:asciiTheme="minorHAnsi" w:eastAsiaTheme="minorHAnsi" w:hAnsiTheme="minorHAnsi" w:cstheme="minorBidi"/>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E66C83"/>
    <w:rPr>
      <w:b/>
      <w:bCs/>
    </w:rPr>
  </w:style>
  <w:style w:type="character" w:customStyle="1" w:styleId="CommentSubjectChar">
    <w:name w:val="Comment Subject Char"/>
    <w:basedOn w:val="CommentTextChar"/>
    <w:link w:val="CommentSubject"/>
    <w:uiPriority w:val="99"/>
    <w:semiHidden/>
    <w:rsid w:val="00E66C83"/>
    <w:rPr>
      <w:rFonts w:asciiTheme="minorHAnsi" w:eastAsiaTheme="minorHAnsi" w:hAnsiTheme="minorHAnsi" w:cstheme="minorBidi"/>
      <w:b/>
      <w:bCs/>
      <w:kern w:val="2"/>
      <w:sz w:val="20"/>
      <w:szCs w:val="20"/>
      <w14:ligatures w14:val="standardContextual"/>
    </w:rPr>
  </w:style>
  <w:style w:type="character" w:customStyle="1" w:styleId="IC-Icon-Packt">
    <w:name w:val="IC - Icon-Packt"/>
    <w:basedOn w:val="CS-Italic"/>
    <w:uiPriority w:val="1"/>
    <w:qFormat/>
    <w:rsid w:val="00E66C83"/>
    <w:rPr>
      <w:i w:val="0"/>
      <w:color w:val="000000" w:themeColor="text1"/>
    </w:rPr>
  </w:style>
  <w:style w:type="paragraph" w:customStyle="1" w:styleId="I1-InfoBox">
    <w:name w:val="I1 - InfoBox"/>
    <w:basedOn w:val="I0-InfoBox"/>
    <w:qFormat/>
    <w:rsid w:val="00E66C83"/>
    <w:pPr>
      <w:ind w:left="454"/>
    </w:pPr>
  </w:style>
  <w:style w:type="paragraph" w:customStyle="1" w:styleId="I1-InfoBoxBullet">
    <w:name w:val="I1 - InfoBoxBullet"/>
    <w:basedOn w:val="I0-InfoBoxBullet"/>
    <w:qFormat/>
    <w:rsid w:val="00E66C83"/>
    <w:pPr>
      <w:ind w:left="811" w:hanging="357"/>
    </w:pPr>
  </w:style>
  <w:style w:type="paragraph" w:customStyle="1" w:styleId="I1-InfoBoxCaption">
    <w:name w:val="I1 - InfoBoxCaption"/>
    <w:basedOn w:val="I0-InfoBoxCaption"/>
    <w:qFormat/>
    <w:rsid w:val="00E66C83"/>
    <w:pPr>
      <w:ind w:left="454"/>
    </w:pPr>
  </w:style>
  <w:style w:type="paragraph" w:customStyle="1" w:styleId="I1-InfoBoxCenter">
    <w:name w:val="I1 - InfoBoxCenter"/>
    <w:basedOn w:val="I0-InfoBoxCenter"/>
    <w:qFormat/>
    <w:rsid w:val="00E66C83"/>
    <w:pPr>
      <w:ind w:left="454"/>
    </w:pPr>
  </w:style>
  <w:style w:type="paragraph" w:customStyle="1" w:styleId="I1-InfoBoxCode">
    <w:name w:val="I1 - InfoBoxCode"/>
    <w:basedOn w:val="I0-InfoBoxCode"/>
    <w:qFormat/>
    <w:rsid w:val="00E66C83"/>
    <w:pPr>
      <w:ind w:left="454"/>
    </w:pPr>
  </w:style>
  <w:style w:type="paragraph" w:customStyle="1" w:styleId="I1-InfoBoxConsole">
    <w:name w:val="I1 - InfoBoxConsole"/>
    <w:basedOn w:val="I0-InfoBoxConsole"/>
    <w:qFormat/>
    <w:rsid w:val="00E66C83"/>
    <w:pPr>
      <w:ind w:left="454"/>
    </w:pPr>
  </w:style>
  <w:style w:type="paragraph" w:customStyle="1" w:styleId="I1-InfoBoxFigure">
    <w:name w:val="I1 - InfoBoxFigure"/>
    <w:basedOn w:val="I0-InfoBoxFigure"/>
    <w:qFormat/>
    <w:rsid w:val="00E66C83"/>
    <w:pPr>
      <w:ind w:left="454"/>
    </w:pPr>
  </w:style>
  <w:style w:type="paragraph" w:customStyle="1" w:styleId="I1-InfoBoxNumberedList">
    <w:name w:val="I1 - InfoBoxNumberedList"/>
    <w:basedOn w:val="I0-InfoBoxNumberedList"/>
    <w:qFormat/>
    <w:rsid w:val="00E66C83"/>
    <w:pPr>
      <w:ind w:left="811" w:hanging="357"/>
    </w:pPr>
  </w:style>
  <w:style w:type="paragraph" w:customStyle="1" w:styleId="I2-InfoBox">
    <w:name w:val="I2 - InfoBox"/>
    <w:basedOn w:val="I1-InfoBox"/>
    <w:qFormat/>
    <w:rsid w:val="00E66C83"/>
    <w:pPr>
      <w:ind w:left="794"/>
    </w:pPr>
  </w:style>
  <w:style w:type="paragraph" w:customStyle="1" w:styleId="I2-InfoBoxBullet">
    <w:name w:val="I2 - InfoBoxBullet"/>
    <w:basedOn w:val="I1-InfoBoxBullet"/>
    <w:qFormat/>
    <w:rsid w:val="00E66C83"/>
    <w:pPr>
      <w:ind w:left="1151"/>
    </w:pPr>
  </w:style>
  <w:style w:type="paragraph" w:customStyle="1" w:styleId="I2-InfoBoxCaption">
    <w:name w:val="I2 - InfoBoxCaption"/>
    <w:basedOn w:val="I1-InfoBoxCaption"/>
    <w:qFormat/>
    <w:rsid w:val="00E66C83"/>
    <w:pPr>
      <w:ind w:left="794"/>
    </w:pPr>
  </w:style>
  <w:style w:type="paragraph" w:customStyle="1" w:styleId="I2-InfoBoxCenter">
    <w:name w:val="I2 - InfoBoxCenter"/>
    <w:basedOn w:val="I1-InfoBoxCenter"/>
    <w:qFormat/>
    <w:rsid w:val="00E66C83"/>
    <w:pPr>
      <w:ind w:left="794"/>
    </w:pPr>
  </w:style>
  <w:style w:type="paragraph" w:customStyle="1" w:styleId="I2-InfoBoxCode">
    <w:name w:val="I2 - InfoBoxCode"/>
    <w:basedOn w:val="I1-InfoBoxCode"/>
    <w:qFormat/>
    <w:rsid w:val="00E66C83"/>
    <w:pPr>
      <w:ind w:left="794"/>
    </w:pPr>
  </w:style>
  <w:style w:type="paragraph" w:customStyle="1" w:styleId="I2-InfoBoxConsole">
    <w:name w:val="I2 - InfoBoxConsole"/>
    <w:basedOn w:val="I1-InfoBoxConsole"/>
    <w:qFormat/>
    <w:rsid w:val="00E66C83"/>
    <w:pPr>
      <w:ind w:left="794"/>
    </w:pPr>
  </w:style>
  <w:style w:type="paragraph" w:customStyle="1" w:styleId="I2-InfoBoxFigure">
    <w:name w:val="I2 - InfoBoxFigure"/>
    <w:basedOn w:val="I1-InfoBoxFigure"/>
    <w:qFormat/>
    <w:rsid w:val="00E66C83"/>
    <w:pPr>
      <w:ind w:left="794"/>
    </w:pPr>
  </w:style>
  <w:style w:type="paragraph" w:customStyle="1" w:styleId="I2-InfoBoxNumberedList">
    <w:name w:val="I2 - InfoBoxNumberedList"/>
    <w:basedOn w:val="I1-InfoBoxNumberedList"/>
    <w:qFormat/>
    <w:rsid w:val="00E66C83"/>
    <w:pPr>
      <w:ind w:left="1151"/>
    </w:pPr>
  </w:style>
  <w:style w:type="paragraph" w:customStyle="1" w:styleId="T1-TipBox">
    <w:name w:val="T1 - TipBox"/>
    <w:basedOn w:val="T0-TipBox"/>
    <w:qFormat/>
    <w:rsid w:val="00E66C83"/>
    <w:pPr>
      <w:ind w:left="454"/>
    </w:pPr>
  </w:style>
  <w:style w:type="paragraph" w:customStyle="1" w:styleId="T1-TipBoxBullet">
    <w:name w:val="T1 - TipBoxBullet"/>
    <w:basedOn w:val="T0-TipBoxBullet"/>
    <w:qFormat/>
    <w:rsid w:val="00E66C83"/>
    <w:pPr>
      <w:ind w:left="811" w:hanging="357"/>
    </w:pPr>
  </w:style>
  <w:style w:type="paragraph" w:customStyle="1" w:styleId="T1-TipBoxCaption">
    <w:name w:val="T1 - TipBoxCaption"/>
    <w:basedOn w:val="T0-TipBoxCaption"/>
    <w:qFormat/>
    <w:rsid w:val="00E66C83"/>
    <w:pPr>
      <w:ind w:left="454"/>
    </w:pPr>
  </w:style>
  <w:style w:type="paragraph" w:customStyle="1" w:styleId="T1-TipBoxCenter">
    <w:name w:val="T1 - TipBoxCenter"/>
    <w:basedOn w:val="T0-TipBoxCenter"/>
    <w:qFormat/>
    <w:rsid w:val="00E66C83"/>
    <w:pPr>
      <w:ind w:left="454"/>
    </w:pPr>
  </w:style>
  <w:style w:type="paragraph" w:customStyle="1" w:styleId="T1-TipBoxCode">
    <w:name w:val="T1 - TipBoxCode"/>
    <w:basedOn w:val="T0-TipBoxCode"/>
    <w:qFormat/>
    <w:rsid w:val="00E66C83"/>
    <w:pPr>
      <w:ind w:left="454"/>
    </w:pPr>
  </w:style>
  <w:style w:type="paragraph" w:customStyle="1" w:styleId="T1-TipBoxConsole">
    <w:name w:val="T1 - TipBoxConsole"/>
    <w:basedOn w:val="T0-TipBoxConsole"/>
    <w:qFormat/>
    <w:rsid w:val="00E66C83"/>
    <w:pPr>
      <w:ind w:left="454"/>
    </w:pPr>
  </w:style>
  <w:style w:type="paragraph" w:customStyle="1" w:styleId="T1-TipBoxFigure">
    <w:name w:val="T1 - TipBoxFigure"/>
    <w:basedOn w:val="T0-TipBoxFigure"/>
    <w:qFormat/>
    <w:rsid w:val="00E66C83"/>
    <w:pPr>
      <w:ind w:left="454"/>
    </w:pPr>
  </w:style>
  <w:style w:type="paragraph" w:customStyle="1" w:styleId="T1-TipBoxNumberedList">
    <w:name w:val="T1 - TipBoxNumberedList"/>
    <w:basedOn w:val="T0-TipBoxNumberedList"/>
    <w:qFormat/>
    <w:rsid w:val="00E66C83"/>
  </w:style>
  <w:style w:type="paragraph" w:customStyle="1" w:styleId="T2-TipBox">
    <w:name w:val="T2 - TipBox"/>
    <w:basedOn w:val="T1-TipBox"/>
    <w:qFormat/>
    <w:rsid w:val="00E66C83"/>
    <w:pPr>
      <w:ind w:left="794"/>
    </w:pPr>
  </w:style>
  <w:style w:type="paragraph" w:customStyle="1" w:styleId="T2-TipBoxBullet">
    <w:name w:val="T2 - TipBoxBullet"/>
    <w:basedOn w:val="T1-TipBoxBullet"/>
    <w:qFormat/>
    <w:rsid w:val="00E66C83"/>
    <w:pPr>
      <w:ind w:left="1151"/>
    </w:pPr>
  </w:style>
  <w:style w:type="paragraph" w:customStyle="1" w:styleId="T2-TipBoxCaption">
    <w:name w:val="T2 - TipBoxCaption"/>
    <w:basedOn w:val="T1-TipBoxCaption"/>
    <w:qFormat/>
    <w:rsid w:val="00E66C83"/>
    <w:pPr>
      <w:ind w:left="794"/>
    </w:pPr>
  </w:style>
  <w:style w:type="paragraph" w:customStyle="1" w:styleId="T2-TipBoxCenter">
    <w:name w:val="T2 - TipBoxCenter"/>
    <w:basedOn w:val="T1-TipBoxCenter"/>
    <w:qFormat/>
    <w:rsid w:val="00E66C83"/>
    <w:pPr>
      <w:ind w:left="794"/>
    </w:pPr>
  </w:style>
  <w:style w:type="paragraph" w:customStyle="1" w:styleId="T2-TipBoxCode">
    <w:name w:val="T2 - TipBoxCode"/>
    <w:basedOn w:val="T1-TipBoxCode"/>
    <w:qFormat/>
    <w:rsid w:val="00E66C83"/>
    <w:pPr>
      <w:ind w:left="794"/>
    </w:pPr>
  </w:style>
  <w:style w:type="paragraph" w:customStyle="1" w:styleId="T2-TipBoxConsole">
    <w:name w:val="T2 - TipBoxConsole"/>
    <w:basedOn w:val="T1-TipBoxConsole"/>
    <w:qFormat/>
    <w:rsid w:val="00E66C83"/>
    <w:pPr>
      <w:ind w:left="794"/>
    </w:pPr>
  </w:style>
  <w:style w:type="paragraph" w:customStyle="1" w:styleId="T2-TipBoxFigure">
    <w:name w:val="T2 - TipBoxFigure"/>
    <w:basedOn w:val="T1-TipBoxFigure"/>
    <w:qFormat/>
    <w:rsid w:val="00E66C83"/>
    <w:pPr>
      <w:ind w:left="794"/>
    </w:pPr>
  </w:style>
  <w:style w:type="paragraph" w:customStyle="1" w:styleId="T2-TipBoxNumberedList">
    <w:name w:val="T2 - TipBoxNumberedList"/>
    <w:basedOn w:val="T1-TipBoxNumberedList"/>
    <w:qFormat/>
    <w:rsid w:val="00E66C83"/>
    <w:pPr>
      <w:ind w:left="1151" w:hanging="357"/>
    </w:pPr>
  </w:style>
  <w:style w:type="paragraph" w:customStyle="1" w:styleId="T1-Table">
    <w:name w:val="T1 - Table"/>
    <w:basedOn w:val="T0-Table"/>
    <w:qFormat/>
    <w:rsid w:val="00E66C83"/>
    <w:pPr>
      <w:ind w:left="454"/>
    </w:pPr>
  </w:style>
  <w:style w:type="paragraph" w:customStyle="1" w:styleId="T1-TableBullet">
    <w:name w:val="T1 - TableBullet"/>
    <w:basedOn w:val="T0-TableBullet"/>
    <w:qFormat/>
    <w:rsid w:val="00E66C83"/>
    <w:pPr>
      <w:ind w:left="476" w:right="74" w:hanging="357"/>
    </w:pPr>
  </w:style>
  <w:style w:type="paragraph" w:customStyle="1" w:styleId="T1-TableCaption">
    <w:name w:val="T1 - TableCaption"/>
    <w:basedOn w:val="T0-TableCaption"/>
    <w:qFormat/>
    <w:rsid w:val="00E66C83"/>
    <w:pPr>
      <w:ind w:left="454"/>
    </w:pPr>
  </w:style>
  <w:style w:type="paragraph" w:customStyle="1" w:styleId="T1-TableCenter">
    <w:name w:val="T1 - TableCenter"/>
    <w:basedOn w:val="T0-TableCenter"/>
    <w:qFormat/>
    <w:rsid w:val="00E66C83"/>
    <w:pPr>
      <w:ind w:left="454"/>
    </w:pPr>
  </w:style>
  <w:style w:type="paragraph" w:customStyle="1" w:styleId="T1-TableFigure">
    <w:name w:val="T1 - TableFigure"/>
    <w:basedOn w:val="T0-TableFigure"/>
    <w:qFormat/>
    <w:rsid w:val="00E66C83"/>
    <w:pPr>
      <w:ind w:left="454"/>
    </w:pPr>
  </w:style>
  <w:style w:type="paragraph" w:customStyle="1" w:styleId="T1-TableNumberedList">
    <w:name w:val="T1 - TableNumberedList"/>
    <w:basedOn w:val="T0-TableNumberedList"/>
    <w:qFormat/>
    <w:rsid w:val="00E66C83"/>
    <w:pPr>
      <w:ind w:left="1242" w:right="74" w:hanging="357"/>
    </w:pPr>
  </w:style>
  <w:style w:type="paragraph" w:customStyle="1" w:styleId="T1-TableCode">
    <w:name w:val="T1 - TableCode"/>
    <w:basedOn w:val="T0-TableCode"/>
    <w:qFormat/>
    <w:rsid w:val="00E66C83"/>
    <w:pPr>
      <w:ind w:left="278" w:right="232"/>
    </w:pPr>
  </w:style>
  <w:style w:type="paragraph" w:customStyle="1" w:styleId="T1-TableConsole">
    <w:name w:val="T1 - TableConsole"/>
    <w:basedOn w:val="T0-TableConsole"/>
    <w:qFormat/>
    <w:rsid w:val="00E66C83"/>
    <w:pPr>
      <w:ind w:left="278" w:right="232"/>
    </w:pPr>
  </w:style>
  <w:style w:type="paragraph" w:customStyle="1" w:styleId="T2-Table">
    <w:name w:val="T2 - Table"/>
    <w:basedOn w:val="T0-Table"/>
    <w:qFormat/>
    <w:rsid w:val="00E66C83"/>
    <w:pPr>
      <w:ind w:left="794"/>
    </w:pPr>
  </w:style>
  <w:style w:type="paragraph" w:customStyle="1" w:styleId="T2-TableBullet">
    <w:name w:val="T2 - TableBullet"/>
    <w:basedOn w:val="T0-TableBullet"/>
    <w:qFormat/>
    <w:rsid w:val="00E66C83"/>
    <w:pPr>
      <w:ind w:left="1225" w:right="74" w:hanging="357"/>
    </w:pPr>
  </w:style>
  <w:style w:type="paragraph" w:customStyle="1" w:styleId="T2-TableCaption">
    <w:name w:val="T2 - TableCaption"/>
    <w:basedOn w:val="T0-TableCaption"/>
    <w:qFormat/>
    <w:rsid w:val="00E66C83"/>
    <w:pPr>
      <w:ind w:left="794"/>
    </w:pPr>
  </w:style>
  <w:style w:type="paragraph" w:customStyle="1" w:styleId="T2-TableCenter">
    <w:name w:val="T2 - TableCenter"/>
    <w:basedOn w:val="T0-TableCenter"/>
    <w:qFormat/>
    <w:rsid w:val="00E66C83"/>
    <w:pPr>
      <w:ind w:left="794"/>
    </w:pPr>
  </w:style>
  <w:style w:type="paragraph" w:customStyle="1" w:styleId="T2-TableCode">
    <w:name w:val="T2 - TableCode"/>
    <w:basedOn w:val="T0-TableCode"/>
    <w:qFormat/>
    <w:rsid w:val="00E66C83"/>
    <w:pPr>
      <w:ind w:left="856" w:right="232"/>
    </w:pPr>
  </w:style>
  <w:style w:type="paragraph" w:customStyle="1" w:styleId="T2-TableConsole">
    <w:name w:val="T2 - TableConsole"/>
    <w:basedOn w:val="T0-TableConsole"/>
    <w:qFormat/>
    <w:rsid w:val="00E66C83"/>
    <w:pPr>
      <w:ind w:left="856" w:right="232"/>
    </w:pPr>
  </w:style>
  <w:style w:type="paragraph" w:customStyle="1" w:styleId="T2-TableFigure">
    <w:name w:val="T2 - TableFigure"/>
    <w:basedOn w:val="T0-TipBoxFigure"/>
    <w:qFormat/>
    <w:rsid w:val="00E66C83"/>
    <w:pPr>
      <w:ind w:left="794"/>
    </w:pPr>
  </w:style>
  <w:style w:type="paragraph" w:customStyle="1" w:styleId="T2-TableNumberedList">
    <w:name w:val="T2 - TableNumberedList"/>
    <w:basedOn w:val="T0-TableNumberedList"/>
    <w:qFormat/>
    <w:rsid w:val="00E66C83"/>
    <w:pPr>
      <w:ind w:left="2149" w:right="74" w:hanging="357"/>
    </w:pPr>
  </w:style>
  <w:style w:type="paragraph" w:customStyle="1" w:styleId="FM-Dedication">
    <w:name w:val="FM - Dedication"/>
    <w:basedOn w:val="FM-CopyrightText"/>
    <w:qFormat/>
    <w:rsid w:val="00E66C83"/>
    <w:pPr>
      <w:jc w:val="center"/>
    </w:pPr>
    <w:rPr>
      <w:i/>
    </w:rPr>
  </w:style>
  <w:style w:type="character" w:customStyle="1" w:styleId="CS-ColumnHeader">
    <w:name w:val="CS - ColumnHeader"/>
    <w:basedOn w:val="CS-Keyword"/>
    <w:uiPriority w:val="1"/>
    <w:qFormat/>
    <w:rsid w:val="00E66C83"/>
    <w:rPr>
      <w:b/>
    </w:rPr>
  </w:style>
  <w:style w:type="character" w:customStyle="1" w:styleId="CS-RowHeader">
    <w:name w:val="CS - RowHeader"/>
    <w:basedOn w:val="CS-ColumnHeader"/>
    <w:uiPriority w:val="1"/>
    <w:qFormat/>
    <w:rsid w:val="00E66C83"/>
    <w:rPr>
      <w:b/>
    </w:rPr>
  </w:style>
  <w:style w:type="paragraph" w:customStyle="1" w:styleId="Important0-ImportantBoxBullet">
    <w:name w:val="Important0 - ImportantBoxBullet"/>
    <w:basedOn w:val="I0-InfoBoxBullet"/>
    <w:link w:val="Important0-ImportantBoxBulletChar"/>
    <w:rsid w:val="00E66C83"/>
  </w:style>
  <w:style w:type="character" w:customStyle="1" w:styleId="P0-ParagraphChar">
    <w:name w:val="P0 - Paragraph Char"/>
    <w:basedOn w:val="DefaultParagraphFont"/>
    <w:link w:val="P0-Paragraph"/>
    <w:rsid w:val="00E66C83"/>
    <w:rPr>
      <w:rFonts w:ascii="Crimson Pro" w:eastAsia="Times New Roman" w:hAnsi="Crimson Pro" w:cs="Times New Roman"/>
      <w:szCs w:val="24"/>
    </w:rPr>
  </w:style>
  <w:style w:type="character" w:customStyle="1" w:styleId="Important0-ImportantBoxBulletChar">
    <w:name w:val="Important0 - ImportantBoxBullet Char"/>
    <w:basedOn w:val="P0-ParagraphChar"/>
    <w:link w:val="Important0-ImportantBoxBullet"/>
    <w:rsid w:val="00E66C83"/>
    <w:rPr>
      <w:rFonts w:ascii="Crimson Pro" w:eastAsia="Times New Roman" w:hAnsi="Crimson Pro" w:cs="Times New Roman"/>
      <w:sz w:val="20"/>
      <w:szCs w:val="24"/>
      <w:shd w:val="clear" w:color="auto" w:fill="FFFFFF"/>
    </w:rPr>
  </w:style>
  <w:style w:type="paragraph" w:customStyle="1" w:styleId="Important0-ImportantBoxCenter">
    <w:name w:val="Important0 - ImportantBoxCenter"/>
    <w:basedOn w:val="I0-InfoBoxCenter"/>
    <w:link w:val="Important0-ImportantBoxCenterChar"/>
    <w:rsid w:val="00E66C83"/>
  </w:style>
  <w:style w:type="character" w:customStyle="1" w:styleId="Important0-ImportantBoxCenterChar">
    <w:name w:val="Important0 - ImportantBoxCenter Char"/>
    <w:basedOn w:val="P0-ParagraphChar"/>
    <w:link w:val="Important0-ImportantBoxCenter"/>
    <w:rsid w:val="00E66C83"/>
    <w:rPr>
      <w:rFonts w:ascii="Crimson Pro" w:eastAsia="Times New Roman" w:hAnsi="Crimson Pro" w:cs="Times New Roman"/>
      <w:sz w:val="20"/>
      <w:szCs w:val="24"/>
      <w:shd w:val="clear" w:color="auto" w:fill="FFFFFF"/>
    </w:rPr>
  </w:style>
  <w:style w:type="paragraph" w:customStyle="1" w:styleId="Important0-ImportantBoxFigure">
    <w:name w:val="Important0 - ImportantBoxFigure"/>
    <w:basedOn w:val="I0-InfoBoxFigure"/>
    <w:link w:val="Important0-ImportantBoxFigureChar"/>
    <w:rsid w:val="00E66C83"/>
  </w:style>
  <w:style w:type="character" w:customStyle="1" w:styleId="Important0-ImportantBoxFigureChar">
    <w:name w:val="Important0 - ImportantBoxFigure Char"/>
    <w:basedOn w:val="P0-ParagraphChar"/>
    <w:link w:val="Important0-ImportantBoxFigure"/>
    <w:rsid w:val="00E66C83"/>
    <w:rPr>
      <w:rFonts w:ascii="Crimson Pro" w:eastAsia="Times New Roman" w:hAnsi="Crimson Pro" w:cs="Times New Roman"/>
      <w:sz w:val="16"/>
      <w:szCs w:val="24"/>
      <w:shd w:val="clear" w:color="auto" w:fill="FFFFFF"/>
    </w:rPr>
  </w:style>
  <w:style w:type="paragraph" w:customStyle="1" w:styleId="Important0-ImportantBoxCaption">
    <w:name w:val="Important0 - ImportantBoxCaption"/>
    <w:basedOn w:val="I0-InfoBoxCaption"/>
    <w:link w:val="Important0-ImportantBoxCaptionChar"/>
    <w:rsid w:val="00E66C83"/>
  </w:style>
  <w:style w:type="character" w:customStyle="1" w:styleId="Important0-ImportantBoxCaptionChar">
    <w:name w:val="Important0 - ImportantBoxCaption Char"/>
    <w:basedOn w:val="P0-ParagraphChar"/>
    <w:link w:val="Important0-ImportantBoxCaption"/>
    <w:rsid w:val="00E66C83"/>
    <w:rPr>
      <w:rFonts w:ascii="Crimson Pro" w:eastAsia="Times New Roman" w:hAnsi="Crimson Pro" w:cs="Times New Roman"/>
      <w:sz w:val="16"/>
      <w:szCs w:val="24"/>
      <w:shd w:val="clear" w:color="auto" w:fill="FFFFFF"/>
    </w:rPr>
  </w:style>
  <w:style w:type="paragraph" w:customStyle="1" w:styleId="Important0-ImportantBox">
    <w:name w:val="Important0 - ImportantBox"/>
    <w:basedOn w:val="I0-InfoBox"/>
    <w:link w:val="Important0-ImportantBoxChar"/>
    <w:rsid w:val="00E66C83"/>
  </w:style>
  <w:style w:type="character" w:customStyle="1" w:styleId="Important0-ImportantBoxChar">
    <w:name w:val="Important0 - ImportantBox Char"/>
    <w:basedOn w:val="P0-ParagraphChar"/>
    <w:link w:val="Important0-ImportantBox"/>
    <w:rsid w:val="00E66C83"/>
    <w:rPr>
      <w:rFonts w:ascii="Crimson Pro" w:eastAsia="Times New Roman" w:hAnsi="Crimson Pro" w:cs="Times New Roman"/>
      <w:sz w:val="20"/>
      <w:szCs w:val="24"/>
      <w:shd w:val="clear" w:color="auto" w:fill="FFFFFF"/>
    </w:rPr>
  </w:style>
  <w:style w:type="paragraph" w:customStyle="1" w:styleId="Important0-ImportantBoxNumberedList">
    <w:name w:val="Important0 - ImportantBoxNumberedList"/>
    <w:basedOn w:val="I0-InfoBoxNumberedList"/>
    <w:link w:val="Important0-ImportantBoxNumberedListChar"/>
    <w:rsid w:val="00E66C83"/>
  </w:style>
  <w:style w:type="character" w:customStyle="1" w:styleId="Important0-ImportantBoxNumberedListChar">
    <w:name w:val="Important0 - ImportantBoxNumberedList Char"/>
    <w:basedOn w:val="P0-ParagraphChar"/>
    <w:link w:val="Important0-ImportantBoxNumberedList"/>
    <w:rsid w:val="00E66C83"/>
    <w:rPr>
      <w:rFonts w:ascii="Crimson Pro" w:eastAsia="Times New Roman" w:hAnsi="Crimson Pro" w:cs="Times New Roman"/>
      <w:sz w:val="20"/>
      <w:szCs w:val="24"/>
      <w:shd w:val="clear" w:color="auto" w:fill="FFFFFF"/>
    </w:rPr>
  </w:style>
  <w:style w:type="paragraph" w:customStyle="1" w:styleId="Important0-ImportantBoxCode">
    <w:name w:val="Important0 - ImportantBoxCode"/>
    <w:basedOn w:val="I0-InfoBoxCode"/>
    <w:link w:val="Important0-ImportantBoxCodeChar"/>
    <w:rsid w:val="00E66C83"/>
  </w:style>
  <w:style w:type="character" w:customStyle="1" w:styleId="Important0-ImportantBoxCodeChar">
    <w:name w:val="Important0 - ImportantBoxCode Char"/>
    <w:basedOn w:val="P0-ParagraphChar"/>
    <w:link w:val="Important0-ImportantBoxCode"/>
    <w:rsid w:val="00E66C83"/>
    <w:rPr>
      <w:rFonts w:ascii="Consolas" w:eastAsia="Times New Roman" w:hAnsi="Consolas" w:cs="Times New Roman"/>
      <w:color w:val="383A42"/>
      <w:sz w:val="18"/>
      <w:szCs w:val="24"/>
      <w:shd w:val="clear" w:color="auto" w:fill="FAFAFA"/>
    </w:rPr>
  </w:style>
  <w:style w:type="paragraph" w:customStyle="1" w:styleId="Important0-ImportantBoxConsole">
    <w:name w:val="Important0 - ImportantBoxConsole"/>
    <w:basedOn w:val="I0-InfoBoxConsole"/>
    <w:link w:val="Important0-ImportantBoxConsoleChar"/>
    <w:rsid w:val="00E66C83"/>
  </w:style>
  <w:style w:type="character" w:customStyle="1" w:styleId="Important0-ImportantBoxConsoleChar">
    <w:name w:val="Important0 - ImportantBoxConsole Char"/>
    <w:basedOn w:val="P0-ParagraphChar"/>
    <w:link w:val="Important0-ImportantBoxConsole"/>
    <w:rsid w:val="00E66C83"/>
    <w:rPr>
      <w:rFonts w:ascii="Consolas" w:eastAsia="Times New Roman" w:hAnsi="Consolas" w:cs="Times New Roman"/>
      <w:color w:val="F8F8F2"/>
      <w:sz w:val="18"/>
      <w:szCs w:val="24"/>
      <w:shd w:val="clear" w:color="auto" w:fill="282A36"/>
    </w:rPr>
  </w:style>
  <w:style w:type="paragraph" w:customStyle="1" w:styleId="Important1-ImportantBoxBullet">
    <w:name w:val="Important1 - ImportantBoxBullet"/>
    <w:basedOn w:val="I1-InfoBoxBullet"/>
    <w:link w:val="Important1-ImportantBoxBulletChar"/>
    <w:rsid w:val="00E66C83"/>
  </w:style>
  <w:style w:type="character" w:customStyle="1" w:styleId="Important1-ImportantBoxBulletChar">
    <w:name w:val="Important1 - ImportantBoxBullet Char"/>
    <w:basedOn w:val="P0-ParagraphChar"/>
    <w:link w:val="Important1-ImportantBoxBullet"/>
    <w:rsid w:val="00E66C83"/>
    <w:rPr>
      <w:rFonts w:ascii="Crimson Pro" w:eastAsia="Times New Roman" w:hAnsi="Crimson Pro" w:cs="Times New Roman"/>
      <w:sz w:val="20"/>
      <w:szCs w:val="24"/>
      <w:shd w:val="clear" w:color="auto" w:fill="FFFFFF"/>
    </w:rPr>
  </w:style>
  <w:style w:type="paragraph" w:customStyle="1" w:styleId="Important1-ImportantBoxCenter">
    <w:name w:val="Important1 - ImportantBoxCenter"/>
    <w:basedOn w:val="I1-InfoBoxCenter"/>
    <w:link w:val="Important1-ImportantBoxCenterChar"/>
    <w:rsid w:val="00E66C83"/>
  </w:style>
  <w:style w:type="character" w:customStyle="1" w:styleId="Important1-ImportantBoxCenterChar">
    <w:name w:val="Important1 - ImportantBoxCenter Char"/>
    <w:basedOn w:val="P0-ParagraphChar"/>
    <w:link w:val="Important1-ImportantBoxCenter"/>
    <w:rsid w:val="00E66C83"/>
    <w:rPr>
      <w:rFonts w:ascii="Crimson Pro" w:eastAsia="Times New Roman" w:hAnsi="Crimson Pro" w:cs="Times New Roman"/>
      <w:sz w:val="20"/>
      <w:szCs w:val="24"/>
      <w:shd w:val="clear" w:color="auto" w:fill="FFFFFF"/>
    </w:rPr>
  </w:style>
  <w:style w:type="paragraph" w:customStyle="1" w:styleId="Important1-ImportantBoxFigure">
    <w:name w:val="Important1 - ImportantBoxFigure"/>
    <w:basedOn w:val="I1-InfoBoxFigure"/>
    <w:link w:val="Important1-ImportantBoxFigureChar"/>
    <w:rsid w:val="00E66C83"/>
  </w:style>
  <w:style w:type="character" w:customStyle="1" w:styleId="Important1-ImportantBoxFigureChar">
    <w:name w:val="Important1 - ImportantBoxFigure Char"/>
    <w:basedOn w:val="P0-ParagraphChar"/>
    <w:link w:val="Important1-ImportantBoxFigure"/>
    <w:rsid w:val="00E66C83"/>
    <w:rPr>
      <w:rFonts w:ascii="Crimson Pro" w:eastAsia="Times New Roman" w:hAnsi="Crimson Pro" w:cs="Times New Roman"/>
      <w:sz w:val="16"/>
      <w:szCs w:val="24"/>
      <w:shd w:val="clear" w:color="auto" w:fill="FFFFFF"/>
    </w:rPr>
  </w:style>
  <w:style w:type="paragraph" w:customStyle="1" w:styleId="Important1-ImportantBoxCaption">
    <w:name w:val="Important1 - ImportantBoxCaption"/>
    <w:basedOn w:val="I1-InfoBoxCaption"/>
    <w:link w:val="Important1-ImportantBoxCaptionChar"/>
    <w:rsid w:val="00E66C83"/>
  </w:style>
  <w:style w:type="character" w:customStyle="1" w:styleId="Important1-ImportantBoxCaptionChar">
    <w:name w:val="Important1 - ImportantBoxCaption Char"/>
    <w:basedOn w:val="P0-ParagraphChar"/>
    <w:link w:val="Important1-ImportantBoxCaption"/>
    <w:rsid w:val="00E66C83"/>
    <w:rPr>
      <w:rFonts w:ascii="Crimson Pro" w:eastAsia="Times New Roman" w:hAnsi="Crimson Pro" w:cs="Times New Roman"/>
      <w:sz w:val="16"/>
      <w:szCs w:val="24"/>
      <w:shd w:val="clear" w:color="auto" w:fill="FFFFFF"/>
    </w:rPr>
  </w:style>
  <w:style w:type="paragraph" w:customStyle="1" w:styleId="Important1-ImportantBox">
    <w:name w:val="Important1 - ImportantBox"/>
    <w:basedOn w:val="I1-InfoBox"/>
    <w:link w:val="Important1-ImportantBoxChar"/>
    <w:rsid w:val="00E66C83"/>
  </w:style>
  <w:style w:type="character" w:customStyle="1" w:styleId="Important1-ImportantBoxChar">
    <w:name w:val="Important1 - ImportantBox Char"/>
    <w:basedOn w:val="P0-ParagraphChar"/>
    <w:link w:val="Important1-ImportantBox"/>
    <w:rsid w:val="00E66C83"/>
    <w:rPr>
      <w:rFonts w:ascii="Crimson Pro" w:eastAsia="Times New Roman" w:hAnsi="Crimson Pro" w:cs="Times New Roman"/>
      <w:sz w:val="20"/>
      <w:szCs w:val="24"/>
      <w:shd w:val="clear" w:color="auto" w:fill="FFFFFF"/>
    </w:rPr>
  </w:style>
  <w:style w:type="paragraph" w:customStyle="1" w:styleId="Important1-ImportantBoxNumberedList">
    <w:name w:val="Important1 - ImportantBoxNumberedList"/>
    <w:basedOn w:val="I1-InfoBoxNumberedList"/>
    <w:link w:val="Important1-ImportantBoxNumberedListChar"/>
    <w:rsid w:val="00E66C83"/>
  </w:style>
  <w:style w:type="character" w:customStyle="1" w:styleId="Important1-ImportantBoxNumberedListChar">
    <w:name w:val="Important1 - ImportantBoxNumberedList Char"/>
    <w:basedOn w:val="P0-ParagraphChar"/>
    <w:link w:val="Important1-ImportantBoxNumberedList"/>
    <w:rsid w:val="00E66C83"/>
    <w:rPr>
      <w:rFonts w:ascii="Crimson Pro" w:eastAsia="Times New Roman" w:hAnsi="Crimson Pro" w:cs="Times New Roman"/>
      <w:sz w:val="20"/>
      <w:szCs w:val="24"/>
      <w:shd w:val="clear" w:color="auto" w:fill="FFFFFF"/>
    </w:rPr>
  </w:style>
  <w:style w:type="paragraph" w:customStyle="1" w:styleId="Important1-ImportantBoxCode">
    <w:name w:val="Important1 - ImportantBoxCode"/>
    <w:basedOn w:val="I1-InfoBoxCode"/>
    <w:link w:val="Important1-ImportantBoxCodeChar"/>
    <w:rsid w:val="00E66C83"/>
  </w:style>
  <w:style w:type="character" w:customStyle="1" w:styleId="Important1-ImportantBoxCodeChar">
    <w:name w:val="Important1 - ImportantBoxCode Char"/>
    <w:basedOn w:val="P0-ParagraphChar"/>
    <w:link w:val="Important1-ImportantBoxCode"/>
    <w:rsid w:val="00E66C83"/>
    <w:rPr>
      <w:rFonts w:ascii="Consolas" w:eastAsia="Times New Roman" w:hAnsi="Consolas" w:cs="Times New Roman"/>
      <w:color w:val="383A42"/>
      <w:sz w:val="18"/>
      <w:szCs w:val="24"/>
      <w:shd w:val="clear" w:color="auto" w:fill="FAFAFA"/>
    </w:rPr>
  </w:style>
  <w:style w:type="paragraph" w:customStyle="1" w:styleId="Important1-ImportantBoxConsole">
    <w:name w:val="Important1 - ImportantBoxConsole"/>
    <w:basedOn w:val="I1-InfoBoxConsole"/>
    <w:link w:val="Important1-ImportantBoxConsoleChar"/>
    <w:rsid w:val="00E66C83"/>
  </w:style>
  <w:style w:type="character" w:customStyle="1" w:styleId="Important1-ImportantBoxConsoleChar">
    <w:name w:val="Important1 - ImportantBoxConsole Char"/>
    <w:basedOn w:val="P0-ParagraphChar"/>
    <w:link w:val="Important1-ImportantBoxConsole"/>
    <w:rsid w:val="00E66C83"/>
    <w:rPr>
      <w:rFonts w:ascii="Consolas" w:eastAsia="Times New Roman" w:hAnsi="Consolas" w:cs="Times New Roman"/>
      <w:color w:val="F8F8F2"/>
      <w:sz w:val="18"/>
      <w:szCs w:val="24"/>
      <w:shd w:val="clear" w:color="auto" w:fill="282A36"/>
    </w:rPr>
  </w:style>
  <w:style w:type="paragraph" w:customStyle="1" w:styleId="Important2-ImportantBoxBullet">
    <w:name w:val="Important2 - ImportantBoxBullet"/>
    <w:basedOn w:val="I2-InfoBoxBullet"/>
    <w:link w:val="Important2-ImportantBoxBulletChar"/>
    <w:rsid w:val="00E66C83"/>
  </w:style>
  <w:style w:type="character" w:customStyle="1" w:styleId="Important2-ImportantBoxBulletChar">
    <w:name w:val="Important2 - ImportantBoxBullet Char"/>
    <w:basedOn w:val="P0-ParagraphChar"/>
    <w:link w:val="Important2-ImportantBoxBullet"/>
    <w:rsid w:val="00E66C83"/>
    <w:rPr>
      <w:rFonts w:ascii="Crimson Pro" w:eastAsia="Times New Roman" w:hAnsi="Crimson Pro" w:cs="Times New Roman"/>
      <w:sz w:val="20"/>
      <w:szCs w:val="24"/>
      <w:shd w:val="clear" w:color="auto" w:fill="FFFFFF"/>
    </w:rPr>
  </w:style>
  <w:style w:type="paragraph" w:customStyle="1" w:styleId="Important2-ImportantBoxCenter">
    <w:name w:val="Important2 - ImportantBoxCenter"/>
    <w:basedOn w:val="I2-InfoBoxCenter"/>
    <w:link w:val="Important2-ImportantBoxCenterChar"/>
    <w:rsid w:val="00E66C83"/>
  </w:style>
  <w:style w:type="character" w:customStyle="1" w:styleId="Important2-ImportantBoxCenterChar">
    <w:name w:val="Important2 - ImportantBoxCenter Char"/>
    <w:basedOn w:val="P0-ParagraphChar"/>
    <w:link w:val="Important2-ImportantBoxCenter"/>
    <w:rsid w:val="00E66C83"/>
    <w:rPr>
      <w:rFonts w:ascii="Crimson Pro" w:eastAsia="Times New Roman" w:hAnsi="Crimson Pro" w:cs="Times New Roman"/>
      <w:sz w:val="20"/>
      <w:szCs w:val="24"/>
      <w:shd w:val="clear" w:color="auto" w:fill="FFFFFF"/>
    </w:rPr>
  </w:style>
  <w:style w:type="paragraph" w:customStyle="1" w:styleId="Important2-ImportantBoxFigure">
    <w:name w:val="Important2 - ImportantBoxFigure"/>
    <w:basedOn w:val="I2-InfoBoxFigure"/>
    <w:link w:val="Important2-ImportantBoxFigureChar"/>
    <w:rsid w:val="00E66C83"/>
  </w:style>
  <w:style w:type="character" w:customStyle="1" w:styleId="Important2-ImportantBoxFigureChar">
    <w:name w:val="Important2 - ImportantBoxFigure Char"/>
    <w:basedOn w:val="P0-ParagraphChar"/>
    <w:link w:val="Important2-ImportantBoxFigure"/>
    <w:rsid w:val="00E66C83"/>
    <w:rPr>
      <w:rFonts w:ascii="Crimson Pro" w:eastAsia="Times New Roman" w:hAnsi="Crimson Pro" w:cs="Times New Roman"/>
      <w:sz w:val="16"/>
      <w:szCs w:val="24"/>
      <w:shd w:val="clear" w:color="auto" w:fill="FFFFFF"/>
    </w:rPr>
  </w:style>
  <w:style w:type="paragraph" w:customStyle="1" w:styleId="Important2-ImportantBoxCaption">
    <w:name w:val="Important2 - ImportantBoxCaption"/>
    <w:basedOn w:val="I2-InfoBoxCaption"/>
    <w:link w:val="Important2-ImportantBoxCaptionChar"/>
    <w:rsid w:val="00E66C83"/>
  </w:style>
  <w:style w:type="character" w:customStyle="1" w:styleId="Important2-ImportantBoxCaptionChar">
    <w:name w:val="Important2 - ImportantBoxCaption Char"/>
    <w:basedOn w:val="P0-ParagraphChar"/>
    <w:link w:val="Important2-ImportantBoxCaption"/>
    <w:rsid w:val="00E66C83"/>
    <w:rPr>
      <w:rFonts w:ascii="Crimson Pro" w:eastAsia="Times New Roman" w:hAnsi="Crimson Pro" w:cs="Times New Roman"/>
      <w:sz w:val="16"/>
      <w:szCs w:val="24"/>
      <w:shd w:val="clear" w:color="auto" w:fill="FFFFFF"/>
    </w:rPr>
  </w:style>
  <w:style w:type="paragraph" w:customStyle="1" w:styleId="Important2-ImportantBox">
    <w:name w:val="Important2 - ImportantBox"/>
    <w:basedOn w:val="I2-InfoBox"/>
    <w:link w:val="Important2-ImportantBoxChar"/>
    <w:rsid w:val="00E66C83"/>
  </w:style>
  <w:style w:type="character" w:customStyle="1" w:styleId="Important2-ImportantBoxChar">
    <w:name w:val="Important2 - ImportantBox Char"/>
    <w:basedOn w:val="P0-ParagraphChar"/>
    <w:link w:val="Important2-ImportantBox"/>
    <w:rsid w:val="00E66C83"/>
    <w:rPr>
      <w:rFonts w:ascii="Crimson Pro" w:eastAsia="Times New Roman" w:hAnsi="Crimson Pro" w:cs="Times New Roman"/>
      <w:sz w:val="20"/>
      <w:szCs w:val="24"/>
      <w:shd w:val="clear" w:color="auto" w:fill="FFFFFF"/>
    </w:rPr>
  </w:style>
  <w:style w:type="paragraph" w:customStyle="1" w:styleId="Important2-ImportantBoxNumberedList">
    <w:name w:val="Important2 - ImportantBoxNumberedList"/>
    <w:basedOn w:val="I2-InfoBoxNumberedList"/>
    <w:link w:val="Important2-ImportantBoxNumberedListChar"/>
    <w:rsid w:val="00E66C83"/>
  </w:style>
  <w:style w:type="character" w:customStyle="1" w:styleId="Important2-ImportantBoxNumberedListChar">
    <w:name w:val="Important2 - ImportantBoxNumberedList Char"/>
    <w:basedOn w:val="P0-ParagraphChar"/>
    <w:link w:val="Important2-ImportantBoxNumberedList"/>
    <w:rsid w:val="00E66C83"/>
    <w:rPr>
      <w:rFonts w:ascii="Crimson Pro" w:eastAsia="Times New Roman" w:hAnsi="Crimson Pro" w:cs="Times New Roman"/>
      <w:sz w:val="20"/>
      <w:szCs w:val="24"/>
      <w:shd w:val="clear" w:color="auto" w:fill="FFFFFF"/>
    </w:rPr>
  </w:style>
  <w:style w:type="paragraph" w:customStyle="1" w:styleId="Important2-ImportantBoxCode">
    <w:name w:val="Important2 - ImportantBoxCode"/>
    <w:basedOn w:val="I2-InfoBoxCode"/>
    <w:link w:val="Important2-ImportantBoxCodeChar"/>
    <w:rsid w:val="00E66C83"/>
  </w:style>
  <w:style w:type="character" w:customStyle="1" w:styleId="Important2-ImportantBoxCodeChar">
    <w:name w:val="Important2 - ImportantBoxCode Char"/>
    <w:basedOn w:val="P0-ParagraphChar"/>
    <w:link w:val="Important2-ImportantBoxCode"/>
    <w:rsid w:val="00E66C83"/>
    <w:rPr>
      <w:rFonts w:ascii="Consolas" w:eastAsia="Times New Roman" w:hAnsi="Consolas" w:cs="Times New Roman"/>
      <w:color w:val="383A42"/>
      <w:sz w:val="18"/>
      <w:szCs w:val="24"/>
      <w:shd w:val="clear" w:color="auto" w:fill="FAFAFA"/>
    </w:rPr>
  </w:style>
  <w:style w:type="paragraph" w:customStyle="1" w:styleId="Important2-ImportantBoxConsole">
    <w:name w:val="Important2 - ImportantBoxConsole"/>
    <w:basedOn w:val="I2-InfoBoxConsole"/>
    <w:link w:val="Important2-ImportantBoxConsoleChar"/>
    <w:rsid w:val="00E66C83"/>
  </w:style>
  <w:style w:type="character" w:customStyle="1" w:styleId="Important2-ImportantBoxConsoleChar">
    <w:name w:val="Important2 - ImportantBoxConsole Char"/>
    <w:basedOn w:val="P0-ParagraphChar"/>
    <w:link w:val="Important2-ImportantBoxConsole"/>
    <w:rsid w:val="00E66C83"/>
    <w:rPr>
      <w:rFonts w:ascii="Consolas" w:eastAsia="Times New Roman" w:hAnsi="Consolas" w:cs="Times New Roman"/>
      <w:color w:val="F8F8F2"/>
      <w:sz w:val="18"/>
      <w:szCs w:val="24"/>
      <w:shd w:val="clear" w:color="auto" w:fill="282A36"/>
    </w:rPr>
  </w:style>
  <w:style w:type="paragraph" w:customStyle="1" w:styleId="Caution0-CautionBoxBullet">
    <w:name w:val="Caution0 - CautionBoxBullet"/>
    <w:basedOn w:val="I0-InfoBoxBullet"/>
    <w:link w:val="Caution0-CautionBoxBulletChar"/>
    <w:rsid w:val="00E66C83"/>
  </w:style>
  <w:style w:type="character" w:customStyle="1" w:styleId="Caution0-CautionBoxBulletChar">
    <w:name w:val="Caution0 - CautionBoxBullet Char"/>
    <w:basedOn w:val="P0-ParagraphChar"/>
    <w:link w:val="Caution0-CautionBoxBullet"/>
    <w:rsid w:val="00E66C83"/>
    <w:rPr>
      <w:rFonts w:ascii="Crimson Pro" w:eastAsia="Times New Roman" w:hAnsi="Crimson Pro" w:cs="Times New Roman"/>
      <w:sz w:val="20"/>
      <w:szCs w:val="24"/>
      <w:shd w:val="clear" w:color="auto" w:fill="FFFFFF"/>
    </w:rPr>
  </w:style>
  <w:style w:type="paragraph" w:customStyle="1" w:styleId="Caution0-CautionBoxCenter">
    <w:name w:val="Caution0 - CautionBoxCenter"/>
    <w:basedOn w:val="I0-InfoBoxCenter"/>
    <w:link w:val="Caution0-CautionBoxCenterChar"/>
    <w:rsid w:val="00E66C83"/>
  </w:style>
  <w:style w:type="character" w:customStyle="1" w:styleId="Caution0-CautionBoxCenterChar">
    <w:name w:val="Caution0 - CautionBoxCenter Char"/>
    <w:basedOn w:val="P0-ParagraphChar"/>
    <w:link w:val="Caution0-CautionBoxCenter"/>
    <w:rsid w:val="00E66C83"/>
    <w:rPr>
      <w:rFonts w:ascii="Crimson Pro" w:eastAsia="Times New Roman" w:hAnsi="Crimson Pro" w:cs="Times New Roman"/>
      <w:sz w:val="20"/>
      <w:szCs w:val="24"/>
      <w:shd w:val="clear" w:color="auto" w:fill="FFFFFF"/>
    </w:rPr>
  </w:style>
  <w:style w:type="paragraph" w:customStyle="1" w:styleId="Caution0-CautionBoxFigure">
    <w:name w:val="Caution0 - CautionBoxFigure"/>
    <w:basedOn w:val="I0-InfoBoxFigure"/>
    <w:link w:val="Caution0-CautionBoxFigureChar"/>
    <w:rsid w:val="00E66C83"/>
  </w:style>
  <w:style w:type="character" w:customStyle="1" w:styleId="Caution0-CautionBoxFigureChar">
    <w:name w:val="Caution0 - CautionBoxFigure Char"/>
    <w:basedOn w:val="P0-ParagraphChar"/>
    <w:link w:val="Caution0-CautionBoxFigure"/>
    <w:rsid w:val="00E66C83"/>
    <w:rPr>
      <w:rFonts w:ascii="Crimson Pro" w:eastAsia="Times New Roman" w:hAnsi="Crimson Pro" w:cs="Times New Roman"/>
      <w:sz w:val="16"/>
      <w:szCs w:val="24"/>
      <w:shd w:val="clear" w:color="auto" w:fill="FFFFFF"/>
    </w:rPr>
  </w:style>
  <w:style w:type="paragraph" w:customStyle="1" w:styleId="Caution0-CautionBoxCaption">
    <w:name w:val="Caution0 - CautionBoxCaption"/>
    <w:basedOn w:val="I0-InfoBoxCaption"/>
    <w:link w:val="Caution0-CautionBoxCaptionChar"/>
    <w:rsid w:val="00E66C83"/>
  </w:style>
  <w:style w:type="character" w:customStyle="1" w:styleId="Caution0-CautionBoxCaptionChar">
    <w:name w:val="Caution0 - CautionBoxCaption Char"/>
    <w:basedOn w:val="P0-ParagraphChar"/>
    <w:link w:val="Caution0-CautionBoxCaption"/>
    <w:rsid w:val="00E66C83"/>
    <w:rPr>
      <w:rFonts w:ascii="Crimson Pro" w:eastAsia="Times New Roman" w:hAnsi="Crimson Pro" w:cs="Times New Roman"/>
      <w:sz w:val="16"/>
      <w:szCs w:val="24"/>
      <w:shd w:val="clear" w:color="auto" w:fill="FFFFFF"/>
    </w:rPr>
  </w:style>
  <w:style w:type="paragraph" w:customStyle="1" w:styleId="Caution0-CautionBox">
    <w:name w:val="Caution0 - CautionBox"/>
    <w:basedOn w:val="I0-InfoBox"/>
    <w:link w:val="Caution0-CautionBoxChar"/>
    <w:rsid w:val="00E66C83"/>
  </w:style>
  <w:style w:type="character" w:customStyle="1" w:styleId="Caution0-CautionBoxChar">
    <w:name w:val="Caution0 - CautionBox Char"/>
    <w:basedOn w:val="P0-ParagraphChar"/>
    <w:link w:val="Caution0-CautionBox"/>
    <w:rsid w:val="00E66C83"/>
    <w:rPr>
      <w:rFonts w:ascii="Crimson Pro" w:eastAsia="Times New Roman" w:hAnsi="Crimson Pro" w:cs="Times New Roman"/>
      <w:sz w:val="20"/>
      <w:szCs w:val="24"/>
      <w:shd w:val="clear" w:color="auto" w:fill="FFFFFF"/>
    </w:rPr>
  </w:style>
  <w:style w:type="paragraph" w:customStyle="1" w:styleId="Caution0-CautionBoxNumberedList">
    <w:name w:val="Caution0 - CautionBoxNumberedList"/>
    <w:basedOn w:val="I0-InfoBoxNumberedList"/>
    <w:link w:val="Caution0-CautionBoxNumberedListChar"/>
    <w:rsid w:val="00E66C83"/>
  </w:style>
  <w:style w:type="character" w:customStyle="1" w:styleId="Caution0-CautionBoxNumberedListChar">
    <w:name w:val="Caution0 - CautionBoxNumberedList Char"/>
    <w:basedOn w:val="P0-ParagraphChar"/>
    <w:link w:val="Caution0-CautionBoxNumberedList"/>
    <w:rsid w:val="00E66C83"/>
    <w:rPr>
      <w:rFonts w:ascii="Crimson Pro" w:eastAsia="Times New Roman" w:hAnsi="Crimson Pro" w:cs="Times New Roman"/>
      <w:sz w:val="20"/>
      <w:szCs w:val="24"/>
      <w:shd w:val="clear" w:color="auto" w:fill="FFFFFF"/>
    </w:rPr>
  </w:style>
  <w:style w:type="paragraph" w:customStyle="1" w:styleId="Caution0-CautionBoxCode">
    <w:name w:val="Caution0 - CautionBoxCode"/>
    <w:basedOn w:val="I0-InfoBoxCode"/>
    <w:link w:val="Caution0-CautionBoxCodeChar"/>
    <w:rsid w:val="00E66C83"/>
  </w:style>
  <w:style w:type="character" w:customStyle="1" w:styleId="Caution0-CautionBoxCodeChar">
    <w:name w:val="Caution0 - CautionBoxCode Char"/>
    <w:basedOn w:val="P0-ParagraphChar"/>
    <w:link w:val="Caution0-CautionBoxCode"/>
    <w:rsid w:val="00E66C83"/>
    <w:rPr>
      <w:rFonts w:ascii="Consolas" w:eastAsia="Times New Roman" w:hAnsi="Consolas" w:cs="Times New Roman"/>
      <w:color w:val="383A42"/>
      <w:sz w:val="18"/>
      <w:szCs w:val="24"/>
      <w:shd w:val="clear" w:color="auto" w:fill="FAFAFA"/>
    </w:rPr>
  </w:style>
  <w:style w:type="paragraph" w:customStyle="1" w:styleId="Caution0-CautionBoxConsole">
    <w:name w:val="Caution0 - CautionBoxConsole"/>
    <w:basedOn w:val="I0-InfoBoxConsole"/>
    <w:link w:val="Caution0-CautionBoxConsoleChar"/>
    <w:rsid w:val="00E66C83"/>
  </w:style>
  <w:style w:type="character" w:customStyle="1" w:styleId="Caution0-CautionBoxConsoleChar">
    <w:name w:val="Caution0 - CautionBoxConsole Char"/>
    <w:basedOn w:val="P0-ParagraphChar"/>
    <w:link w:val="Caution0-CautionBoxConsole"/>
    <w:rsid w:val="00E66C83"/>
    <w:rPr>
      <w:rFonts w:ascii="Consolas" w:eastAsia="Times New Roman" w:hAnsi="Consolas" w:cs="Times New Roman"/>
      <w:color w:val="F8F8F2"/>
      <w:sz w:val="18"/>
      <w:szCs w:val="24"/>
      <w:shd w:val="clear" w:color="auto" w:fill="282A36"/>
    </w:rPr>
  </w:style>
  <w:style w:type="paragraph" w:customStyle="1" w:styleId="Caution1-CautionBoxBullet">
    <w:name w:val="Caution1 - CautionBoxBullet"/>
    <w:basedOn w:val="I1-InfoBoxBullet"/>
    <w:link w:val="Caution1-CautionBoxBulletChar"/>
    <w:rsid w:val="00E66C83"/>
  </w:style>
  <w:style w:type="character" w:customStyle="1" w:styleId="Caution1-CautionBoxBulletChar">
    <w:name w:val="Caution1 - CautionBoxBullet Char"/>
    <w:basedOn w:val="P0-ParagraphChar"/>
    <w:link w:val="Caution1-CautionBoxBullet"/>
    <w:rsid w:val="00E66C83"/>
    <w:rPr>
      <w:rFonts w:ascii="Crimson Pro" w:eastAsia="Times New Roman" w:hAnsi="Crimson Pro" w:cs="Times New Roman"/>
      <w:sz w:val="20"/>
      <w:szCs w:val="24"/>
      <w:shd w:val="clear" w:color="auto" w:fill="FFFFFF"/>
    </w:rPr>
  </w:style>
  <w:style w:type="paragraph" w:customStyle="1" w:styleId="Caution1-CautionBoxCenter">
    <w:name w:val="Caution1 - CautionBoxCenter"/>
    <w:basedOn w:val="I1-InfoBoxCenter"/>
    <w:link w:val="Caution1-CautionBoxCenterChar"/>
    <w:rsid w:val="00E66C83"/>
  </w:style>
  <w:style w:type="character" w:customStyle="1" w:styleId="Caution1-CautionBoxCenterChar">
    <w:name w:val="Caution1 - CautionBoxCenter Char"/>
    <w:basedOn w:val="P0-ParagraphChar"/>
    <w:link w:val="Caution1-CautionBoxCenter"/>
    <w:rsid w:val="00E66C83"/>
    <w:rPr>
      <w:rFonts w:ascii="Crimson Pro" w:eastAsia="Times New Roman" w:hAnsi="Crimson Pro" w:cs="Times New Roman"/>
      <w:sz w:val="20"/>
      <w:szCs w:val="24"/>
      <w:shd w:val="clear" w:color="auto" w:fill="FFFFFF"/>
    </w:rPr>
  </w:style>
  <w:style w:type="paragraph" w:customStyle="1" w:styleId="Caution1-CautionBoxFigure">
    <w:name w:val="Caution1 - CautionBoxFigure"/>
    <w:basedOn w:val="I1-InfoBoxFigure"/>
    <w:link w:val="Caution1-CautionBoxFigureChar"/>
    <w:rsid w:val="00E66C83"/>
  </w:style>
  <w:style w:type="character" w:customStyle="1" w:styleId="Caution1-CautionBoxFigureChar">
    <w:name w:val="Caution1 - CautionBoxFigure Char"/>
    <w:basedOn w:val="P0-ParagraphChar"/>
    <w:link w:val="Caution1-CautionBoxFigure"/>
    <w:rsid w:val="00E66C83"/>
    <w:rPr>
      <w:rFonts w:ascii="Crimson Pro" w:eastAsia="Times New Roman" w:hAnsi="Crimson Pro" w:cs="Times New Roman"/>
      <w:sz w:val="16"/>
      <w:szCs w:val="24"/>
      <w:shd w:val="clear" w:color="auto" w:fill="FFFFFF"/>
    </w:rPr>
  </w:style>
  <w:style w:type="paragraph" w:customStyle="1" w:styleId="Caution1-CautionBoxCaption">
    <w:name w:val="Caution1 - CautionBoxCaption"/>
    <w:basedOn w:val="I1-InfoBoxCaption"/>
    <w:link w:val="Caution1-CautionBoxCaptionChar"/>
    <w:rsid w:val="00E66C83"/>
  </w:style>
  <w:style w:type="character" w:customStyle="1" w:styleId="Caution1-CautionBoxCaptionChar">
    <w:name w:val="Caution1 - CautionBoxCaption Char"/>
    <w:basedOn w:val="P0-ParagraphChar"/>
    <w:link w:val="Caution1-CautionBoxCaption"/>
    <w:rsid w:val="00E66C83"/>
    <w:rPr>
      <w:rFonts w:ascii="Crimson Pro" w:eastAsia="Times New Roman" w:hAnsi="Crimson Pro" w:cs="Times New Roman"/>
      <w:sz w:val="16"/>
      <w:szCs w:val="24"/>
      <w:shd w:val="clear" w:color="auto" w:fill="FFFFFF"/>
    </w:rPr>
  </w:style>
  <w:style w:type="paragraph" w:customStyle="1" w:styleId="Caution1-CautionBox">
    <w:name w:val="Caution1 - CautionBox"/>
    <w:basedOn w:val="I1-InfoBox"/>
    <w:link w:val="Caution1-CautionBoxChar"/>
    <w:rsid w:val="00E66C83"/>
  </w:style>
  <w:style w:type="character" w:customStyle="1" w:styleId="Caution1-CautionBoxChar">
    <w:name w:val="Caution1 - CautionBox Char"/>
    <w:basedOn w:val="P0-ParagraphChar"/>
    <w:link w:val="Caution1-CautionBox"/>
    <w:rsid w:val="00E66C83"/>
    <w:rPr>
      <w:rFonts w:ascii="Crimson Pro" w:eastAsia="Times New Roman" w:hAnsi="Crimson Pro" w:cs="Times New Roman"/>
      <w:sz w:val="20"/>
      <w:szCs w:val="24"/>
      <w:shd w:val="clear" w:color="auto" w:fill="FFFFFF"/>
    </w:rPr>
  </w:style>
  <w:style w:type="paragraph" w:customStyle="1" w:styleId="Caution1-CautionBoxNumberedList">
    <w:name w:val="Caution1 - CautionBoxNumberedList"/>
    <w:basedOn w:val="I1-InfoBoxNumberedList"/>
    <w:link w:val="Caution1-CautionBoxNumberedListChar"/>
    <w:rsid w:val="00E66C83"/>
  </w:style>
  <w:style w:type="character" w:customStyle="1" w:styleId="Caution1-CautionBoxNumberedListChar">
    <w:name w:val="Caution1 - CautionBoxNumberedList Char"/>
    <w:basedOn w:val="P0-ParagraphChar"/>
    <w:link w:val="Caution1-CautionBoxNumberedList"/>
    <w:rsid w:val="00E66C83"/>
    <w:rPr>
      <w:rFonts w:ascii="Crimson Pro" w:eastAsia="Times New Roman" w:hAnsi="Crimson Pro" w:cs="Times New Roman"/>
      <w:sz w:val="20"/>
      <w:szCs w:val="24"/>
      <w:shd w:val="clear" w:color="auto" w:fill="FFFFFF"/>
    </w:rPr>
  </w:style>
  <w:style w:type="paragraph" w:customStyle="1" w:styleId="Caution1-CautionBoxCode">
    <w:name w:val="Caution1 - CautionBoxCode"/>
    <w:basedOn w:val="I1-InfoBoxCode"/>
    <w:link w:val="Caution1-CautionBoxCodeChar"/>
    <w:rsid w:val="00E66C83"/>
  </w:style>
  <w:style w:type="character" w:customStyle="1" w:styleId="Caution1-CautionBoxCodeChar">
    <w:name w:val="Caution1 - CautionBoxCode Char"/>
    <w:basedOn w:val="P0-ParagraphChar"/>
    <w:link w:val="Caution1-CautionBoxCode"/>
    <w:rsid w:val="00E66C83"/>
    <w:rPr>
      <w:rFonts w:ascii="Consolas" w:eastAsia="Times New Roman" w:hAnsi="Consolas" w:cs="Times New Roman"/>
      <w:color w:val="383A42"/>
      <w:sz w:val="18"/>
      <w:szCs w:val="24"/>
      <w:shd w:val="clear" w:color="auto" w:fill="FAFAFA"/>
    </w:rPr>
  </w:style>
  <w:style w:type="paragraph" w:customStyle="1" w:styleId="Caution1-CautionBoxConsole">
    <w:name w:val="Caution1 - CautionBoxConsole"/>
    <w:basedOn w:val="I1-InfoBoxConsole"/>
    <w:link w:val="Caution1-CautionBoxConsoleChar"/>
    <w:rsid w:val="00E66C83"/>
  </w:style>
  <w:style w:type="character" w:customStyle="1" w:styleId="Caution1-CautionBoxConsoleChar">
    <w:name w:val="Caution1 - CautionBoxConsole Char"/>
    <w:basedOn w:val="P0-ParagraphChar"/>
    <w:link w:val="Caution1-CautionBoxConsole"/>
    <w:rsid w:val="00E66C83"/>
    <w:rPr>
      <w:rFonts w:ascii="Consolas" w:eastAsia="Times New Roman" w:hAnsi="Consolas" w:cs="Times New Roman"/>
      <w:color w:val="F8F8F2"/>
      <w:sz w:val="18"/>
      <w:szCs w:val="24"/>
      <w:shd w:val="clear" w:color="auto" w:fill="282A36"/>
    </w:rPr>
  </w:style>
  <w:style w:type="paragraph" w:customStyle="1" w:styleId="Caution2-CautionBoxBullet">
    <w:name w:val="Caution2 - CautionBoxBullet"/>
    <w:basedOn w:val="I2-InfoBoxBullet"/>
    <w:link w:val="Caution2-CautionBoxBulletChar"/>
    <w:rsid w:val="00E66C83"/>
  </w:style>
  <w:style w:type="character" w:customStyle="1" w:styleId="Caution2-CautionBoxBulletChar">
    <w:name w:val="Caution2 - CautionBoxBullet Char"/>
    <w:basedOn w:val="P0-ParagraphChar"/>
    <w:link w:val="Caution2-CautionBoxBullet"/>
    <w:rsid w:val="00E66C83"/>
    <w:rPr>
      <w:rFonts w:ascii="Crimson Pro" w:eastAsia="Times New Roman" w:hAnsi="Crimson Pro" w:cs="Times New Roman"/>
      <w:sz w:val="20"/>
      <w:szCs w:val="24"/>
      <w:shd w:val="clear" w:color="auto" w:fill="FFFFFF"/>
    </w:rPr>
  </w:style>
  <w:style w:type="paragraph" w:customStyle="1" w:styleId="Caution2-CautionBoxCenter">
    <w:name w:val="Caution2 - CautionBoxCenter"/>
    <w:basedOn w:val="I2-InfoBoxCenter"/>
    <w:link w:val="Caution2-CautionBoxCenterChar"/>
    <w:rsid w:val="00E66C83"/>
  </w:style>
  <w:style w:type="character" w:customStyle="1" w:styleId="Caution2-CautionBoxCenterChar">
    <w:name w:val="Caution2 - CautionBoxCenter Char"/>
    <w:basedOn w:val="P0-ParagraphChar"/>
    <w:link w:val="Caution2-CautionBoxCenter"/>
    <w:rsid w:val="00E66C83"/>
    <w:rPr>
      <w:rFonts w:ascii="Crimson Pro" w:eastAsia="Times New Roman" w:hAnsi="Crimson Pro" w:cs="Times New Roman"/>
      <w:sz w:val="20"/>
      <w:szCs w:val="24"/>
      <w:shd w:val="clear" w:color="auto" w:fill="FFFFFF"/>
    </w:rPr>
  </w:style>
  <w:style w:type="paragraph" w:customStyle="1" w:styleId="Caution2-CautionBoxFigure">
    <w:name w:val="Caution2 - CautionBoxFigure"/>
    <w:basedOn w:val="I2-InfoBoxFigure"/>
    <w:link w:val="Caution2-CautionBoxFigureChar"/>
    <w:rsid w:val="00E66C83"/>
  </w:style>
  <w:style w:type="character" w:customStyle="1" w:styleId="Caution2-CautionBoxFigureChar">
    <w:name w:val="Caution2 - CautionBoxFigure Char"/>
    <w:basedOn w:val="P0-ParagraphChar"/>
    <w:link w:val="Caution2-CautionBoxFigure"/>
    <w:rsid w:val="00E66C83"/>
    <w:rPr>
      <w:rFonts w:ascii="Crimson Pro" w:eastAsia="Times New Roman" w:hAnsi="Crimson Pro" w:cs="Times New Roman"/>
      <w:sz w:val="16"/>
      <w:szCs w:val="24"/>
      <w:shd w:val="clear" w:color="auto" w:fill="FFFFFF"/>
    </w:rPr>
  </w:style>
  <w:style w:type="paragraph" w:customStyle="1" w:styleId="Caution2-CautionBoxCaption">
    <w:name w:val="Caution2 - CautionBoxCaption"/>
    <w:basedOn w:val="I2-InfoBoxCaption"/>
    <w:link w:val="Caution2-CautionBoxCaptionChar"/>
    <w:rsid w:val="00E66C83"/>
  </w:style>
  <w:style w:type="character" w:customStyle="1" w:styleId="Caution2-CautionBoxCaptionChar">
    <w:name w:val="Caution2 - CautionBoxCaption Char"/>
    <w:basedOn w:val="P0-ParagraphChar"/>
    <w:link w:val="Caution2-CautionBoxCaption"/>
    <w:rsid w:val="00E66C83"/>
    <w:rPr>
      <w:rFonts w:ascii="Crimson Pro" w:eastAsia="Times New Roman" w:hAnsi="Crimson Pro" w:cs="Times New Roman"/>
      <w:sz w:val="16"/>
      <w:szCs w:val="24"/>
      <w:shd w:val="clear" w:color="auto" w:fill="FFFFFF"/>
    </w:rPr>
  </w:style>
  <w:style w:type="paragraph" w:customStyle="1" w:styleId="Caution2-CautionBox">
    <w:name w:val="Caution2 - CautionBox"/>
    <w:basedOn w:val="I2-InfoBox"/>
    <w:link w:val="Caution2-CautionBoxChar"/>
    <w:rsid w:val="00E66C83"/>
  </w:style>
  <w:style w:type="character" w:customStyle="1" w:styleId="Caution2-CautionBoxChar">
    <w:name w:val="Caution2 - CautionBox Char"/>
    <w:basedOn w:val="P0-ParagraphChar"/>
    <w:link w:val="Caution2-CautionBox"/>
    <w:rsid w:val="00E66C83"/>
    <w:rPr>
      <w:rFonts w:ascii="Crimson Pro" w:eastAsia="Times New Roman" w:hAnsi="Crimson Pro" w:cs="Times New Roman"/>
      <w:sz w:val="20"/>
      <w:szCs w:val="24"/>
      <w:shd w:val="clear" w:color="auto" w:fill="FFFFFF"/>
    </w:rPr>
  </w:style>
  <w:style w:type="paragraph" w:customStyle="1" w:styleId="Caution2-CautionBoxNumberedList">
    <w:name w:val="Caution2 - CautionBoxNumberedList"/>
    <w:basedOn w:val="I2-InfoBoxNumberedList"/>
    <w:link w:val="Caution2-CautionBoxNumberedListChar"/>
    <w:rsid w:val="00E66C83"/>
  </w:style>
  <w:style w:type="character" w:customStyle="1" w:styleId="Caution2-CautionBoxNumberedListChar">
    <w:name w:val="Caution2 - CautionBoxNumberedList Char"/>
    <w:basedOn w:val="P0-ParagraphChar"/>
    <w:link w:val="Caution2-CautionBoxNumberedList"/>
    <w:rsid w:val="00E66C83"/>
    <w:rPr>
      <w:rFonts w:ascii="Crimson Pro" w:eastAsia="Times New Roman" w:hAnsi="Crimson Pro" w:cs="Times New Roman"/>
      <w:sz w:val="20"/>
      <w:szCs w:val="24"/>
      <w:shd w:val="clear" w:color="auto" w:fill="FFFFFF"/>
    </w:rPr>
  </w:style>
  <w:style w:type="paragraph" w:customStyle="1" w:styleId="Caution2-CautionBoxCode">
    <w:name w:val="Caution2 - CautionBoxCode"/>
    <w:basedOn w:val="I2-InfoBoxCode"/>
    <w:link w:val="Caution2-CautionBoxCodeChar"/>
    <w:rsid w:val="00E66C83"/>
  </w:style>
  <w:style w:type="character" w:customStyle="1" w:styleId="Caution2-CautionBoxCodeChar">
    <w:name w:val="Caution2 - CautionBoxCode Char"/>
    <w:basedOn w:val="P0-ParagraphChar"/>
    <w:link w:val="Caution2-CautionBoxCode"/>
    <w:rsid w:val="00E66C83"/>
    <w:rPr>
      <w:rFonts w:ascii="Consolas" w:eastAsia="Times New Roman" w:hAnsi="Consolas" w:cs="Times New Roman"/>
      <w:color w:val="383A42"/>
      <w:sz w:val="18"/>
      <w:szCs w:val="24"/>
      <w:shd w:val="clear" w:color="auto" w:fill="FAFAFA"/>
    </w:rPr>
  </w:style>
  <w:style w:type="paragraph" w:customStyle="1" w:styleId="Caution2-CautionBoxConsole">
    <w:name w:val="Caution2 - CautionBoxConsole"/>
    <w:basedOn w:val="I2-InfoBoxConsole"/>
    <w:link w:val="Caution2-CautionBoxConsoleChar"/>
    <w:rsid w:val="00E66C83"/>
  </w:style>
  <w:style w:type="character" w:customStyle="1" w:styleId="Caution2-CautionBoxConsoleChar">
    <w:name w:val="Caution2 - CautionBoxConsole Char"/>
    <w:basedOn w:val="P0-ParagraphChar"/>
    <w:link w:val="Caution2-CautionBoxConsole"/>
    <w:rsid w:val="00E66C83"/>
    <w:rPr>
      <w:rFonts w:ascii="Consolas" w:eastAsia="Times New Roman" w:hAnsi="Consolas" w:cs="Times New Roman"/>
      <w:color w:val="F8F8F2"/>
      <w:sz w:val="18"/>
      <w:szCs w:val="24"/>
      <w:shd w:val="clear" w:color="auto" w:fill="282A36"/>
    </w:rPr>
  </w:style>
  <w:style w:type="paragraph" w:customStyle="1" w:styleId="AIHelper0-AIHelperBoxBullet">
    <w:name w:val="AI Helper0 - AIHelperBoxBullet"/>
    <w:basedOn w:val="I0-InfoBoxBullet"/>
    <w:link w:val="AIHelper0-AIHelperBoxBulletChar"/>
    <w:rsid w:val="00E66C83"/>
  </w:style>
  <w:style w:type="character" w:customStyle="1" w:styleId="AIHelper0-AIHelperBoxBulletChar">
    <w:name w:val="AI Helper0 - AIHelperBoxBullet Char"/>
    <w:basedOn w:val="P0-ParagraphChar"/>
    <w:link w:val="AIHelper0-AIHelperBoxBullet"/>
    <w:rsid w:val="00E66C83"/>
    <w:rPr>
      <w:rFonts w:ascii="Crimson Pro" w:eastAsia="Times New Roman" w:hAnsi="Crimson Pro" w:cs="Times New Roman"/>
      <w:sz w:val="20"/>
      <w:szCs w:val="24"/>
      <w:shd w:val="clear" w:color="auto" w:fill="FFFFFF"/>
    </w:rPr>
  </w:style>
  <w:style w:type="paragraph" w:customStyle="1" w:styleId="AIHelper0-AIHelperBoxCenter">
    <w:name w:val="AI Helper0 - AIHelperBoxCenter"/>
    <w:basedOn w:val="I0-InfoBoxCenter"/>
    <w:link w:val="AIHelper0-AIHelperBoxCenterChar"/>
    <w:rsid w:val="00E66C83"/>
  </w:style>
  <w:style w:type="character" w:customStyle="1" w:styleId="AIHelper0-AIHelperBoxCenterChar">
    <w:name w:val="AI Helper0 - AIHelperBoxCenter Char"/>
    <w:basedOn w:val="P0-ParagraphChar"/>
    <w:link w:val="AIHelper0-AIHelperBoxCenter"/>
    <w:rsid w:val="00E66C83"/>
    <w:rPr>
      <w:rFonts w:ascii="Crimson Pro" w:eastAsia="Times New Roman" w:hAnsi="Crimson Pro" w:cs="Times New Roman"/>
      <w:sz w:val="20"/>
      <w:szCs w:val="24"/>
      <w:shd w:val="clear" w:color="auto" w:fill="FFFFFF"/>
    </w:rPr>
  </w:style>
  <w:style w:type="paragraph" w:customStyle="1" w:styleId="AIHelper0-AIHelperBoxFigure">
    <w:name w:val="AI Helper0 - AIHelperBoxFigure"/>
    <w:basedOn w:val="I0-InfoBoxFigure"/>
    <w:link w:val="AIHelper0-AIHelperBoxFigureChar"/>
    <w:rsid w:val="00E66C83"/>
  </w:style>
  <w:style w:type="character" w:customStyle="1" w:styleId="AIHelper0-AIHelperBoxFigureChar">
    <w:name w:val="AI Helper0 - AIHelperBoxFigure Char"/>
    <w:basedOn w:val="P0-ParagraphChar"/>
    <w:link w:val="AIHelper0-AIHelperBoxFigure"/>
    <w:rsid w:val="00E66C83"/>
    <w:rPr>
      <w:rFonts w:ascii="Crimson Pro" w:eastAsia="Times New Roman" w:hAnsi="Crimson Pro" w:cs="Times New Roman"/>
      <w:sz w:val="16"/>
      <w:szCs w:val="24"/>
      <w:shd w:val="clear" w:color="auto" w:fill="FFFFFF"/>
    </w:rPr>
  </w:style>
  <w:style w:type="paragraph" w:customStyle="1" w:styleId="AIHelper0-AIHelperBoxCaption">
    <w:name w:val="AI Helper0 - AIHelperBoxCaption"/>
    <w:basedOn w:val="I0-InfoBoxCaption"/>
    <w:link w:val="AIHelper0-AIHelperBoxCaptionChar"/>
    <w:rsid w:val="00E66C83"/>
  </w:style>
  <w:style w:type="character" w:customStyle="1" w:styleId="AIHelper0-AIHelperBoxCaptionChar">
    <w:name w:val="AI Helper0 - AIHelperBoxCaption Char"/>
    <w:basedOn w:val="P0-ParagraphChar"/>
    <w:link w:val="AIHelper0-AIHelperBoxCaption"/>
    <w:rsid w:val="00E66C83"/>
    <w:rPr>
      <w:rFonts w:ascii="Crimson Pro" w:eastAsia="Times New Roman" w:hAnsi="Crimson Pro" w:cs="Times New Roman"/>
      <w:sz w:val="16"/>
      <w:szCs w:val="24"/>
      <w:shd w:val="clear" w:color="auto" w:fill="FFFFFF"/>
    </w:rPr>
  </w:style>
  <w:style w:type="paragraph" w:customStyle="1" w:styleId="AIHelper0-AIHelperBox">
    <w:name w:val="AI Helper0 - AIHelperBox"/>
    <w:basedOn w:val="I0-InfoBox"/>
    <w:link w:val="AIHelper0-AIHelperBoxChar"/>
    <w:rsid w:val="00E66C83"/>
  </w:style>
  <w:style w:type="character" w:customStyle="1" w:styleId="AIHelper0-AIHelperBoxChar">
    <w:name w:val="AI Helper0 - AIHelperBox Char"/>
    <w:basedOn w:val="P0-ParagraphChar"/>
    <w:link w:val="AIHelper0-AIHelperBox"/>
    <w:rsid w:val="00E66C83"/>
    <w:rPr>
      <w:rFonts w:ascii="Crimson Pro" w:eastAsia="Times New Roman" w:hAnsi="Crimson Pro" w:cs="Times New Roman"/>
      <w:sz w:val="20"/>
      <w:szCs w:val="24"/>
      <w:shd w:val="clear" w:color="auto" w:fill="FFFFFF"/>
    </w:rPr>
  </w:style>
  <w:style w:type="paragraph" w:customStyle="1" w:styleId="AIHelper0-AIHelperBoxNumberedList">
    <w:name w:val="AI Helper0 - AIHelperBoxNumberedList"/>
    <w:basedOn w:val="I0-InfoBoxNumberedList"/>
    <w:link w:val="AIHelper0-AIHelperBoxNumberedListChar"/>
    <w:rsid w:val="00E66C83"/>
  </w:style>
  <w:style w:type="character" w:customStyle="1" w:styleId="AIHelper0-AIHelperBoxNumberedListChar">
    <w:name w:val="AI Helper0 - AIHelperBoxNumberedList Char"/>
    <w:basedOn w:val="P0-ParagraphChar"/>
    <w:link w:val="AIHelper0-AIHelperBoxNumberedList"/>
    <w:rsid w:val="00E66C83"/>
    <w:rPr>
      <w:rFonts w:ascii="Crimson Pro" w:eastAsia="Times New Roman" w:hAnsi="Crimson Pro" w:cs="Times New Roman"/>
      <w:sz w:val="20"/>
      <w:szCs w:val="24"/>
      <w:shd w:val="clear" w:color="auto" w:fill="FFFFFF"/>
    </w:rPr>
  </w:style>
  <w:style w:type="paragraph" w:customStyle="1" w:styleId="AIHelper0-AIHelperBoxCode">
    <w:name w:val="AI Helper0 - AIHelperBoxCode"/>
    <w:basedOn w:val="I0-InfoBoxCode"/>
    <w:link w:val="AIHelper0-AIHelperBoxCodeChar"/>
    <w:rsid w:val="00E66C83"/>
  </w:style>
  <w:style w:type="character" w:customStyle="1" w:styleId="AIHelper0-AIHelperBoxCodeChar">
    <w:name w:val="AI Helper0 - AIHelperBoxCode Char"/>
    <w:basedOn w:val="P0-ParagraphChar"/>
    <w:link w:val="AIHelper0-AIHelperBoxCode"/>
    <w:rsid w:val="00E66C83"/>
    <w:rPr>
      <w:rFonts w:ascii="Consolas" w:eastAsia="Times New Roman" w:hAnsi="Consolas" w:cs="Times New Roman"/>
      <w:color w:val="383A42"/>
      <w:sz w:val="18"/>
      <w:szCs w:val="24"/>
      <w:shd w:val="clear" w:color="auto" w:fill="FAFAFA"/>
    </w:rPr>
  </w:style>
  <w:style w:type="paragraph" w:customStyle="1" w:styleId="AIHelper0-AIHelperBoxConsole">
    <w:name w:val="AI Helper0 - AIHelperBoxConsole"/>
    <w:basedOn w:val="I0-InfoBoxConsole"/>
    <w:link w:val="AIHelper0-AIHelperBoxConsoleChar"/>
    <w:rsid w:val="00E66C83"/>
  </w:style>
  <w:style w:type="character" w:customStyle="1" w:styleId="AIHelper0-AIHelperBoxConsoleChar">
    <w:name w:val="AI Helper0 - AIHelperBoxConsole Char"/>
    <w:basedOn w:val="P0-ParagraphChar"/>
    <w:link w:val="AIHelper0-AIHelperBoxConsole"/>
    <w:rsid w:val="00E66C83"/>
    <w:rPr>
      <w:rFonts w:ascii="Consolas" w:eastAsia="Times New Roman" w:hAnsi="Consolas" w:cs="Times New Roman"/>
      <w:color w:val="F8F8F2"/>
      <w:sz w:val="18"/>
      <w:szCs w:val="24"/>
      <w:shd w:val="clear" w:color="auto" w:fill="282A36"/>
    </w:rPr>
  </w:style>
  <w:style w:type="paragraph" w:customStyle="1" w:styleId="AIHelper1-AIHelperBoxBullet">
    <w:name w:val="AI Helper1 - AIHelperBoxBullet"/>
    <w:basedOn w:val="I1-InfoBoxBullet"/>
    <w:link w:val="AIHelper1-AIHelperBoxBulletChar"/>
    <w:rsid w:val="00E66C83"/>
  </w:style>
  <w:style w:type="character" w:customStyle="1" w:styleId="AIHelper1-AIHelperBoxBulletChar">
    <w:name w:val="AI Helper1 - AIHelperBoxBullet Char"/>
    <w:basedOn w:val="P0-ParagraphChar"/>
    <w:link w:val="AIHelper1-AIHelperBoxBullet"/>
    <w:rsid w:val="00E66C83"/>
    <w:rPr>
      <w:rFonts w:ascii="Crimson Pro" w:eastAsia="Times New Roman" w:hAnsi="Crimson Pro" w:cs="Times New Roman"/>
      <w:sz w:val="20"/>
      <w:szCs w:val="24"/>
      <w:shd w:val="clear" w:color="auto" w:fill="FFFFFF"/>
    </w:rPr>
  </w:style>
  <w:style w:type="paragraph" w:customStyle="1" w:styleId="AIHelper1-AIHelperBoxCenter">
    <w:name w:val="AI Helper1 - AIHelperBoxCenter"/>
    <w:basedOn w:val="I1-InfoBoxCenter"/>
    <w:link w:val="AIHelper1-AIHelperBoxCenterChar"/>
    <w:rsid w:val="00E66C83"/>
  </w:style>
  <w:style w:type="character" w:customStyle="1" w:styleId="AIHelper1-AIHelperBoxCenterChar">
    <w:name w:val="AI Helper1 - AIHelperBoxCenter Char"/>
    <w:basedOn w:val="P0-ParagraphChar"/>
    <w:link w:val="AIHelper1-AIHelperBoxCenter"/>
    <w:rsid w:val="00E66C83"/>
    <w:rPr>
      <w:rFonts w:ascii="Crimson Pro" w:eastAsia="Times New Roman" w:hAnsi="Crimson Pro" w:cs="Times New Roman"/>
      <w:sz w:val="20"/>
      <w:szCs w:val="24"/>
      <w:shd w:val="clear" w:color="auto" w:fill="FFFFFF"/>
    </w:rPr>
  </w:style>
  <w:style w:type="paragraph" w:customStyle="1" w:styleId="AIHelper1-AIHelperBoxFigure">
    <w:name w:val="AI Helper1 - AIHelperBoxFigure"/>
    <w:basedOn w:val="I1-InfoBoxFigure"/>
    <w:link w:val="AIHelper1-AIHelperBoxFigureChar"/>
    <w:rsid w:val="00E66C83"/>
  </w:style>
  <w:style w:type="character" w:customStyle="1" w:styleId="AIHelper1-AIHelperBoxFigureChar">
    <w:name w:val="AI Helper1 - AIHelperBoxFigure Char"/>
    <w:basedOn w:val="P0-ParagraphChar"/>
    <w:link w:val="AIHelper1-AIHelperBoxFigure"/>
    <w:rsid w:val="00E66C83"/>
    <w:rPr>
      <w:rFonts w:ascii="Crimson Pro" w:eastAsia="Times New Roman" w:hAnsi="Crimson Pro" w:cs="Times New Roman"/>
      <w:sz w:val="16"/>
      <w:szCs w:val="24"/>
      <w:shd w:val="clear" w:color="auto" w:fill="FFFFFF"/>
    </w:rPr>
  </w:style>
  <w:style w:type="paragraph" w:customStyle="1" w:styleId="AIHelper1-AIHelperBoxCaption">
    <w:name w:val="AI Helper1 - AIHelperBoxCaption"/>
    <w:basedOn w:val="I1-InfoBoxCaption"/>
    <w:link w:val="AIHelper1-AIHelperBoxCaptionChar"/>
    <w:rsid w:val="00E66C83"/>
  </w:style>
  <w:style w:type="character" w:customStyle="1" w:styleId="AIHelper1-AIHelperBoxCaptionChar">
    <w:name w:val="AI Helper1 - AIHelperBoxCaption Char"/>
    <w:basedOn w:val="P0-ParagraphChar"/>
    <w:link w:val="AIHelper1-AIHelperBoxCaption"/>
    <w:rsid w:val="00E66C83"/>
    <w:rPr>
      <w:rFonts w:ascii="Crimson Pro" w:eastAsia="Times New Roman" w:hAnsi="Crimson Pro" w:cs="Times New Roman"/>
      <w:sz w:val="16"/>
      <w:szCs w:val="24"/>
      <w:shd w:val="clear" w:color="auto" w:fill="FFFFFF"/>
    </w:rPr>
  </w:style>
  <w:style w:type="paragraph" w:customStyle="1" w:styleId="AIHelper1-AIHelperBox">
    <w:name w:val="AI Helper1 - AIHelperBox"/>
    <w:basedOn w:val="I1-InfoBox"/>
    <w:link w:val="AIHelper1-AIHelperBoxChar"/>
    <w:rsid w:val="00E66C83"/>
  </w:style>
  <w:style w:type="character" w:customStyle="1" w:styleId="AIHelper1-AIHelperBoxChar">
    <w:name w:val="AI Helper1 - AIHelperBox Char"/>
    <w:basedOn w:val="P0-ParagraphChar"/>
    <w:link w:val="AIHelper1-AIHelperBox"/>
    <w:rsid w:val="00E66C83"/>
    <w:rPr>
      <w:rFonts w:ascii="Crimson Pro" w:eastAsia="Times New Roman" w:hAnsi="Crimson Pro" w:cs="Times New Roman"/>
      <w:sz w:val="20"/>
      <w:szCs w:val="24"/>
      <w:shd w:val="clear" w:color="auto" w:fill="FFFFFF"/>
    </w:rPr>
  </w:style>
  <w:style w:type="paragraph" w:customStyle="1" w:styleId="AIHelper1-AIHelperBoxNumberedList">
    <w:name w:val="AI Helper1 - AIHelperBoxNumberedList"/>
    <w:basedOn w:val="I1-InfoBoxNumberedList"/>
    <w:link w:val="AIHelper1-AIHelperBoxNumberedListChar"/>
    <w:rsid w:val="00E66C83"/>
  </w:style>
  <w:style w:type="character" w:customStyle="1" w:styleId="AIHelper1-AIHelperBoxNumberedListChar">
    <w:name w:val="AI Helper1 - AIHelperBoxNumberedList Char"/>
    <w:basedOn w:val="P0-ParagraphChar"/>
    <w:link w:val="AIHelper1-AIHelperBoxNumberedList"/>
    <w:rsid w:val="00E66C83"/>
    <w:rPr>
      <w:rFonts w:ascii="Crimson Pro" w:eastAsia="Times New Roman" w:hAnsi="Crimson Pro" w:cs="Times New Roman"/>
      <w:sz w:val="20"/>
      <w:szCs w:val="24"/>
      <w:shd w:val="clear" w:color="auto" w:fill="FFFFFF"/>
    </w:rPr>
  </w:style>
  <w:style w:type="paragraph" w:customStyle="1" w:styleId="AIHelper1-AIHelperBoxCode">
    <w:name w:val="AI Helper1 - AIHelperBoxCode"/>
    <w:basedOn w:val="I1-InfoBoxCode"/>
    <w:link w:val="AIHelper1-AIHelperBoxCodeChar"/>
    <w:rsid w:val="00E66C83"/>
  </w:style>
  <w:style w:type="character" w:customStyle="1" w:styleId="AIHelper1-AIHelperBoxCodeChar">
    <w:name w:val="AI Helper1 - AIHelperBoxCode Char"/>
    <w:basedOn w:val="P0-ParagraphChar"/>
    <w:link w:val="AIHelper1-AIHelperBoxCode"/>
    <w:rsid w:val="00E66C83"/>
    <w:rPr>
      <w:rFonts w:ascii="Consolas" w:eastAsia="Times New Roman" w:hAnsi="Consolas" w:cs="Times New Roman"/>
      <w:color w:val="383A42"/>
      <w:sz w:val="18"/>
      <w:szCs w:val="24"/>
      <w:shd w:val="clear" w:color="auto" w:fill="FAFAFA"/>
    </w:rPr>
  </w:style>
  <w:style w:type="paragraph" w:customStyle="1" w:styleId="AIHelper1-AIHelperBoxConsole">
    <w:name w:val="AI Helper1 - AIHelperBoxConsole"/>
    <w:basedOn w:val="I1-InfoBoxConsole"/>
    <w:link w:val="AIHelper1-AIHelperBoxConsoleChar"/>
    <w:rsid w:val="00E66C83"/>
  </w:style>
  <w:style w:type="character" w:customStyle="1" w:styleId="AIHelper1-AIHelperBoxConsoleChar">
    <w:name w:val="AI Helper1 - AIHelperBoxConsole Char"/>
    <w:basedOn w:val="P0-ParagraphChar"/>
    <w:link w:val="AIHelper1-AIHelperBoxConsole"/>
    <w:rsid w:val="00E66C83"/>
    <w:rPr>
      <w:rFonts w:ascii="Consolas" w:eastAsia="Times New Roman" w:hAnsi="Consolas" w:cs="Times New Roman"/>
      <w:color w:val="F8F8F2"/>
      <w:sz w:val="18"/>
      <w:szCs w:val="24"/>
      <w:shd w:val="clear" w:color="auto" w:fill="282A36"/>
    </w:rPr>
  </w:style>
  <w:style w:type="paragraph" w:customStyle="1" w:styleId="AIHelper2-AIHelperBoxBullet">
    <w:name w:val="AI Helper2 - AIHelperBoxBullet"/>
    <w:basedOn w:val="I2-InfoBoxBullet"/>
    <w:link w:val="AIHelper2-AIHelperBoxBulletChar"/>
    <w:rsid w:val="00E66C83"/>
  </w:style>
  <w:style w:type="character" w:customStyle="1" w:styleId="AIHelper2-AIHelperBoxBulletChar">
    <w:name w:val="AI Helper2 - AIHelperBoxBullet Char"/>
    <w:basedOn w:val="P0-ParagraphChar"/>
    <w:link w:val="AIHelper2-AIHelperBoxBullet"/>
    <w:rsid w:val="00E66C83"/>
    <w:rPr>
      <w:rFonts w:ascii="Crimson Pro" w:eastAsia="Times New Roman" w:hAnsi="Crimson Pro" w:cs="Times New Roman"/>
      <w:sz w:val="20"/>
      <w:szCs w:val="24"/>
      <w:shd w:val="clear" w:color="auto" w:fill="FFFFFF"/>
    </w:rPr>
  </w:style>
  <w:style w:type="paragraph" w:customStyle="1" w:styleId="AIHelper2-AIHelperBoxCenter">
    <w:name w:val="AI Helper2 - AIHelperBoxCenter"/>
    <w:basedOn w:val="I2-InfoBoxCenter"/>
    <w:link w:val="AIHelper2-AIHelperBoxCenterChar"/>
    <w:rsid w:val="00E66C83"/>
  </w:style>
  <w:style w:type="character" w:customStyle="1" w:styleId="AIHelper2-AIHelperBoxCenterChar">
    <w:name w:val="AI Helper2 - AIHelperBoxCenter Char"/>
    <w:basedOn w:val="P0-ParagraphChar"/>
    <w:link w:val="AIHelper2-AIHelperBoxCenter"/>
    <w:rsid w:val="00E66C83"/>
    <w:rPr>
      <w:rFonts w:ascii="Crimson Pro" w:eastAsia="Times New Roman" w:hAnsi="Crimson Pro" w:cs="Times New Roman"/>
      <w:sz w:val="20"/>
      <w:szCs w:val="24"/>
      <w:shd w:val="clear" w:color="auto" w:fill="FFFFFF"/>
    </w:rPr>
  </w:style>
  <w:style w:type="paragraph" w:customStyle="1" w:styleId="AIHelper2-AIHelperBoxFigure">
    <w:name w:val="AI Helper2 - AIHelperBoxFigure"/>
    <w:basedOn w:val="I2-InfoBoxFigure"/>
    <w:link w:val="AIHelper2-AIHelperBoxFigureChar"/>
    <w:rsid w:val="00E66C83"/>
  </w:style>
  <w:style w:type="character" w:customStyle="1" w:styleId="AIHelper2-AIHelperBoxFigureChar">
    <w:name w:val="AI Helper2 - AIHelperBoxFigure Char"/>
    <w:basedOn w:val="P0-ParagraphChar"/>
    <w:link w:val="AIHelper2-AIHelperBoxFigure"/>
    <w:rsid w:val="00E66C83"/>
    <w:rPr>
      <w:rFonts w:ascii="Crimson Pro" w:eastAsia="Times New Roman" w:hAnsi="Crimson Pro" w:cs="Times New Roman"/>
      <w:sz w:val="16"/>
      <w:szCs w:val="24"/>
      <w:shd w:val="clear" w:color="auto" w:fill="FFFFFF"/>
    </w:rPr>
  </w:style>
  <w:style w:type="paragraph" w:customStyle="1" w:styleId="AIHelper2-AIHelperBoxCaption">
    <w:name w:val="AI Helper2 - AIHelperBoxCaption"/>
    <w:basedOn w:val="I2-InfoBoxCaption"/>
    <w:link w:val="AIHelper2-AIHelperBoxCaptionChar"/>
    <w:rsid w:val="00E66C83"/>
  </w:style>
  <w:style w:type="character" w:customStyle="1" w:styleId="AIHelper2-AIHelperBoxCaptionChar">
    <w:name w:val="AI Helper2 - AIHelperBoxCaption Char"/>
    <w:basedOn w:val="P0-ParagraphChar"/>
    <w:link w:val="AIHelper2-AIHelperBoxCaption"/>
    <w:rsid w:val="00E66C83"/>
    <w:rPr>
      <w:rFonts w:ascii="Crimson Pro" w:eastAsia="Times New Roman" w:hAnsi="Crimson Pro" w:cs="Times New Roman"/>
      <w:sz w:val="16"/>
      <w:szCs w:val="24"/>
      <w:shd w:val="clear" w:color="auto" w:fill="FFFFFF"/>
    </w:rPr>
  </w:style>
  <w:style w:type="paragraph" w:customStyle="1" w:styleId="AIHelper2-AIHelperBox">
    <w:name w:val="AI Helper2 - AIHelperBox"/>
    <w:basedOn w:val="I2-InfoBox"/>
    <w:link w:val="AIHelper2-AIHelperBoxChar"/>
    <w:rsid w:val="00E66C83"/>
  </w:style>
  <w:style w:type="character" w:customStyle="1" w:styleId="AIHelper2-AIHelperBoxChar">
    <w:name w:val="AI Helper2 - AIHelperBox Char"/>
    <w:basedOn w:val="P0-ParagraphChar"/>
    <w:link w:val="AIHelper2-AIHelperBox"/>
    <w:rsid w:val="00E66C83"/>
    <w:rPr>
      <w:rFonts w:ascii="Crimson Pro" w:eastAsia="Times New Roman" w:hAnsi="Crimson Pro" w:cs="Times New Roman"/>
      <w:sz w:val="20"/>
      <w:szCs w:val="24"/>
      <w:shd w:val="clear" w:color="auto" w:fill="FFFFFF"/>
    </w:rPr>
  </w:style>
  <w:style w:type="paragraph" w:customStyle="1" w:styleId="AIHelper2-AIHelperBoxNumberedList">
    <w:name w:val="AI Helper2 - AIHelperBoxNumberedList"/>
    <w:basedOn w:val="I2-InfoBoxNumberedList"/>
    <w:link w:val="AIHelper2-AIHelperBoxNumberedListChar"/>
    <w:rsid w:val="00E66C83"/>
  </w:style>
  <w:style w:type="character" w:customStyle="1" w:styleId="AIHelper2-AIHelperBoxNumberedListChar">
    <w:name w:val="AI Helper2 - AIHelperBoxNumberedList Char"/>
    <w:basedOn w:val="P0-ParagraphChar"/>
    <w:link w:val="AIHelper2-AIHelperBoxNumberedList"/>
    <w:rsid w:val="00E66C83"/>
    <w:rPr>
      <w:rFonts w:ascii="Crimson Pro" w:eastAsia="Times New Roman" w:hAnsi="Crimson Pro" w:cs="Times New Roman"/>
      <w:sz w:val="20"/>
      <w:szCs w:val="24"/>
      <w:shd w:val="clear" w:color="auto" w:fill="FFFFFF"/>
    </w:rPr>
  </w:style>
  <w:style w:type="paragraph" w:customStyle="1" w:styleId="AIHelper2-AIHelperBoxCode">
    <w:name w:val="AI Helper2 - AIHelperBoxCode"/>
    <w:basedOn w:val="I2-InfoBoxCode"/>
    <w:link w:val="AIHelper2-AIHelperBoxCodeChar"/>
    <w:rsid w:val="00E66C83"/>
  </w:style>
  <w:style w:type="character" w:customStyle="1" w:styleId="AIHelper2-AIHelperBoxCodeChar">
    <w:name w:val="AI Helper2 - AIHelperBoxCode Char"/>
    <w:basedOn w:val="P0-ParagraphChar"/>
    <w:link w:val="AIHelper2-AIHelperBoxCode"/>
    <w:rsid w:val="00E66C83"/>
    <w:rPr>
      <w:rFonts w:ascii="Consolas" w:eastAsia="Times New Roman" w:hAnsi="Consolas" w:cs="Times New Roman"/>
      <w:color w:val="383A42"/>
      <w:sz w:val="18"/>
      <w:szCs w:val="24"/>
      <w:shd w:val="clear" w:color="auto" w:fill="FAFAFA"/>
    </w:rPr>
  </w:style>
  <w:style w:type="paragraph" w:customStyle="1" w:styleId="AIHelper2-AIHelperBoxConsole">
    <w:name w:val="AI Helper2 - AIHelperBoxConsole"/>
    <w:basedOn w:val="I2-InfoBoxConsole"/>
    <w:link w:val="AIHelper2-AIHelperBoxConsoleChar"/>
    <w:rsid w:val="00E66C83"/>
  </w:style>
  <w:style w:type="character" w:customStyle="1" w:styleId="AIHelper2-AIHelperBoxConsoleChar">
    <w:name w:val="AI Helper2 - AIHelperBoxConsole Char"/>
    <w:basedOn w:val="P0-ParagraphChar"/>
    <w:link w:val="AIHelper2-AIHelperBoxConsole"/>
    <w:rsid w:val="00E66C83"/>
    <w:rPr>
      <w:rFonts w:ascii="Consolas" w:eastAsia="Times New Roman" w:hAnsi="Consolas" w:cs="Times New Roman"/>
      <w:color w:val="F8F8F2"/>
      <w:sz w:val="18"/>
      <w:szCs w:val="24"/>
      <w:shd w:val="clear" w:color="auto" w:fill="282A36"/>
    </w:rPr>
  </w:style>
  <w:style w:type="paragraph" w:customStyle="1" w:styleId="L1-AlphabetCapital">
    <w:name w:val="L1 - AlphabetCapital"/>
    <w:basedOn w:val="L1-Alphabet"/>
    <w:qFormat/>
    <w:rsid w:val="00E66C83"/>
    <w:pPr>
      <w:numPr>
        <w:numId w:val="18"/>
      </w:numPr>
    </w:pPr>
  </w:style>
  <w:style w:type="paragraph" w:customStyle="1" w:styleId="L2-AlphabetCapital">
    <w:name w:val="L2 - AlphabetCapital"/>
    <w:basedOn w:val="L2-Alphabet"/>
    <w:qFormat/>
    <w:rsid w:val="00E66C83"/>
    <w:pPr>
      <w:numPr>
        <w:numId w:val="19"/>
      </w:numPr>
    </w:pPr>
  </w:style>
  <w:style w:type="paragraph" w:customStyle="1" w:styleId="L3-AlphabetCapital">
    <w:name w:val="L3 - AlphabetCapital"/>
    <w:basedOn w:val="L3-Alphabet"/>
    <w:qFormat/>
    <w:rsid w:val="00E66C83"/>
    <w:pPr>
      <w:numPr>
        <w:numId w:val="20"/>
      </w:numPr>
    </w:pPr>
  </w:style>
  <w:style w:type="paragraph" w:styleId="Header">
    <w:name w:val="header"/>
    <w:basedOn w:val="Normal"/>
    <w:link w:val="HeaderChar"/>
    <w:uiPriority w:val="99"/>
    <w:unhideWhenUsed/>
    <w:rsid w:val="00917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7293"/>
    <w:rPr>
      <w:rFonts w:asciiTheme="minorHAnsi" w:eastAsiaTheme="minorHAnsi" w:hAnsiTheme="minorHAnsi" w:cstheme="minorBidi"/>
      <w:kern w:val="2"/>
      <w:sz w:val="24"/>
      <w:szCs w:val="24"/>
      <w14:ligatures w14:val="standardContextual"/>
    </w:rPr>
  </w:style>
  <w:style w:type="paragraph" w:styleId="Footer">
    <w:name w:val="footer"/>
    <w:basedOn w:val="Normal"/>
    <w:link w:val="FooterChar"/>
    <w:uiPriority w:val="99"/>
    <w:unhideWhenUsed/>
    <w:rsid w:val="00917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293"/>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jV1gPq0y+OOqwUndlikmSYEP4Q==">CgMxLjAyDmgudWdnbXNmeWdpbnMzOAByITFfRmNienhPTVJpSTE4M0xsM3M4TmFqZEh5NTVsUEx5eQ==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12</TotalTime>
  <Pages>18</Pages>
  <Words>9324</Words>
  <Characters>53151</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ASCR Blueprint</dc:creator>
  <cp:lastModifiedBy>Shubhra Mayuri</cp:lastModifiedBy>
  <cp:revision>5</cp:revision>
  <dcterms:created xsi:type="dcterms:W3CDTF">2026-09-29T13:18:00Z</dcterms:created>
  <dcterms:modified xsi:type="dcterms:W3CDTF">2026-09-29T13:30:00Z</dcterms:modified>
</cp:coreProperties>
</file>