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8CFC" w14:textId="77777777" w:rsidR="008973A8" w:rsidRPr="000317B6" w:rsidRDefault="00000000" w:rsidP="000317B6">
      <w:pPr>
        <w:pStyle w:val="HS-ChapterTitle"/>
        <w:rPr>
          <w:color w:val="auto"/>
        </w:rPr>
      </w:pPr>
      <w:r w:rsidRPr="000317B6">
        <w:rPr>
          <w:color w:val="auto"/>
        </w:rPr>
        <w:t>ASCR-15: Adversary CPS Threat Chain Campaign Matrix</w:t>
      </w:r>
    </w:p>
    <w:p w14:paraId="6C4491BC" w14:textId="77777777" w:rsidR="008973A8" w:rsidRPr="000317B6" w:rsidRDefault="00000000">
      <w:pPr>
        <w:pStyle w:val="Subtitle"/>
        <w:spacing w:after="300"/>
        <w:rPr>
          <w:color w:val="auto"/>
        </w:rPr>
      </w:pPr>
      <w:r w:rsidRPr="000317B6">
        <w:rPr>
          <w:i/>
          <w:iCs/>
          <w:color w:val="auto"/>
        </w:rPr>
        <w:t>Double-Entry Reference Matrix - Campaign Entry Map, Objective-to-Consequence Chains, Detection Heatmap, ASCR Crosswalk, and Dwell Indicators by Adversary Class</w:t>
      </w:r>
    </w:p>
    <w:p w14:paraId="1D97D29C" w14:textId="77777777" w:rsidR="008973A8" w:rsidRPr="000317B6" w:rsidRDefault="00000000" w:rsidP="000317B6">
      <w:pPr>
        <w:pStyle w:val="HS-Heading1"/>
      </w:pPr>
      <w:r w:rsidRPr="000317B6">
        <w:t>ASCR-15 definition</w:t>
      </w:r>
    </w:p>
    <w:tbl>
      <w:tblPr>
        <w:tblStyle w:val="a9"/>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085"/>
      </w:tblGrid>
      <w:tr w:rsidR="008973A8" w:rsidRPr="000317B6" w14:paraId="0F6A1257" w14:textId="77777777">
        <w:tc>
          <w:tcPr>
            <w:tcW w:w="1560" w:type="dxa"/>
            <w:tcMar>
              <w:top w:w="80" w:type="dxa"/>
              <w:left w:w="100" w:type="dxa"/>
              <w:bottom w:w="80" w:type="dxa"/>
              <w:right w:w="100" w:type="dxa"/>
            </w:tcMar>
          </w:tcPr>
          <w:p w14:paraId="64776125" w14:textId="77777777" w:rsidR="008973A8" w:rsidRPr="000317B6" w:rsidRDefault="00000000" w:rsidP="000317B6">
            <w:pPr>
              <w:pStyle w:val="T0-Table"/>
              <w:rPr>
                <w:rStyle w:val="CS-Keyword"/>
              </w:rPr>
            </w:pPr>
            <w:r w:rsidRPr="000317B6">
              <w:rPr>
                <w:rStyle w:val="CS-Keyword"/>
              </w:rPr>
              <w:t>Artifact Type</w:t>
            </w:r>
          </w:p>
        </w:tc>
        <w:tc>
          <w:tcPr>
            <w:tcW w:w="8085" w:type="dxa"/>
            <w:tcMar>
              <w:top w:w="80" w:type="dxa"/>
              <w:left w:w="100" w:type="dxa"/>
              <w:bottom w:w="80" w:type="dxa"/>
              <w:right w:w="100" w:type="dxa"/>
            </w:tcMar>
          </w:tcPr>
          <w:p w14:paraId="52D6A44D" w14:textId="77777777" w:rsidR="008973A8" w:rsidRPr="000317B6" w:rsidRDefault="00000000" w:rsidP="000317B6">
            <w:pPr>
              <w:pStyle w:val="T0-Table"/>
            </w:pPr>
            <w:r w:rsidRPr="000317B6">
              <w:t>Reference Matrix / Planning Tool</w:t>
            </w:r>
          </w:p>
        </w:tc>
      </w:tr>
      <w:tr w:rsidR="008973A8" w:rsidRPr="000317B6" w14:paraId="7CD07A83" w14:textId="77777777">
        <w:tc>
          <w:tcPr>
            <w:tcW w:w="1560" w:type="dxa"/>
            <w:shd w:val="clear" w:color="auto" w:fill="F2F2F2"/>
            <w:tcMar>
              <w:top w:w="80" w:type="dxa"/>
              <w:left w:w="100" w:type="dxa"/>
              <w:bottom w:w="80" w:type="dxa"/>
              <w:right w:w="100" w:type="dxa"/>
            </w:tcMar>
          </w:tcPr>
          <w:p w14:paraId="734E4A73" w14:textId="77777777" w:rsidR="008973A8" w:rsidRPr="000317B6" w:rsidRDefault="00000000" w:rsidP="000317B6">
            <w:pPr>
              <w:pStyle w:val="T0-Table"/>
              <w:rPr>
                <w:rStyle w:val="CS-Keyword"/>
              </w:rPr>
            </w:pPr>
            <w:r w:rsidRPr="000317B6">
              <w:rPr>
                <w:rStyle w:val="CS-Keyword"/>
              </w:rPr>
              <w:t>Primary Use</w:t>
            </w:r>
          </w:p>
        </w:tc>
        <w:tc>
          <w:tcPr>
            <w:tcW w:w="8085" w:type="dxa"/>
            <w:tcMar>
              <w:top w:w="80" w:type="dxa"/>
              <w:left w:w="100" w:type="dxa"/>
              <w:bottom w:w="80" w:type="dxa"/>
              <w:right w:w="100" w:type="dxa"/>
            </w:tcMar>
          </w:tcPr>
          <w:p w14:paraId="1D8B1C7C" w14:textId="77777777" w:rsidR="008973A8" w:rsidRPr="000317B6" w:rsidRDefault="00000000" w:rsidP="000317B6">
            <w:pPr>
              <w:pStyle w:val="T0-Table"/>
            </w:pPr>
            <w:r w:rsidRPr="000317B6">
              <w:t>Threat modeling, threat hunt planning, tabletop exercise preparation, ASCR deployment sequencing</w:t>
            </w:r>
          </w:p>
        </w:tc>
      </w:tr>
      <w:tr w:rsidR="008973A8" w:rsidRPr="000317B6" w14:paraId="7B99022D" w14:textId="77777777">
        <w:tc>
          <w:tcPr>
            <w:tcW w:w="1560" w:type="dxa"/>
            <w:shd w:val="clear" w:color="auto" w:fill="F2F2F2"/>
            <w:tcMar>
              <w:top w:w="80" w:type="dxa"/>
              <w:left w:w="100" w:type="dxa"/>
              <w:bottom w:w="80" w:type="dxa"/>
              <w:right w:w="100" w:type="dxa"/>
            </w:tcMar>
          </w:tcPr>
          <w:p w14:paraId="64F90001" w14:textId="77777777" w:rsidR="008973A8" w:rsidRPr="000317B6" w:rsidRDefault="00000000" w:rsidP="000317B6">
            <w:pPr>
              <w:pStyle w:val="T0-Table"/>
              <w:rPr>
                <w:rStyle w:val="CS-Keyword"/>
              </w:rPr>
            </w:pPr>
            <w:r w:rsidRPr="000317B6">
              <w:rPr>
                <w:rStyle w:val="CS-Keyword"/>
              </w:rPr>
              <w:t>Secondary Use</w:t>
            </w:r>
          </w:p>
        </w:tc>
        <w:tc>
          <w:tcPr>
            <w:tcW w:w="8085" w:type="dxa"/>
            <w:tcMar>
              <w:top w:w="80" w:type="dxa"/>
              <w:left w:w="100" w:type="dxa"/>
              <w:bottom w:w="80" w:type="dxa"/>
              <w:right w:w="100" w:type="dxa"/>
            </w:tcMar>
          </w:tcPr>
          <w:p w14:paraId="3F820F7D" w14:textId="77777777" w:rsidR="008973A8" w:rsidRPr="000317B6" w:rsidRDefault="00000000" w:rsidP="000317B6">
            <w:pPr>
              <w:pStyle w:val="T0-Table"/>
            </w:pPr>
            <w:r w:rsidRPr="000317B6">
              <w:t>Post-incident reconstruction scoping and evidence-lookback planning</w:t>
            </w:r>
          </w:p>
        </w:tc>
      </w:tr>
      <w:tr w:rsidR="008973A8" w:rsidRPr="000317B6" w14:paraId="1039E44D" w14:textId="77777777">
        <w:tc>
          <w:tcPr>
            <w:tcW w:w="1560" w:type="dxa"/>
            <w:shd w:val="clear" w:color="auto" w:fill="F2F2F2"/>
            <w:tcMar>
              <w:top w:w="80" w:type="dxa"/>
              <w:left w:w="100" w:type="dxa"/>
              <w:bottom w:w="80" w:type="dxa"/>
              <w:right w:w="100" w:type="dxa"/>
            </w:tcMar>
          </w:tcPr>
          <w:p w14:paraId="37F57B66" w14:textId="77777777" w:rsidR="008973A8" w:rsidRPr="000317B6" w:rsidRDefault="00000000" w:rsidP="000317B6">
            <w:pPr>
              <w:pStyle w:val="T0-Table"/>
              <w:rPr>
                <w:rStyle w:val="CS-Keyword"/>
              </w:rPr>
            </w:pPr>
            <w:r w:rsidRPr="000317B6">
              <w:rPr>
                <w:rStyle w:val="CS-Keyword"/>
              </w:rPr>
              <w:t>Operational Phase</w:t>
            </w:r>
          </w:p>
        </w:tc>
        <w:tc>
          <w:tcPr>
            <w:tcW w:w="8085" w:type="dxa"/>
            <w:tcMar>
              <w:top w:w="80" w:type="dxa"/>
              <w:left w:w="100" w:type="dxa"/>
              <w:bottom w:w="80" w:type="dxa"/>
              <w:right w:w="100" w:type="dxa"/>
            </w:tcMar>
          </w:tcPr>
          <w:p w14:paraId="5F8BC60E" w14:textId="77777777" w:rsidR="008973A8" w:rsidRPr="000317B6" w:rsidRDefault="00000000" w:rsidP="000317B6">
            <w:pPr>
              <w:pStyle w:val="T0-Table"/>
            </w:pPr>
            <w:r w:rsidRPr="000317B6">
              <w:t xml:space="preserve">Design · Pre-incident · </w:t>
            </w:r>
            <w:proofErr w:type="gramStart"/>
            <w:r w:rsidRPr="000317B6">
              <w:t>Post-incident</w:t>
            </w:r>
            <w:proofErr w:type="gramEnd"/>
          </w:p>
        </w:tc>
      </w:tr>
      <w:tr w:rsidR="008973A8" w:rsidRPr="000317B6" w14:paraId="72C8E15A" w14:textId="77777777">
        <w:tc>
          <w:tcPr>
            <w:tcW w:w="1560" w:type="dxa"/>
            <w:shd w:val="clear" w:color="auto" w:fill="F2F2F2"/>
            <w:tcMar>
              <w:top w:w="80" w:type="dxa"/>
              <w:left w:w="100" w:type="dxa"/>
              <w:bottom w:w="80" w:type="dxa"/>
              <w:right w:w="100" w:type="dxa"/>
            </w:tcMar>
          </w:tcPr>
          <w:p w14:paraId="17F80FF4" w14:textId="77777777" w:rsidR="008973A8" w:rsidRPr="000317B6" w:rsidRDefault="00000000" w:rsidP="000317B6">
            <w:pPr>
              <w:pStyle w:val="T0-Table"/>
              <w:rPr>
                <w:rStyle w:val="CS-Keyword"/>
              </w:rPr>
            </w:pPr>
            <w:r w:rsidRPr="000317B6">
              <w:rPr>
                <w:rStyle w:val="CS-Keyword"/>
              </w:rPr>
              <w:t>User Role</w:t>
            </w:r>
          </w:p>
        </w:tc>
        <w:tc>
          <w:tcPr>
            <w:tcW w:w="8085" w:type="dxa"/>
            <w:tcMar>
              <w:top w:w="80" w:type="dxa"/>
              <w:left w:w="100" w:type="dxa"/>
              <w:bottom w:w="80" w:type="dxa"/>
              <w:right w:w="100" w:type="dxa"/>
            </w:tcMar>
          </w:tcPr>
          <w:p w14:paraId="2288BD0A" w14:textId="77777777" w:rsidR="008973A8" w:rsidRPr="000317B6" w:rsidRDefault="00000000" w:rsidP="000317B6">
            <w:pPr>
              <w:pStyle w:val="T0-Table"/>
            </w:pPr>
            <w:r w:rsidRPr="000317B6">
              <w:t>Security architect, threat hunter, SOC analyst, tabletop exercise facilitator</w:t>
            </w:r>
          </w:p>
        </w:tc>
      </w:tr>
      <w:tr w:rsidR="008973A8" w:rsidRPr="000317B6" w14:paraId="22015658" w14:textId="77777777">
        <w:tc>
          <w:tcPr>
            <w:tcW w:w="1560" w:type="dxa"/>
            <w:shd w:val="clear" w:color="auto" w:fill="F2F2F2"/>
            <w:tcMar>
              <w:top w:w="80" w:type="dxa"/>
              <w:left w:w="100" w:type="dxa"/>
              <w:bottom w:w="80" w:type="dxa"/>
              <w:right w:w="100" w:type="dxa"/>
            </w:tcMar>
          </w:tcPr>
          <w:p w14:paraId="1F7A26CB" w14:textId="77777777" w:rsidR="008973A8" w:rsidRPr="000317B6" w:rsidRDefault="00000000" w:rsidP="000317B6">
            <w:pPr>
              <w:pStyle w:val="T0-Table"/>
              <w:rPr>
                <w:rStyle w:val="CS-Keyword"/>
              </w:rPr>
            </w:pPr>
            <w:r w:rsidRPr="000317B6">
              <w:rPr>
                <w:rStyle w:val="CS-Keyword"/>
              </w:rPr>
              <w:t>Update Cadence</w:t>
            </w:r>
          </w:p>
        </w:tc>
        <w:tc>
          <w:tcPr>
            <w:tcW w:w="8085" w:type="dxa"/>
            <w:tcMar>
              <w:top w:w="80" w:type="dxa"/>
              <w:left w:w="100" w:type="dxa"/>
              <w:bottom w:w="80" w:type="dxa"/>
              <w:right w:w="100" w:type="dxa"/>
            </w:tcMar>
          </w:tcPr>
          <w:p w14:paraId="2C2EFF35" w14:textId="77777777" w:rsidR="008973A8" w:rsidRPr="000317B6" w:rsidRDefault="00000000" w:rsidP="000317B6">
            <w:pPr>
              <w:pStyle w:val="T0-Table"/>
            </w:pPr>
            <w:r w:rsidRPr="000317B6">
              <w:t>Semi-annual; out-of-cycle following material threat-intelligence findings or significant changes to MITRE ATLAS or MITRE ATT&amp;CK for ICS</w:t>
            </w:r>
          </w:p>
        </w:tc>
      </w:tr>
      <w:tr w:rsidR="008973A8" w:rsidRPr="000317B6" w14:paraId="667FD1CA" w14:textId="77777777">
        <w:tc>
          <w:tcPr>
            <w:tcW w:w="1560" w:type="dxa"/>
            <w:shd w:val="clear" w:color="auto" w:fill="F2F2F2"/>
            <w:tcMar>
              <w:top w:w="80" w:type="dxa"/>
              <w:left w:w="100" w:type="dxa"/>
              <w:bottom w:w="80" w:type="dxa"/>
              <w:right w:w="100" w:type="dxa"/>
            </w:tcMar>
          </w:tcPr>
          <w:p w14:paraId="285A2963" w14:textId="77777777" w:rsidR="008973A8" w:rsidRPr="000317B6" w:rsidRDefault="00000000" w:rsidP="000317B6">
            <w:pPr>
              <w:pStyle w:val="T0-Table"/>
              <w:rPr>
                <w:rStyle w:val="CS-Keyword"/>
              </w:rPr>
            </w:pPr>
            <w:r w:rsidRPr="000317B6">
              <w:rPr>
                <w:rStyle w:val="CS-Keyword"/>
              </w:rPr>
              <w:t>Update Triggers</w:t>
            </w:r>
          </w:p>
        </w:tc>
        <w:tc>
          <w:tcPr>
            <w:tcW w:w="8085" w:type="dxa"/>
            <w:tcMar>
              <w:top w:w="80" w:type="dxa"/>
              <w:left w:w="100" w:type="dxa"/>
              <w:bottom w:w="80" w:type="dxa"/>
              <w:right w:w="100" w:type="dxa"/>
            </w:tcMar>
          </w:tcPr>
          <w:p w14:paraId="25F29661" w14:textId="77777777" w:rsidR="008973A8" w:rsidRPr="000317B6" w:rsidRDefault="00000000" w:rsidP="000317B6">
            <w:pPr>
              <w:pStyle w:val="T0-Table"/>
            </w:pPr>
            <w:r w:rsidRPr="000317B6">
              <w:t>Confirmed or suspected Physical AI incident · Material threat-intelligence finding or relevant new adversary technique or campaign pattern · Significant ASCR Blueprint updates · Significant deployment architecture changes - new agents, MCP servers, data integration partners, or model updates</w:t>
            </w:r>
          </w:p>
        </w:tc>
      </w:tr>
      <w:tr w:rsidR="008973A8" w:rsidRPr="000317B6" w14:paraId="113057A1" w14:textId="77777777">
        <w:tc>
          <w:tcPr>
            <w:tcW w:w="1560" w:type="dxa"/>
            <w:shd w:val="clear" w:color="auto" w:fill="F2F2F2"/>
            <w:tcMar>
              <w:top w:w="80" w:type="dxa"/>
              <w:left w:w="100" w:type="dxa"/>
              <w:bottom w:w="80" w:type="dxa"/>
              <w:right w:w="100" w:type="dxa"/>
            </w:tcMar>
          </w:tcPr>
          <w:p w14:paraId="50A02852" w14:textId="77777777" w:rsidR="008973A8" w:rsidRPr="000317B6" w:rsidRDefault="00000000" w:rsidP="000317B6">
            <w:pPr>
              <w:pStyle w:val="T0-Table"/>
              <w:rPr>
                <w:rStyle w:val="CS-Keyword"/>
              </w:rPr>
            </w:pPr>
            <w:r w:rsidRPr="000317B6">
              <w:rPr>
                <w:rStyle w:val="CS-Keyword"/>
              </w:rPr>
              <w:t>Cross-References</w:t>
            </w:r>
          </w:p>
        </w:tc>
        <w:tc>
          <w:tcPr>
            <w:tcW w:w="8085" w:type="dxa"/>
            <w:tcMar>
              <w:top w:w="80" w:type="dxa"/>
              <w:left w:w="100" w:type="dxa"/>
              <w:bottom w:w="80" w:type="dxa"/>
              <w:right w:w="100" w:type="dxa"/>
            </w:tcMar>
          </w:tcPr>
          <w:p w14:paraId="2B37A7E2" w14:textId="77777777" w:rsidR="008973A8" w:rsidRPr="000317B6" w:rsidRDefault="00000000" w:rsidP="000317B6">
            <w:pPr>
              <w:pStyle w:val="T0-Table"/>
            </w:pPr>
            <w:r w:rsidRPr="000317B6">
              <w:t xml:space="preserve">Chapter 1 · Chapter 2 · Chapter 10 · ASCR-02 · ASCR-03 · ASCR-04 · ASCR-05 · ASCR-06 · ASCR-07 · ASCR-08 · ASCR-09 · ASCR-10 · ASCR-11 · ASCR-12 · ASCR-13 · ASCR-14 · ASCR-16 · ASCR-17 · AI-BOM (Chapter </w:t>
            </w:r>
            <w:proofErr w:type="gramStart"/>
            <w:r w:rsidRPr="000317B6">
              <w:t>5) ·</w:t>
            </w:r>
            <w:proofErr w:type="gramEnd"/>
            <w:r w:rsidRPr="000317B6">
              <w:t xml:space="preserve"> ASCR-15-OE01-Adversary-Campaign-Reference-Matrix-Set.xlsx</w:t>
            </w:r>
          </w:p>
        </w:tc>
      </w:tr>
      <w:tr w:rsidR="008973A8" w:rsidRPr="000317B6" w14:paraId="600B23B0" w14:textId="77777777">
        <w:tc>
          <w:tcPr>
            <w:tcW w:w="1560" w:type="dxa"/>
            <w:shd w:val="clear" w:color="auto" w:fill="F2F2F2"/>
            <w:tcMar>
              <w:top w:w="80" w:type="dxa"/>
              <w:left w:w="100" w:type="dxa"/>
              <w:bottom w:w="80" w:type="dxa"/>
              <w:right w:w="100" w:type="dxa"/>
            </w:tcMar>
          </w:tcPr>
          <w:p w14:paraId="069E7CC1" w14:textId="77777777" w:rsidR="008973A8" w:rsidRPr="000317B6" w:rsidRDefault="00000000" w:rsidP="000317B6">
            <w:pPr>
              <w:pStyle w:val="T0-Table"/>
              <w:rPr>
                <w:rStyle w:val="CS-Keyword"/>
              </w:rPr>
            </w:pPr>
            <w:r w:rsidRPr="000317B6">
              <w:rPr>
                <w:rStyle w:val="CS-Keyword"/>
              </w:rPr>
              <w:t>Regulatory Relevance</w:t>
            </w:r>
          </w:p>
        </w:tc>
        <w:tc>
          <w:tcPr>
            <w:tcW w:w="8085" w:type="dxa"/>
            <w:tcMar>
              <w:top w:w="80" w:type="dxa"/>
              <w:left w:w="100" w:type="dxa"/>
              <w:bottom w:w="80" w:type="dxa"/>
              <w:right w:w="100" w:type="dxa"/>
            </w:tcMar>
          </w:tcPr>
          <w:p w14:paraId="0924B39C" w14:textId="77777777" w:rsidR="008973A8" w:rsidRPr="000317B6" w:rsidRDefault="00000000" w:rsidP="000317B6">
            <w:pPr>
              <w:pStyle w:val="T0-Table"/>
            </w:pPr>
            <w:r w:rsidRPr="000317B6">
              <w:t xml:space="preserve">EU AI Act Article 9 (continuous risk-management review and updating; applicability subject to the relevant high-risk system application </w:t>
            </w:r>
            <w:proofErr w:type="gramStart"/>
            <w:r w:rsidRPr="000317B6">
              <w:t>date) ·</w:t>
            </w:r>
            <w:proofErr w:type="gramEnd"/>
            <w:r w:rsidRPr="000317B6">
              <w:t xml:space="preserve"> NIS2 Article 23 (incident notification through Member State </w:t>
            </w:r>
            <w:proofErr w:type="gramStart"/>
            <w:r w:rsidRPr="000317B6">
              <w:t>transposition) ·</w:t>
            </w:r>
            <w:proofErr w:type="gramEnd"/>
            <w:r w:rsidRPr="000317B6">
              <w:t xml:space="preserve"> IEC 62443-3-3 (system security requirements and security </w:t>
            </w:r>
            <w:proofErr w:type="gramStart"/>
            <w:r w:rsidRPr="000317B6">
              <w:t>levels) ·</w:t>
            </w:r>
            <w:proofErr w:type="gramEnd"/>
            <w:r w:rsidRPr="000317B6">
              <w:t xml:space="preserve"> IEC 62443-2-1 (IACS security program requirements)</w:t>
            </w:r>
          </w:p>
        </w:tc>
      </w:tr>
      <w:tr w:rsidR="008973A8" w:rsidRPr="000317B6" w14:paraId="03E82A76" w14:textId="77777777">
        <w:tc>
          <w:tcPr>
            <w:tcW w:w="1560" w:type="dxa"/>
            <w:shd w:val="clear" w:color="auto" w:fill="F2F2F2"/>
            <w:tcMar>
              <w:top w:w="80" w:type="dxa"/>
              <w:left w:w="100" w:type="dxa"/>
              <w:bottom w:w="80" w:type="dxa"/>
              <w:right w:w="100" w:type="dxa"/>
            </w:tcMar>
          </w:tcPr>
          <w:p w14:paraId="266503BC" w14:textId="77777777" w:rsidR="008973A8" w:rsidRPr="000317B6" w:rsidRDefault="00000000" w:rsidP="000317B6">
            <w:pPr>
              <w:pStyle w:val="T0-Table"/>
              <w:rPr>
                <w:rStyle w:val="CS-Keyword"/>
              </w:rPr>
            </w:pPr>
            <w:r w:rsidRPr="000317B6">
              <w:rPr>
                <w:rStyle w:val="CS-Keyword"/>
              </w:rPr>
              <w:t>Version</w:t>
            </w:r>
          </w:p>
        </w:tc>
        <w:tc>
          <w:tcPr>
            <w:tcW w:w="8085" w:type="dxa"/>
            <w:tcMar>
              <w:top w:w="80" w:type="dxa"/>
              <w:left w:w="100" w:type="dxa"/>
              <w:bottom w:w="80" w:type="dxa"/>
              <w:right w:w="100" w:type="dxa"/>
            </w:tcMar>
          </w:tcPr>
          <w:p w14:paraId="0C4D1340" w14:textId="77777777" w:rsidR="008973A8" w:rsidRPr="000317B6" w:rsidRDefault="00000000" w:rsidP="000317B6">
            <w:pPr>
              <w:pStyle w:val="T0-Table"/>
            </w:pPr>
            <w:r w:rsidRPr="000317B6">
              <w:t>1.0 — June 2026</w:t>
            </w:r>
          </w:p>
        </w:tc>
      </w:tr>
      <w:tr w:rsidR="008973A8" w:rsidRPr="000317B6" w14:paraId="44F32091" w14:textId="77777777">
        <w:tc>
          <w:tcPr>
            <w:tcW w:w="1560" w:type="dxa"/>
            <w:shd w:val="clear" w:color="auto" w:fill="F2F2F2"/>
            <w:tcMar>
              <w:top w:w="80" w:type="dxa"/>
              <w:left w:w="100" w:type="dxa"/>
              <w:bottom w:w="80" w:type="dxa"/>
              <w:right w:w="100" w:type="dxa"/>
            </w:tcMar>
          </w:tcPr>
          <w:p w14:paraId="7CB1AAC9" w14:textId="77777777" w:rsidR="008973A8" w:rsidRPr="000317B6" w:rsidRDefault="00000000" w:rsidP="000317B6">
            <w:pPr>
              <w:pStyle w:val="T0-Table"/>
              <w:rPr>
                <w:rStyle w:val="CS-Keyword"/>
              </w:rPr>
            </w:pPr>
            <w:r w:rsidRPr="000317B6">
              <w:rPr>
                <w:rStyle w:val="CS-Keyword"/>
              </w:rPr>
              <w:lastRenderedPageBreak/>
              <w:t>Synthetic Composite Disclosure</w:t>
            </w:r>
          </w:p>
        </w:tc>
        <w:tc>
          <w:tcPr>
            <w:tcW w:w="8085" w:type="dxa"/>
            <w:tcMar>
              <w:top w:w="80" w:type="dxa"/>
              <w:left w:w="100" w:type="dxa"/>
              <w:bottom w:w="80" w:type="dxa"/>
              <w:right w:w="100" w:type="dxa"/>
            </w:tcMar>
          </w:tcPr>
          <w:p w14:paraId="46F1CA85" w14:textId="77777777" w:rsidR="008973A8" w:rsidRPr="000317B6" w:rsidRDefault="00000000" w:rsidP="000317B6">
            <w:pPr>
              <w:pStyle w:val="T0-Table"/>
            </w:pPr>
            <w:r w:rsidRPr="000317B6">
              <w:t>Campaign profiles are synthetic composites constructed from documented adversary TTP patterns mapped to the CPS Threat Chain architecture. No profile reproduces a single observed campaign. Applicable framework mappings are identified in this artifact and its companion workbook and should be revalidated under the Framework Baseline at each review cycle.</w:t>
            </w:r>
          </w:p>
        </w:tc>
      </w:tr>
      <w:tr w:rsidR="008973A8" w:rsidRPr="000317B6" w14:paraId="20AC346E" w14:textId="77777777">
        <w:tc>
          <w:tcPr>
            <w:tcW w:w="1560" w:type="dxa"/>
            <w:shd w:val="clear" w:color="auto" w:fill="F2F2F2"/>
            <w:tcMar>
              <w:top w:w="80" w:type="dxa"/>
              <w:left w:w="100" w:type="dxa"/>
              <w:bottom w:w="80" w:type="dxa"/>
              <w:right w:w="100" w:type="dxa"/>
            </w:tcMar>
          </w:tcPr>
          <w:p w14:paraId="3E3522C2" w14:textId="77777777" w:rsidR="008973A8" w:rsidRPr="000317B6" w:rsidRDefault="00000000" w:rsidP="000317B6">
            <w:pPr>
              <w:pStyle w:val="T0-Table"/>
              <w:rPr>
                <w:rStyle w:val="CS-Keyword"/>
              </w:rPr>
            </w:pPr>
            <w:r w:rsidRPr="000317B6">
              <w:rPr>
                <w:rStyle w:val="CS-Keyword"/>
              </w:rPr>
              <w:t>Framework Baseline</w:t>
            </w:r>
          </w:p>
        </w:tc>
        <w:tc>
          <w:tcPr>
            <w:tcW w:w="8085" w:type="dxa"/>
            <w:tcMar>
              <w:top w:w="80" w:type="dxa"/>
              <w:left w:w="100" w:type="dxa"/>
              <w:bottom w:w="80" w:type="dxa"/>
              <w:right w:w="100" w:type="dxa"/>
            </w:tcMar>
          </w:tcPr>
          <w:p w14:paraId="17833C47" w14:textId="77777777" w:rsidR="008973A8" w:rsidRPr="000317B6" w:rsidRDefault="00000000" w:rsidP="000317B6">
            <w:pPr>
              <w:pStyle w:val="T0-Table"/>
            </w:pPr>
            <w:r w:rsidRPr="000317B6">
              <w:t xml:space="preserve">MITRE ATT&amp;CK v19.2 (Enterprise and ICS </w:t>
            </w:r>
            <w:proofErr w:type="gramStart"/>
            <w:r w:rsidRPr="000317B6">
              <w:t>content) ·</w:t>
            </w:r>
            <w:proofErr w:type="gramEnd"/>
            <w:r w:rsidRPr="000317B6">
              <w:t xml:space="preserve"> MITRE ATLAS v2026.09 · OWASP Top 10 for Agentic Applications 2026. Revalidate at each semi-annual review.</w:t>
            </w:r>
          </w:p>
        </w:tc>
      </w:tr>
      <w:tr w:rsidR="008973A8" w:rsidRPr="000317B6" w14:paraId="363A9262" w14:textId="77777777">
        <w:tc>
          <w:tcPr>
            <w:tcW w:w="1560" w:type="dxa"/>
            <w:shd w:val="clear" w:color="auto" w:fill="F2F2F2"/>
            <w:tcMar>
              <w:top w:w="80" w:type="dxa"/>
              <w:left w:w="100" w:type="dxa"/>
              <w:bottom w:w="80" w:type="dxa"/>
              <w:right w:w="100" w:type="dxa"/>
            </w:tcMar>
          </w:tcPr>
          <w:p w14:paraId="09642220" w14:textId="77777777" w:rsidR="008973A8" w:rsidRPr="000317B6" w:rsidRDefault="00000000" w:rsidP="000317B6">
            <w:pPr>
              <w:pStyle w:val="T0-Table"/>
              <w:rPr>
                <w:rStyle w:val="CS-Keyword"/>
              </w:rPr>
            </w:pPr>
            <w:r w:rsidRPr="000317B6">
              <w:rPr>
                <w:rStyle w:val="CS-Keyword"/>
              </w:rPr>
              <w:t>Version</w:t>
            </w:r>
          </w:p>
        </w:tc>
        <w:tc>
          <w:tcPr>
            <w:tcW w:w="8085" w:type="dxa"/>
            <w:tcMar>
              <w:top w:w="80" w:type="dxa"/>
              <w:left w:w="100" w:type="dxa"/>
              <w:bottom w:w="80" w:type="dxa"/>
              <w:right w:w="100" w:type="dxa"/>
            </w:tcMar>
          </w:tcPr>
          <w:p w14:paraId="617DE802" w14:textId="77777777" w:rsidR="008973A8" w:rsidRPr="000317B6" w:rsidRDefault="00000000" w:rsidP="000317B6">
            <w:pPr>
              <w:pStyle w:val="T0-Table"/>
            </w:pPr>
            <w:r w:rsidRPr="000317B6">
              <w:t>1.0 — June 2026</w:t>
            </w:r>
          </w:p>
        </w:tc>
      </w:tr>
    </w:tbl>
    <w:p w14:paraId="000E8489" w14:textId="77777777" w:rsidR="008973A8" w:rsidRPr="000317B6" w:rsidRDefault="00000000" w:rsidP="000317B6">
      <w:pPr>
        <w:pStyle w:val="HS-Heading1"/>
      </w:pPr>
      <w:r w:rsidRPr="000317B6">
        <w:t>ASCR-15 operational toolkit: supporting specifications and operational extensions</w:t>
      </w:r>
    </w:p>
    <w:p w14:paraId="47FF2175" w14:textId="77777777" w:rsidR="008973A8" w:rsidRPr="000317B6" w:rsidRDefault="00000000" w:rsidP="000317B6">
      <w:pPr>
        <w:pStyle w:val="HS-Heading2"/>
      </w:pPr>
      <w:r w:rsidRPr="000317B6">
        <w:t>Purpose and scope</w:t>
      </w:r>
    </w:p>
    <w:p w14:paraId="21B36D5C" w14:textId="77777777" w:rsidR="008973A8" w:rsidRPr="000317B6" w:rsidRDefault="00000000" w:rsidP="000317B6">
      <w:pPr>
        <w:pStyle w:val="P0-Paragraph"/>
      </w:pPr>
      <w:r w:rsidRPr="000317B6">
        <w:t>ASCR-15 is a reference matrix and planning tool for threat modeling, threat-hunt planning, tabletop exercise preparation, and ASCR deployment sequencing. It maps adversary classes to CPS Threat Chain entry points, objective-to-consequence progressions, detection coverage, relevant ASCR controls, and campaign-duration indicators so practitioners can trace a campaign from entry through physical consequence and identify the instrumentation, controls, and evidence required to investigate it.</w:t>
      </w:r>
    </w:p>
    <w:p w14:paraId="7B771A17" w14:textId="77777777" w:rsidR="008973A8" w:rsidRPr="000317B6" w:rsidRDefault="00000000" w:rsidP="000317B6">
      <w:pPr>
        <w:pStyle w:val="HS-Heading2"/>
      </w:pPr>
      <w:r w:rsidRPr="000317B6">
        <w:t>How to use this artifact</w:t>
      </w:r>
    </w:p>
    <w:p w14:paraId="2330E2FD" w14:textId="77777777" w:rsidR="008973A8" w:rsidRPr="000317B6" w:rsidRDefault="00000000" w:rsidP="000317B6">
      <w:pPr>
        <w:pStyle w:val="P0-Paragraph"/>
      </w:pPr>
      <w:r w:rsidRPr="000317B6">
        <w:t>ASCR-15 is a double-entry reference tool designed for a specific use: you know which adversary class you face, or you know which CPS layer was touched. In either direction, the responsibility is to trace the complete chain. Read it in two directions:</w:t>
      </w:r>
    </w:p>
    <w:p w14:paraId="2580B67D" w14:textId="77777777" w:rsidR="008973A8" w:rsidRPr="000317B6" w:rsidRDefault="00000000" w:rsidP="000317B6">
      <w:pPr>
        <w:pStyle w:val="L1-Bullet"/>
      </w:pPr>
      <w:r w:rsidRPr="000317B6">
        <w:rPr>
          <w:b/>
          <w:bCs/>
        </w:rPr>
        <w:t>By adversary class:</w:t>
      </w:r>
      <w:r w:rsidRPr="000317B6">
        <w:t xml:space="preserve"> select the relevant threat actor row in the workbook's Comp1 tab to identify the entry path and friction ratings. Then read the corresponding Component 2 chain in this document from top to bottom. Together, the two components trace the campaign from initial entry to physical consequence.</w:t>
      </w:r>
    </w:p>
    <w:p w14:paraId="55E5A430" w14:textId="77777777" w:rsidR="008973A8" w:rsidRPr="000317B6" w:rsidRDefault="00000000" w:rsidP="000317B6">
      <w:pPr>
        <w:pStyle w:val="L1-Bullet"/>
      </w:pPr>
      <w:r w:rsidRPr="000317B6">
        <w:rPr>
          <w:b/>
          <w:bCs/>
        </w:rPr>
        <w:t>By CPS layer:</w:t>
      </w:r>
      <w:r w:rsidRPr="000317B6">
        <w:t xml:space="preserve"> select the layer under investigation. Read top to bottom across all adversary classes to identify which actors exploit it and through what techniques. Use Component 3 (workbook, Comp3 tab, filtered by layer) to identify current detection gaps at that layer.</w:t>
      </w:r>
    </w:p>
    <w:p w14:paraId="65D8A9EA" w14:textId="77777777" w:rsidR="008973A8" w:rsidRPr="000317B6" w:rsidRDefault="00000000" w:rsidP="000317B6">
      <w:pPr>
        <w:pStyle w:val="HS-Heading2"/>
      </w:pPr>
      <w:r w:rsidRPr="000317B6">
        <w:t xml:space="preserve">Before you </w:t>
      </w:r>
      <w:proofErr w:type="gramStart"/>
      <w:r w:rsidRPr="000317B6">
        <w:t>operationalize</w:t>
      </w:r>
      <w:proofErr w:type="gramEnd"/>
      <w:r w:rsidRPr="000317B6">
        <w:t xml:space="preserve"> this instrument</w:t>
      </w:r>
    </w:p>
    <w:p w14:paraId="43FB661A" w14:textId="77777777" w:rsidR="008973A8" w:rsidRPr="000317B6" w:rsidRDefault="00000000" w:rsidP="000317B6">
      <w:pPr>
        <w:pStyle w:val="P0-Paragraph"/>
      </w:pPr>
      <w:r w:rsidRPr="000317B6">
        <w:rPr>
          <w:rFonts w:eastAsia="Calibri"/>
        </w:rPr>
        <w:t>This instrument is a jurisdiction-neutral starting template. The artifact version remains 1.0 — June 2026. Regulatory citations and framework references were re-verified through 27 September 2026 and must be re-verified before operational reliance; deployment-specific thresholds and defaults must likewise be confirmed before use. See Chapter 10 for the full Point-in-Time and Jurisdictional Scope Statement and Localization Methodology.</w:t>
      </w:r>
    </w:p>
    <w:p w14:paraId="1E88C319" w14:textId="77777777" w:rsidR="008973A8" w:rsidRPr="000317B6" w:rsidRDefault="00000000" w:rsidP="000317B6">
      <w:pPr>
        <w:pStyle w:val="HS-Heading3"/>
      </w:pPr>
      <w:r w:rsidRPr="000317B6">
        <w:t>What ASCR-15 does not do</w:t>
      </w:r>
    </w:p>
    <w:p w14:paraId="7FB14CC7" w14:textId="5D84A1AC" w:rsidR="008973A8" w:rsidRPr="000317B6" w:rsidRDefault="00000000" w:rsidP="000317B6">
      <w:pPr>
        <w:pStyle w:val="L1-Bullet"/>
      </w:pPr>
      <w:r w:rsidRPr="000317B6">
        <w:t xml:space="preserve">ASCR-15 does not establish </w:t>
      </w:r>
      <w:proofErr w:type="gramStart"/>
      <w:r w:rsidRPr="000317B6">
        <w:t>legal,</w:t>
      </w:r>
      <w:proofErr w:type="gramEnd"/>
      <w:r w:rsidRPr="000317B6">
        <w:t xml:space="preserve"> </w:t>
      </w:r>
      <w:proofErr w:type="gramStart"/>
      <w:r w:rsidRPr="000317B6">
        <w:t>limitation</w:t>
      </w:r>
      <w:proofErr w:type="gramEnd"/>
      <w:r w:rsidRPr="000317B6">
        <w:t>, retention, or monetary defaults and does not itself prove compliance.</w:t>
      </w:r>
    </w:p>
    <w:p w14:paraId="4FDB5F0F" w14:textId="443B300E" w:rsidR="008973A8" w:rsidRPr="000317B6" w:rsidRDefault="00000000" w:rsidP="000317B6">
      <w:pPr>
        <w:pStyle w:val="L1-Bullet"/>
      </w:pPr>
      <w:r w:rsidRPr="000317B6">
        <w:t>ASCR-15 does not execute, enforce, verify, or authorize runtime controls; those responsibilities remain with the owning ASCR capabilities and deployed platform controls.</w:t>
      </w:r>
    </w:p>
    <w:p w14:paraId="2DDAAA87" w14:textId="2DAF6A7F" w:rsidR="008973A8" w:rsidRPr="000317B6" w:rsidRDefault="00000000" w:rsidP="000317B6">
      <w:pPr>
        <w:pStyle w:val="L1-Bullet"/>
      </w:pPr>
      <w:r w:rsidRPr="000317B6">
        <w:t>ASCR-15 is not a threat-intelligence source or an attribution authority.</w:t>
      </w:r>
    </w:p>
    <w:p w14:paraId="38CCBBFC" w14:textId="3D9542B5" w:rsidR="008973A8" w:rsidRPr="000317B6" w:rsidRDefault="00000000" w:rsidP="000317B6">
      <w:pPr>
        <w:pStyle w:val="L1-Bullet"/>
      </w:pPr>
      <w:r w:rsidRPr="000317B6">
        <w:t>ASCR-15 is not an assessment of your deployment's actual detection or control coverage.</w:t>
      </w:r>
    </w:p>
    <w:p w14:paraId="412D9F92" w14:textId="4ADE0AD4" w:rsidR="008973A8" w:rsidRPr="000317B6" w:rsidRDefault="00000000" w:rsidP="000317B6">
      <w:pPr>
        <w:pStyle w:val="L1-Bullet"/>
      </w:pPr>
      <w:r w:rsidRPr="000317B6">
        <w:t>ASCR-15 is not a production detection-rule set.</w:t>
      </w:r>
    </w:p>
    <w:p w14:paraId="0E4F8539" w14:textId="77777777" w:rsidR="008973A8" w:rsidRPr="000317B6" w:rsidRDefault="00000000" w:rsidP="000317B6">
      <w:pPr>
        <w:pStyle w:val="HS-Heading3"/>
      </w:pPr>
      <w:r w:rsidRPr="000317B6">
        <w:lastRenderedPageBreak/>
        <w:t xml:space="preserve">What you must define before </w:t>
      </w:r>
      <w:proofErr w:type="gramStart"/>
      <w:r w:rsidRPr="000317B6">
        <w:t>use</w:t>
      </w:r>
      <w:proofErr w:type="gramEnd"/>
    </w:p>
    <w:p w14:paraId="1BB6A5BD" w14:textId="535F9886" w:rsidR="008973A8" w:rsidRPr="000317B6" w:rsidRDefault="00000000" w:rsidP="000317B6">
      <w:pPr>
        <w:pStyle w:val="L1-Numbered"/>
      </w:pPr>
      <w:r w:rsidRPr="000317B6">
        <w:rPr>
          <w:b/>
          <w:bCs/>
        </w:rPr>
        <w:t xml:space="preserve">Priority adversary classes and deployment scope: </w:t>
      </w:r>
      <w:r w:rsidRPr="000317B6">
        <w:t>identify which ASCR-15 adversary classes and CPS assets are in scope for the deployment.</w:t>
      </w:r>
    </w:p>
    <w:p w14:paraId="490108D2" w14:textId="156B1DE8" w:rsidR="008973A8" w:rsidRPr="000317B6" w:rsidRDefault="00000000" w:rsidP="000317B6">
      <w:pPr>
        <w:pStyle w:val="L1-Numbered"/>
      </w:pPr>
      <w:r w:rsidRPr="000317B6">
        <w:rPr>
          <w:b/>
          <w:bCs/>
        </w:rPr>
        <w:t xml:space="preserve">Component 1 friction calibration: </w:t>
      </w:r>
      <w:r w:rsidRPr="000317B6">
        <w:t>replace or confirm the illustrative Low/Medium/High entry-friction assessments for the actual architecture, access model, supplier relationships, and OT exposure.</w:t>
      </w:r>
    </w:p>
    <w:p w14:paraId="47BC2CDE" w14:textId="4966FCDC" w:rsidR="008973A8" w:rsidRPr="000317B6" w:rsidRDefault="00000000" w:rsidP="000317B6">
      <w:pPr>
        <w:pStyle w:val="L1-Numbered"/>
      </w:pPr>
      <w:r w:rsidRPr="000317B6">
        <w:rPr>
          <w:b/>
          <w:bCs/>
        </w:rPr>
        <w:t xml:space="preserve">Component 3 instrumentation baseline: </w:t>
      </w:r>
      <w:r w:rsidRPr="000317B6">
        <w:t xml:space="preserve">identify which reasoning, context-integrity, MCP, model-version, actuation, and cross-agent telemetry sources </w:t>
      </w:r>
      <w:proofErr w:type="gramStart"/>
      <w:r w:rsidRPr="000317B6">
        <w:t>actually exist</w:t>
      </w:r>
      <w:proofErr w:type="gramEnd"/>
      <w:r w:rsidRPr="000317B6">
        <w:t xml:space="preserve"> and set the coverage rating from observed deployment capability, not from the example.</w:t>
      </w:r>
    </w:p>
    <w:p w14:paraId="19120C8E" w14:textId="0EFF6AE0" w:rsidR="008973A8" w:rsidRPr="000317B6" w:rsidRDefault="00000000" w:rsidP="000317B6">
      <w:pPr>
        <w:pStyle w:val="L1-Numbered"/>
      </w:pPr>
      <w:r w:rsidRPr="000317B6">
        <w:rPr>
          <w:b/>
          <w:bCs/>
        </w:rPr>
        <w:t xml:space="preserve">Detection-gap closure plan: </w:t>
      </w:r>
      <w:r w:rsidRPr="000317B6">
        <w:t>for every priority Absent/red Comp3 cell, assign the relevant implementation pattern from the Comp3 Gap-to-Control Mapping, the required native telemetry or platform dependency, an accountable owner, and a planned implementation point.</w:t>
      </w:r>
    </w:p>
    <w:p w14:paraId="64785722" w14:textId="77B3DCE0" w:rsidR="008973A8" w:rsidRPr="000317B6" w:rsidRDefault="00000000" w:rsidP="000317B6">
      <w:pPr>
        <w:pStyle w:val="L1-Numbered"/>
      </w:pPr>
      <w:r w:rsidRPr="000317B6">
        <w:rPr>
          <w:b/>
          <w:bCs/>
        </w:rPr>
        <w:t xml:space="preserve">Component 4 control-impact and sequencing assumptions: </w:t>
      </w:r>
      <w:r w:rsidRPr="000317B6">
        <w:t>confirm that the default ratings and dependency guidance reflect the controls already implemented, substituted by equivalent organizational controls, or planned for the deployment.</w:t>
      </w:r>
    </w:p>
    <w:p w14:paraId="77B3B25A" w14:textId="4A2D84D8" w:rsidR="008973A8" w:rsidRPr="000317B6" w:rsidRDefault="00000000" w:rsidP="000317B6">
      <w:pPr>
        <w:pStyle w:val="L1-Numbered"/>
      </w:pPr>
      <w:r w:rsidRPr="000317B6">
        <w:rPr>
          <w:b/>
          <w:bCs/>
        </w:rPr>
        <w:t xml:space="preserve">Component 5 campaign and lookback calibration: </w:t>
      </w:r>
      <w:r w:rsidRPr="000317B6">
        <w:t>replace or confirm reconnaissance, dwell, and lookback assumptions using current threat intelligence, deployment/artifact lifetime, personnel tenure, available evidence, and applicable retention constraints.</w:t>
      </w:r>
    </w:p>
    <w:p w14:paraId="43CE2254" w14:textId="4F4E3BE4" w:rsidR="008973A8" w:rsidRPr="000317B6" w:rsidRDefault="00000000" w:rsidP="000317B6">
      <w:pPr>
        <w:pStyle w:val="L1-Numbered"/>
      </w:pPr>
      <w:r w:rsidRPr="000317B6">
        <w:rPr>
          <w:b/>
          <w:bCs/>
        </w:rPr>
        <w:t xml:space="preserve">Governed references and thresholds: </w:t>
      </w:r>
      <w:r w:rsidRPr="000317B6">
        <w:t>confirm current regulatory/standards references, applicable ASCR-11 governed thresholds, ASCR-07 field/schema dependencies, and other referenced ASCR versions before relying on the matrix operationally.</w:t>
      </w:r>
    </w:p>
    <w:p w14:paraId="5607BF44" w14:textId="77777777" w:rsidR="008973A8" w:rsidRPr="000317B6" w:rsidRDefault="00000000" w:rsidP="000317B6">
      <w:pPr>
        <w:pStyle w:val="P0-Paragraph"/>
      </w:pPr>
      <w:r w:rsidRPr="000317B6">
        <w:t>Record deployment-specific confirmations, replacements, owners, dependencies, target dates, closure evidence, and reassessed values in the workbook's "Calibration &amp; Gap Closure" worksheet. Do not overwrite the published baseline matrices for deployment-specific calibration; only a governed ASCR-15 revision changes the published baseline.</w:t>
      </w:r>
    </w:p>
    <w:p w14:paraId="024169E0" w14:textId="77777777" w:rsidR="008973A8" w:rsidRPr="000317B6" w:rsidRDefault="00000000" w:rsidP="000317B6">
      <w:pPr>
        <w:pStyle w:val="P0-Paragraph"/>
      </w:pPr>
      <w:r w:rsidRPr="000317B6">
        <w:rPr>
          <w:rFonts w:eastAsia="Calibri"/>
        </w:rPr>
        <w:t>Specific to ASCR-15:</w:t>
      </w:r>
    </w:p>
    <w:p w14:paraId="22876582" w14:textId="77777777" w:rsidR="008973A8" w:rsidRPr="000317B6" w:rsidRDefault="00000000" w:rsidP="000317B6">
      <w:pPr>
        <w:pStyle w:val="L1-Bullet"/>
      </w:pPr>
      <w:r w:rsidRPr="000317B6">
        <w:rPr>
          <w:b/>
          <w:bCs/>
        </w:rPr>
        <w:t>Citation currency risk:</w:t>
      </w:r>
      <w:r w:rsidRPr="000317B6">
        <w:t xml:space="preserve"> The Regulatory Relevance field above summarizes the principal regulatory and standards references used by ASCR-15. Confirm those references against the current ASCR-02 Compliance Crosswalk and the law and standards in force at time of use. For EU AI Act high-risk obligations, confirm the applicable system category and effective date. Under Regulation (EU) 2026/1744, the relevant Chapter III Sections 1-3 provisions apply from 2 December 2027 for Annex III systems and 2 August 2028 for Annex I systems.</w:t>
      </w:r>
    </w:p>
    <w:p w14:paraId="3F4DE95F" w14:textId="77777777" w:rsidR="008973A8" w:rsidRPr="000317B6" w:rsidRDefault="00000000" w:rsidP="000317B6">
      <w:pPr>
        <w:pStyle w:val="L1-Bullet"/>
      </w:pPr>
      <w:r w:rsidRPr="000317B6">
        <w:rPr>
          <w:rFonts w:ascii="Calibri" w:eastAsia="Calibri" w:hAnsi="Calibri" w:cs="Calibri"/>
          <w:szCs w:val="21"/>
        </w:rPr>
        <w:t xml:space="preserve">Jurisdiction-bound defaults </w:t>
      </w:r>
      <w:r w:rsidRPr="000317B6">
        <w:t xml:space="preserve">are not set by this artifact. </w:t>
      </w:r>
      <w:r w:rsidRPr="000317B6">
        <w:rPr>
          <w:rFonts w:ascii="Calibri" w:eastAsia="Calibri" w:hAnsi="Calibri" w:cs="Calibri"/>
          <w:szCs w:val="21"/>
        </w:rPr>
        <w:t>ASCR-15 is a technical and operational reference matrix</w:t>
      </w:r>
      <w:r w:rsidRPr="000317B6">
        <w:t xml:space="preserve"> and as such </w:t>
      </w:r>
      <w:r w:rsidRPr="000317B6">
        <w:rPr>
          <w:rFonts w:ascii="Calibri" w:eastAsia="Calibri" w:hAnsi="Calibri" w:cs="Calibri"/>
          <w:szCs w:val="21"/>
        </w:rPr>
        <w:t>it does not set retention periods, limitation periods, monetary caps, or other legally calibrated default values.</w:t>
      </w:r>
    </w:p>
    <w:p w14:paraId="2AFEB462" w14:textId="77777777" w:rsidR="008973A8" w:rsidRPr="000317B6" w:rsidRDefault="00000000" w:rsidP="000317B6">
      <w:pPr>
        <w:pStyle w:val="L1-Bullet"/>
      </w:pPr>
      <w:r w:rsidRPr="000317B6">
        <w:rPr>
          <w:rFonts w:ascii="Calibri" w:eastAsia="Calibri" w:hAnsi="Calibri" w:cs="Calibri"/>
          <w:szCs w:val="21"/>
        </w:rPr>
        <w:t>Enforceability-dependent mechanisms</w:t>
      </w:r>
      <w:r w:rsidRPr="000317B6">
        <w:t xml:space="preserve">: </w:t>
      </w:r>
      <w:r w:rsidRPr="000317B6">
        <w:rPr>
          <w:rFonts w:ascii="Calibri" w:eastAsia="Calibri" w:hAnsi="Calibri" w:cs="Calibri"/>
          <w:szCs w:val="21"/>
        </w:rPr>
        <w:t>This instrument contains no contractual or liability clauses, burden-shifting provisions, or presumptions whose effect depends on a chosen governing law.</w:t>
      </w:r>
    </w:p>
    <w:p w14:paraId="085AE966" w14:textId="77777777" w:rsidR="008973A8" w:rsidRPr="000317B6" w:rsidRDefault="00000000" w:rsidP="000317B6">
      <w:pPr>
        <w:pStyle w:val="L1-Bullet"/>
      </w:pPr>
      <w:r w:rsidRPr="000317B6">
        <w:rPr>
          <w:rFonts w:ascii="Calibri" w:eastAsia="Calibri" w:hAnsi="Calibri" w:cs="Calibri"/>
          <w:szCs w:val="21"/>
        </w:rPr>
        <w:t>Industry/sector calibration - the illustrative campaign detail throughout (cargo routing, AGV fleets, conveyor systems, logistics data feeds) reflects a logistics/manufacturing CPS deployment context. Friction ratings (Component 1), detection coverage assessments (Component 3), and dwell/duration ranges (Component 5) should be recalibrated for other CPS sectors</w:t>
      </w:r>
      <w:r w:rsidRPr="000317B6">
        <w:t xml:space="preserve"> (</w:t>
      </w:r>
      <w:r w:rsidRPr="000317B6">
        <w:rPr>
          <w:rFonts w:ascii="Calibri" w:eastAsia="Calibri" w:hAnsi="Calibri" w:cs="Calibri"/>
          <w:szCs w:val="21"/>
        </w:rPr>
        <w:t>e.g., energy, water treatment, or healthcare robotics</w:t>
      </w:r>
      <w:r w:rsidRPr="000317B6">
        <w:t>)</w:t>
      </w:r>
      <w:r w:rsidRPr="000317B6">
        <w:rPr>
          <w:rFonts w:ascii="Calibri" w:eastAsia="Calibri" w:hAnsi="Calibri" w:cs="Calibri"/>
          <w:szCs w:val="21"/>
        </w:rPr>
        <w:t xml:space="preserve"> before use</w:t>
      </w:r>
      <w:r w:rsidRPr="000317B6">
        <w:t>.</w:t>
      </w:r>
    </w:p>
    <w:p w14:paraId="22B8A0B5" w14:textId="77777777" w:rsidR="008973A8" w:rsidRPr="000317B6" w:rsidRDefault="00000000" w:rsidP="000317B6">
      <w:pPr>
        <w:pStyle w:val="L1-Bullet"/>
      </w:pPr>
      <w:r w:rsidRPr="000317B6">
        <w:t xml:space="preserve">Campaign duration and dwell ranges are analyst calibration estimates informed by adjacent-domain evidence: Google Cloud/Mandiant M-Trends 2026; CISA Emergency Directive 21-01 and Alert AA20-352A for SolarWinds/SUNBURST context; and CVE-2024-3094 / 2024 XZ Utils backdoor analyses. They are not </w:t>
      </w:r>
      <w:r w:rsidRPr="000317B6">
        <w:lastRenderedPageBreak/>
        <w:t>empirically validated agentic- or OT-specific dwell norms and must be recalibrated for the deployment context as current threat intelligence and operational evidence evolve.</w:t>
      </w:r>
    </w:p>
    <w:p w14:paraId="1FFA1181" w14:textId="77777777" w:rsidR="008973A8" w:rsidRPr="000317B6" w:rsidRDefault="00000000" w:rsidP="000317B6">
      <w:pPr>
        <w:pStyle w:val="HS-Heading3"/>
      </w:pPr>
      <w:r w:rsidRPr="000317B6">
        <w:t>Definitions - explanatory CPS-layer and current ASCR-07 telemetry-field summaries, with authoritative-source pointers.</w:t>
      </w:r>
    </w:p>
    <w:p w14:paraId="577E3BDB" w14:textId="77777777" w:rsidR="008973A8" w:rsidRPr="000317B6" w:rsidRDefault="00000000" w:rsidP="000317B6">
      <w:pPr>
        <w:pStyle w:val="P0-Paragraph"/>
      </w:pPr>
      <w:r w:rsidRPr="000317B6">
        <w:t xml:space="preserve">The definitions below are operational summaries for use of ASCR-15. They do not replace the authoritative definitions in the owning book chapter or ASCR artifact. Canonical field types, formats, schema requirements, and normative descriptions for ASCR-07 telemetry remain governed by ASCR-07 and its schema reference. Effective </w:t>
      </w:r>
      <w:proofErr w:type="spellStart"/>
      <w:r w:rsidRPr="000317B6">
        <w:t>divergence_score</w:t>
      </w:r>
      <w:proofErr w:type="spellEnd"/>
      <w:r w:rsidRPr="000317B6">
        <w:t xml:space="preserve"> baselines and alert thresholds remain governed through ASCR-11, with applicable ASCR-03 authority boundaries applied where relevant.</w:t>
      </w:r>
    </w:p>
    <w:p w14:paraId="20CB3107" w14:textId="77777777" w:rsidR="008973A8" w:rsidRPr="000317B6" w:rsidRDefault="00000000" w:rsidP="000317B6">
      <w:pPr>
        <w:pStyle w:val="L1-Bullet"/>
      </w:pPr>
      <w:r w:rsidRPr="000317B6">
        <w:rPr>
          <w:b/>
          <w:bCs/>
        </w:rPr>
        <w:t xml:space="preserve">Physical AI: </w:t>
      </w:r>
      <w:r w:rsidRPr="000317B6">
        <w:t>Agentic AI integrated with cyber-physical or operational technology environments such that reasoning outputs can influence or initiate physical-world actions.</w:t>
      </w:r>
    </w:p>
    <w:p w14:paraId="2E24A5AC" w14:textId="77777777" w:rsidR="008973A8" w:rsidRPr="000317B6" w:rsidRDefault="00000000" w:rsidP="000317B6">
      <w:pPr>
        <w:pStyle w:val="L1-Bullet"/>
      </w:pPr>
      <w:r w:rsidRPr="000317B6">
        <w:rPr>
          <w:b/>
          <w:bCs/>
        </w:rPr>
        <w:t xml:space="preserve">CPS Threat Chain: </w:t>
      </w:r>
      <w:r w:rsidRPr="000317B6">
        <w:t>The cross-layer path by which adversarial influence or failure can progress from reasoning, objective, model, or context state through trusted connectivity and execution paths to consequential physical action.</w:t>
      </w:r>
    </w:p>
    <w:p w14:paraId="4EF47FF0" w14:textId="77777777" w:rsidR="008973A8" w:rsidRPr="000317B6" w:rsidRDefault="00000000" w:rsidP="000317B6">
      <w:pPr>
        <w:pStyle w:val="L1-Bullet"/>
      </w:pPr>
      <w:r w:rsidRPr="000317B6">
        <w:rPr>
          <w:b/>
          <w:bCs/>
        </w:rPr>
        <w:t xml:space="preserve">Intelligence Layer: </w:t>
      </w:r>
      <w:r w:rsidRPr="000317B6">
        <w:t>The model, objective, context, planning, reasoning, and related decision-state functions that determine what the agent intends to do.</w:t>
      </w:r>
    </w:p>
    <w:p w14:paraId="14DD0CD5" w14:textId="77777777" w:rsidR="008973A8" w:rsidRPr="000317B6" w:rsidRDefault="00000000" w:rsidP="000317B6">
      <w:pPr>
        <w:pStyle w:val="L1-Bullet"/>
      </w:pPr>
      <w:r w:rsidRPr="000317B6">
        <w:rPr>
          <w:b/>
          <w:bCs/>
        </w:rPr>
        <w:t xml:space="preserve">Connectivity Layer: </w:t>
      </w:r>
      <w:r w:rsidRPr="000317B6">
        <w:t>The MCP, tool-invocation, inter-agent coordination, API, data-path, and authority-propagation mechanisms through which reasoning outputs reach downstream execution services.</w:t>
      </w:r>
    </w:p>
    <w:p w14:paraId="7F41F768" w14:textId="77777777" w:rsidR="008973A8" w:rsidRPr="000317B6" w:rsidRDefault="00000000" w:rsidP="000317B6">
      <w:pPr>
        <w:pStyle w:val="L1-Bullet"/>
      </w:pPr>
      <w:r w:rsidRPr="000317B6">
        <w:rPr>
          <w:b/>
          <w:bCs/>
        </w:rPr>
        <w:t xml:space="preserve">Actuation Layer: </w:t>
      </w:r>
      <w:r w:rsidRPr="000317B6">
        <w:t>The command-translation, OT execution, device-control, and physical-actuation path through which an authorized instruction can produce physical consequence.</w:t>
      </w:r>
    </w:p>
    <w:p w14:paraId="20BD3B2F" w14:textId="77777777" w:rsidR="008973A8" w:rsidRPr="000317B6" w:rsidRDefault="00000000" w:rsidP="000317B6">
      <w:pPr>
        <w:pStyle w:val="L1-Bullet"/>
      </w:pPr>
      <w:r w:rsidRPr="000317B6">
        <w:rPr>
          <w:b/>
          <w:bCs/>
        </w:rPr>
        <w:t xml:space="preserve">Human Authority Layer: </w:t>
      </w:r>
      <w:r w:rsidRPr="000317B6">
        <w:t>The human or administrative authorization and override path that can alter policy, delegation, tool scope, response authority, or operational state. It is an authority overlay across the CPS chain, not a fourth CPS Threat Chain layer.</w:t>
      </w:r>
    </w:p>
    <w:p w14:paraId="16942ADB" w14:textId="77777777" w:rsidR="008973A8" w:rsidRPr="000317B6" w:rsidRDefault="00000000" w:rsidP="000317B6">
      <w:pPr>
        <w:pStyle w:val="L1-Bullet"/>
      </w:pPr>
      <w:proofErr w:type="spellStart"/>
      <w:r w:rsidRPr="000317B6">
        <w:rPr>
          <w:b/>
          <w:bCs/>
        </w:rPr>
        <w:t>goal_hash</w:t>
      </w:r>
      <w:proofErr w:type="spellEnd"/>
      <w:r w:rsidRPr="000317B6">
        <w:rPr>
          <w:b/>
          <w:bCs/>
        </w:rPr>
        <w:t xml:space="preserve">: </w:t>
      </w:r>
      <w:r w:rsidRPr="000317B6">
        <w:t>ASCR-07 core field providing a cryptographic reference to the objective state associated with the planning-cycle decision.</w:t>
      </w:r>
    </w:p>
    <w:p w14:paraId="4D3CD08D" w14:textId="77777777" w:rsidR="008973A8" w:rsidRPr="000317B6" w:rsidRDefault="00000000" w:rsidP="000317B6">
      <w:pPr>
        <w:pStyle w:val="L1-Bullet"/>
      </w:pPr>
      <w:proofErr w:type="spellStart"/>
      <w:r w:rsidRPr="000317B6">
        <w:rPr>
          <w:b/>
          <w:bCs/>
        </w:rPr>
        <w:t>context_hash_before</w:t>
      </w:r>
      <w:proofErr w:type="spellEnd"/>
      <w:r w:rsidRPr="000317B6">
        <w:rPr>
          <w:b/>
          <w:bCs/>
        </w:rPr>
        <w:t xml:space="preserve">: </w:t>
      </w:r>
      <w:r w:rsidRPr="000317B6">
        <w:t>ASCR-07 core field providing an integrity and provenance reference to the context state supplied at the beginning of the planning cycle.</w:t>
      </w:r>
    </w:p>
    <w:p w14:paraId="31198585" w14:textId="77777777" w:rsidR="008973A8" w:rsidRPr="000317B6" w:rsidRDefault="00000000" w:rsidP="000317B6">
      <w:pPr>
        <w:pStyle w:val="L1-Bullet"/>
      </w:pPr>
      <w:proofErr w:type="spellStart"/>
      <w:r w:rsidRPr="000317B6">
        <w:rPr>
          <w:b/>
          <w:bCs/>
        </w:rPr>
        <w:t>context_hash_after</w:t>
      </w:r>
      <w:proofErr w:type="spellEnd"/>
      <w:r w:rsidRPr="000317B6">
        <w:rPr>
          <w:b/>
          <w:bCs/>
        </w:rPr>
        <w:t xml:space="preserve">: </w:t>
      </w:r>
      <w:r w:rsidRPr="000317B6">
        <w:t>ASCR-07 core field providing the corresponding integrity and provenance reference to the context state after the planning cycle.</w:t>
      </w:r>
    </w:p>
    <w:p w14:paraId="3B24000E" w14:textId="77777777" w:rsidR="008973A8" w:rsidRPr="000317B6" w:rsidRDefault="00000000" w:rsidP="000317B6">
      <w:pPr>
        <w:pStyle w:val="L1-Bullet"/>
      </w:pPr>
      <w:proofErr w:type="spellStart"/>
      <w:r w:rsidRPr="000317B6">
        <w:rPr>
          <w:b/>
          <w:bCs/>
        </w:rPr>
        <w:t>plan_delta_summary</w:t>
      </w:r>
      <w:proofErr w:type="spellEnd"/>
      <w:r w:rsidRPr="000317B6">
        <w:rPr>
          <w:b/>
          <w:bCs/>
        </w:rPr>
        <w:t xml:space="preserve">: </w:t>
      </w:r>
      <w:r w:rsidRPr="000317B6">
        <w:t>ASCR-07 core field providing an observable summary of the proposed plan or action, including significant differences from the prior plan where available.</w:t>
      </w:r>
    </w:p>
    <w:p w14:paraId="6F22F086" w14:textId="77777777" w:rsidR="008973A8" w:rsidRPr="000317B6" w:rsidRDefault="00000000" w:rsidP="000317B6">
      <w:pPr>
        <w:pStyle w:val="L1-Bullet"/>
      </w:pPr>
      <w:proofErr w:type="spellStart"/>
      <w:r w:rsidRPr="000317B6">
        <w:rPr>
          <w:b/>
          <w:bCs/>
        </w:rPr>
        <w:t>divergence_score</w:t>
      </w:r>
      <w:proofErr w:type="spellEnd"/>
      <w:r w:rsidRPr="000317B6">
        <w:rPr>
          <w:b/>
          <w:bCs/>
        </w:rPr>
        <w:t xml:space="preserve">: </w:t>
      </w:r>
      <w:r w:rsidRPr="000317B6">
        <w:t xml:space="preserve">ASCR-07 core field representing the normalized behavioral-deviation measure for the planning-cycle decision. The field is </w:t>
      </w:r>
      <w:proofErr w:type="gramStart"/>
      <w:r w:rsidRPr="000317B6">
        <w:t>bounded</w:t>
      </w:r>
      <w:proofErr w:type="gramEnd"/>
      <w:r w:rsidRPr="000317B6">
        <w:t xml:space="preserve"> to [0.0, 1.0] under the ASCR-07 </w:t>
      </w:r>
      <w:proofErr w:type="gramStart"/>
      <w:r w:rsidRPr="000317B6">
        <w:t>schema</w:t>
      </w:r>
      <w:proofErr w:type="gramEnd"/>
      <w:r w:rsidRPr="000317B6">
        <w:t>. Interpret the value against the deployment's current authorized baseline and governed thresholds; an elevated score alone does not establish adversarial manipulation.</w:t>
      </w:r>
    </w:p>
    <w:p w14:paraId="2A7243E9" w14:textId="77777777" w:rsidR="008973A8" w:rsidRPr="000317B6" w:rsidRDefault="00000000" w:rsidP="000317B6">
      <w:pPr>
        <w:pStyle w:val="L1-Bullet"/>
      </w:pPr>
      <w:proofErr w:type="spellStart"/>
      <w:r w:rsidRPr="000317B6">
        <w:t>auth_chain_agent</w:t>
      </w:r>
      <w:proofErr w:type="spellEnd"/>
      <w:r w:rsidRPr="000317B6">
        <w:t>: ASCR-07 agent-produced authorization-lineage field containing the agent-visible authorization-reference lineage present at decision-signing time.</w:t>
      </w:r>
    </w:p>
    <w:p w14:paraId="7CA4059A" w14:textId="77777777" w:rsidR="008973A8" w:rsidRPr="000317B6" w:rsidRDefault="00000000" w:rsidP="000317B6">
      <w:pPr>
        <w:pStyle w:val="L1-Bullet"/>
      </w:pPr>
      <w:proofErr w:type="spellStart"/>
      <w:r w:rsidRPr="000317B6">
        <w:t>auth_chain_infra</w:t>
      </w:r>
      <w:proofErr w:type="spellEnd"/>
      <w:r w:rsidRPr="000317B6">
        <w:t xml:space="preserve">: ASCR-07 infrastructure-appended authorization-lineage field containing infrastructure-side authorization evidence, separate from </w:t>
      </w:r>
      <w:proofErr w:type="spellStart"/>
      <w:r w:rsidRPr="000317B6">
        <w:t>auth_chain_agent</w:t>
      </w:r>
      <w:proofErr w:type="spellEnd"/>
      <w:r w:rsidRPr="000317B6">
        <w:t xml:space="preserve"> and protected by </w:t>
      </w:r>
      <w:proofErr w:type="spellStart"/>
      <w:r w:rsidRPr="000317B6">
        <w:t>infrastructure_sig</w:t>
      </w:r>
      <w:proofErr w:type="spellEnd"/>
      <w:r w:rsidRPr="000317B6">
        <w:t>.</w:t>
      </w:r>
    </w:p>
    <w:p w14:paraId="3B77DB7C" w14:textId="77777777" w:rsidR="008973A8" w:rsidRPr="000317B6" w:rsidRDefault="00000000" w:rsidP="000317B6">
      <w:pPr>
        <w:pStyle w:val="L1-Bullet"/>
      </w:pPr>
      <w:r w:rsidRPr="000317B6">
        <w:rPr>
          <w:b/>
          <w:bCs/>
        </w:rPr>
        <w:t xml:space="preserve">Policy enforcement references: </w:t>
      </w:r>
      <w:r w:rsidRPr="000317B6">
        <w:t xml:space="preserve">Where ASCR-15 describes policy enforcement or interception in the execution chain, ASCR-04 owns runtime policy materialization and enforcement, while ASCR-06 supplies the verification outcome where applicable. ASCR-15 does not create </w:t>
      </w:r>
      <w:proofErr w:type="gramStart"/>
      <w:r w:rsidRPr="000317B6">
        <w:t>a separate</w:t>
      </w:r>
      <w:proofErr w:type="gramEnd"/>
      <w:r w:rsidRPr="000317B6">
        <w:t xml:space="preserve"> enforcement authority.</w:t>
      </w:r>
    </w:p>
    <w:p w14:paraId="002BE550" w14:textId="77777777" w:rsidR="008973A8" w:rsidRPr="000317B6" w:rsidRDefault="00000000" w:rsidP="000317B6">
      <w:pPr>
        <w:pStyle w:val="HS-Heading2"/>
      </w:pPr>
      <w:r w:rsidRPr="000317B6">
        <w:lastRenderedPageBreak/>
        <w:t>Artifact structure and usage</w:t>
      </w:r>
    </w:p>
    <w:p w14:paraId="2F08E98F" w14:textId="77777777" w:rsidR="008973A8" w:rsidRPr="000317B6" w:rsidRDefault="00000000" w:rsidP="000317B6">
      <w:pPr>
        <w:pStyle w:val="P0-Paragraph"/>
      </w:pPr>
      <w:r w:rsidRPr="000317B6">
        <w:t>ASCR-15 uses the Word document for narrative guidance and Component 2 campaign chains, while ASCR-15-OE01-Adversary-Campaign-Reference-Matrix-Set.xlsx provides Components 1, 3, 4, and 5 as filterable reference matrices, a deployment Calibration &amp; Gap Closure register, and explanatory definitions. The spreadsheet form supports adversary-class, CPS-layer, telemetry-domain, control-impact, and deployment-calibration filtering during threat modeling, hunt planning, exercise preparation, and deployment sequencing.</w:t>
      </w:r>
    </w:p>
    <w:p w14:paraId="03F4CEF9" w14:textId="77777777" w:rsidR="008973A8" w:rsidRPr="000317B6" w:rsidRDefault="00000000" w:rsidP="000317B6">
      <w:pPr>
        <w:pStyle w:val="P0-Paragraph"/>
      </w:pPr>
      <w:r w:rsidRPr="000317B6">
        <w:t>The workbook contains eight tabs:</w:t>
      </w:r>
    </w:p>
    <w:p w14:paraId="61B4D4E9" w14:textId="77777777" w:rsidR="008973A8" w:rsidRPr="000317B6" w:rsidRDefault="00000000" w:rsidP="000317B6">
      <w:pPr>
        <w:pStyle w:val="L1-Bullet"/>
      </w:pPr>
      <w:r w:rsidRPr="000317B6">
        <w:t>Read Me - canonical OE metadata, version, scope, precedence, worksheet inventory, lockstep/change control, and scope limitation.</w:t>
      </w:r>
    </w:p>
    <w:p w14:paraId="7158E029" w14:textId="77777777" w:rsidR="008973A8" w:rsidRPr="000317B6" w:rsidRDefault="00000000" w:rsidP="000317B6">
      <w:pPr>
        <w:pStyle w:val="L1-Bullet"/>
      </w:pPr>
      <w:r w:rsidRPr="000317B6">
        <w:t xml:space="preserve">Legend &amp; Methodology - purpose, tab </w:t>
      </w:r>
      <w:proofErr w:type="gramStart"/>
      <w:r w:rsidRPr="000317B6">
        <w:t>index, and</w:t>
      </w:r>
      <w:proofErr w:type="gramEnd"/>
      <w:r w:rsidRPr="000317B6">
        <w:t xml:space="preserve"> friction, detection-coverage, and control-impact legends.</w:t>
      </w:r>
    </w:p>
    <w:p w14:paraId="799C65D9" w14:textId="77777777" w:rsidR="008973A8" w:rsidRPr="000317B6" w:rsidRDefault="00000000" w:rsidP="000317B6">
      <w:pPr>
        <w:pStyle w:val="L1-Bullet"/>
      </w:pPr>
      <w:r w:rsidRPr="000317B6">
        <w:t>Comp1 - Campaign Entry Map - Component 1 campaign-entry techniques and friction ratings by CPS layer.</w:t>
      </w:r>
    </w:p>
    <w:p w14:paraId="7FFC37D4" w14:textId="77777777" w:rsidR="008973A8" w:rsidRPr="000317B6" w:rsidRDefault="00000000" w:rsidP="000317B6">
      <w:pPr>
        <w:pStyle w:val="L1-Bullet"/>
      </w:pPr>
      <w:r w:rsidRPr="000317B6">
        <w:t>Comp3 - Detection Heatmap - Component 3 coverage matrix with 12 adversary-class x CPS-layer rows and 6 telemetry-domain columns. Header filters support filtering by adversary class or layer. Coverage cells use rating text plus red/amber/green fill for reliable on-screen use and printing.</w:t>
      </w:r>
    </w:p>
    <w:p w14:paraId="09F6C5EB" w14:textId="77777777" w:rsidR="008973A8" w:rsidRPr="000317B6" w:rsidRDefault="00000000" w:rsidP="000317B6">
      <w:pPr>
        <w:pStyle w:val="L1-Bullet"/>
      </w:pPr>
      <w:r w:rsidRPr="000317B6">
        <w:t>Comp4 - ASCR Crosswalk - Component 4 ASCR control ownership, CPS-layer mapping, impact ratings where calibrated, and deployment-sequencing guidance.</w:t>
      </w:r>
    </w:p>
    <w:p w14:paraId="5B136C43" w14:textId="77777777" w:rsidR="008973A8" w:rsidRPr="000317B6" w:rsidRDefault="00000000" w:rsidP="000317B6">
      <w:pPr>
        <w:pStyle w:val="L1-Bullet"/>
      </w:pPr>
      <w:r w:rsidRPr="000317B6">
        <w:t>Comp5 - Duration and Dwell - Component 5 campaign duration, dwell, leading-indicator, and lookback-window guidance.</w:t>
      </w:r>
    </w:p>
    <w:p w14:paraId="132D2068" w14:textId="77777777" w:rsidR="008973A8" w:rsidRPr="000317B6" w:rsidRDefault="00000000" w:rsidP="000317B6">
      <w:pPr>
        <w:pStyle w:val="L1-Bullet"/>
      </w:pPr>
      <w:r w:rsidRPr="000317B6">
        <w:t>Calibration &amp; Gap Closure - Deployment Calibration &amp; Gap Closure Register for confirmations, replacements, owners, dependencies, target dates, closure evidence, and reassessment without overwriting the published baseline.</w:t>
      </w:r>
    </w:p>
    <w:p w14:paraId="4540F5FF" w14:textId="77777777" w:rsidR="008973A8" w:rsidRPr="000317B6" w:rsidRDefault="00000000" w:rsidP="000317B6">
      <w:pPr>
        <w:pStyle w:val="L1-Bullet"/>
      </w:pPr>
      <w:r w:rsidRPr="000317B6">
        <w:t>Definitions - explanatory CPS-layer and ASCR-07 telemetry-field summaries, with authoritative-source pointers.</w:t>
      </w:r>
    </w:p>
    <w:p w14:paraId="682A04A9" w14:textId="77777777" w:rsidR="008973A8" w:rsidRPr="000317B6" w:rsidRDefault="00000000" w:rsidP="000317B6">
      <w:pPr>
        <w:pStyle w:val="P0-Paragraph"/>
      </w:pPr>
      <w:r w:rsidRPr="000317B6">
        <w:t>Each component heading below states what the matrix covers and links to its workbook tab by name. Interpretive guidance remains in this document, including the Component 3 gap narrative, Component 4 deployment-sequencing guidance, and Component 5 lookback calendar note.</w:t>
      </w:r>
    </w:p>
    <w:p w14:paraId="2F01BD1C" w14:textId="77777777" w:rsidR="008973A8" w:rsidRPr="000317B6" w:rsidRDefault="00000000" w:rsidP="000317B6">
      <w:pPr>
        <w:pStyle w:val="HS-Heading1"/>
      </w:pPr>
      <w:r w:rsidRPr="000317B6">
        <w:t>Component 1 - Campaign entry map</w:t>
      </w:r>
    </w:p>
    <w:p w14:paraId="70C09C5B" w14:textId="77777777" w:rsidR="008973A8" w:rsidRPr="000317B6" w:rsidRDefault="00000000" w:rsidP="000317B6">
      <w:pPr>
        <w:pStyle w:val="P0-Paragraph"/>
      </w:pPr>
      <w:proofErr w:type="gramStart"/>
      <w:r w:rsidRPr="000317B6">
        <w:t>Identifies</w:t>
      </w:r>
      <w:proofErr w:type="gramEnd"/>
      <w:r w:rsidRPr="000317B6">
        <w:t xml:space="preserve"> where each adversary class enters the CPS Threat Chain, with what technique, and at what operational friction. Friction ratings reflect the additional effort required to establish entry at each layer from the adversary's existing position, not the sophistication of the campaign that follows. A low-friction entry point is the adversary's preferred starting position regardless of campaign complexity. Consider two examples:</w:t>
      </w:r>
    </w:p>
    <w:p w14:paraId="283B5050" w14:textId="77777777" w:rsidR="008973A8" w:rsidRPr="000317B6" w:rsidRDefault="00000000" w:rsidP="000317B6">
      <w:pPr>
        <w:pStyle w:val="L1-Bullet"/>
      </w:pPr>
      <w:r w:rsidRPr="000317B6">
        <w:rPr>
          <w:rFonts w:eastAsia="Calibri"/>
        </w:rPr>
        <w:t>An insider with authorized fine-tuning access faces the lowest friction rating on this scale (Low): the adversary is already the authorized user.</w:t>
      </w:r>
    </w:p>
    <w:p w14:paraId="0684CD48" w14:textId="77777777" w:rsidR="008973A8" w:rsidRPr="000317B6" w:rsidRDefault="00000000" w:rsidP="000317B6">
      <w:pPr>
        <w:pStyle w:val="L1-Bullet"/>
      </w:pPr>
      <w:r w:rsidRPr="000317B6">
        <w:rPr>
          <w:rFonts w:eastAsia="Calibri"/>
        </w:rPr>
        <w:t xml:space="preserve">A nation-state actor targeting the same layer through supply chain compromise faces </w:t>
      </w:r>
      <w:proofErr w:type="gramStart"/>
      <w:r w:rsidRPr="000317B6">
        <w:rPr>
          <w:rFonts w:eastAsia="Calibri"/>
        </w:rPr>
        <w:t>Medium</w:t>
      </w:r>
      <w:proofErr w:type="gramEnd"/>
      <w:r w:rsidRPr="000317B6">
        <w:rPr>
          <w:rFonts w:eastAsia="Calibri"/>
        </w:rPr>
        <w:t xml:space="preserve"> friction. While this is the same destination, it is an entirely different effort curve.</w:t>
      </w:r>
    </w:p>
    <w:tbl>
      <w:tblPr>
        <w:tblStyle w:val="aa"/>
        <w:tblW w:w="9595" w:type="dxa"/>
        <w:tblInd w:w="0" w:type="dxa"/>
        <w:tblBorders>
          <w:top w:val="single" w:sz="6" w:space="0" w:color="1F3864"/>
          <w:left w:val="single" w:sz="6" w:space="0" w:color="1F3864"/>
          <w:bottom w:val="single" w:sz="6" w:space="0" w:color="1F3864"/>
          <w:right w:val="single" w:sz="6" w:space="0" w:color="1F3864"/>
          <w:insideH w:val="single" w:sz="4" w:space="0" w:color="000000"/>
          <w:insideV w:val="single" w:sz="4" w:space="0" w:color="000000"/>
        </w:tblBorders>
        <w:tblLayout w:type="fixed"/>
        <w:tblLook w:val="0000" w:firstRow="0" w:lastRow="0" w:firstColumn="0" w:lastColumn="0" w:noHBand="0" w:noVBand="0"/>
      </w:tblPr>
      <w:tblGrid>
        <w:gridCol w:w="9595"/>
      </w:tblGrid>
      <w:tr w:rsidR="008973A8" w:rsidRPr="000317B6" w14:paraId="09EDECA4" w14:textId="77777777">
        <w:tc>
          <w:tcPr>
            <w:tcW w:w="9595" w:type="dxa"/>
            <w:shd w:val="clear" w:color="auto" w:fill="DCE6F1"/>
            <w:tcMar>
              <w:top w:w="150" w:type="dxa"/>
              <w:left w:w="200" w:type="dxa"/>
              <w:bottom w:w="150" w:type="dxa"/>
              <w:right w:w="200" w:type="dxa"/>
            </w:tcMar>
          </w:tcPr>
          <w:p w14:paraId="2FC3E9D2" w14:textId="22A58D0E" w:rsidR="008973A8" w:rsidRPr="000317B6" w:rsidRDefault="00000000" w:rsidP="000317B6">
            <w:pPr>
              <w:pStyle w:val="I0-InfoBox"/>
            </w:pPr>
            <w:r w:rsidRPr="000317B6">
              <w:rPr>
                <w:rFonts w:ascii="Cambria Math" w:hAnsi="Cambria Math" w:cs="Cambria Math"/>
              </w:rPr>
              <w:t>▶</w:t>
            </w:r>
            <w:r w:rsidRPr="000317B6">
              <w:t xml:space="preserve"> Full matrix: ASCR-15-OE01-Adversary-Campaign-Reference-Matrix-Set.xlsx | tab "Comp1 - Campaign </w:t>
            </w:r>
            <w:proofErr w:type="spellStart"/>
            <w:r w:rsidRPr="000317B6">
              <w:t>En</w:t>
            </w:r>
            <w:r w:rsidR="000317B6">
              <w:t>bb</w:t>
            </w:r>
            <w:r w:rsidRPr="000317B6">
              <w:t>try</w:t>
            </w:r>
            <w:proofErr w:type="spellEnd"/>
            <w:r w:rsidRPr="000317B6">
              <w:t xml:space="preserve"> Map" | 4 adversary classes (Nation-State / APT, Financially Motivated, Insider Threat, Supply Chain / Third-Party) x Intelligence, Connectivity, and Actuation Layer entry technique and friction rating. | Friction key: Low = achievable without material additional positioning beyond the adversary's current access, including legitimately </w:t>
            </w:r>
            <w:r w:rsidRPr="000317B6">
              <w:lastRenderedPageBreak/>
              <w:t>held specialized OT access. Medium = requires additional access establishment or an established supply-chain position. High = requires new OT-adjacent access or physical proximity not already held.</w:t>
            </w:r>
          </w:p>
        </w:tc>
      </w:tr>
    </w:tbl>
    <w:p w14:paraId="079C10C5" w14:textId="77777777" w:rsidR="008973A8" w:rsidRPr="000317B6" w:rsidRDefault="008973A8" w:rsidP="000317B6">
      <w:pPr>
        <w:pStyle w:val="P0-Paragraph"/>
      </w:pPr>
    </w:p>
    <w:p w14:paraId="093C0A18" w14:textId="77777777" w:rsidR="008973A8" w:rsidRPr="000317B6" w:rsidRDefault="00000000" w:rsidP="000317B6">
      <w:pPr>
        <w:pStyle w:val="HS-Heading1"/>
      </w:pPr>
      <w:r w:rsidRPr="000317B6">
        <w:t>Component 2 - Objective-to-consequence chains</w:t>
      </w:r>
    </w:p>
    <w:p w14:paraId="5F5BFADB" w14:textId="77777777" w:rsidR="008973A8" w:rsidRPr="000317B6" w:rsidRDefault="00000000" w:rsidP="000317B6">
      <w:pPr>
        <w:pStyle w:val="P0-Paragraph"/>
      </w:pPr>
      <w:r w:rsidRPr="000317B6">
        <w:t>One reference card per adversary class. Each chain reads top-to-bottom as the adversary's campaign logic and bottom-to-top as the defender's detection priority sequence. The defender hunt point at the bottom of each chain identifies the earliest observable signal defined for that adversary class. Chains follow the adversary taxonomy order established in Table 1.2, not detection difficulty or threat probability. Read the Financially Motivated chain first if you need the fastest conceptual grounding; it presents the most direct path from entry to physical consequence.</w:t>
      </w:r>
    </w:p>
    <w:p w14:paraId="66B38FFA" w14:textId="77777777" w:rsidR="008973A8" w:rsidRPr="000317B6" w:rsidRDefault="00000000" w:rsidP="000317B6">
      <w:pPr>
        <w:pStyle w:val="HS-Heading2"/>
      </w:pPr>
      <w:bookmarkStart w:id="0" w:name="_heading=h.mxrtang12t47" w:colFirst="0" w:colLast="0"/>
      <w:bookmarkEnd w:id="0"/>
      <w:r w:rsidRPr="000317B6">
        <w:t>Nation-state / advanced persistent threat (APT) attack progression</w:t>
      </w:r>
    </w:p>
    <w:p w14:paraId="11A763A8" w14:textId="77777777" w:rsidR="008973A8" w:rsidRPr="000317B6" w:rsidRDefault="008973A8" w:rsidP="000317B6">
      <w:pPr>
        <w:pStyle w:val="P0-Paragraph"/>
      </w:pPr>
    </w:p>
    <w:tbl>
      <w:tblPr>
        <w:tblStyle w:val="ab"/>
        <w:tblW w:w="99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90"/>
        <w:gridCol w:w="8105"/>
      </w:tblGrid>
      <w:tr w:rsidR="008973A8" w:rsidRPr="000317B6" w14:paraId="0BE25C7C" w14:textId="77777777" w:rsidTr="000317B6">
        <w:trPr>
          <w:trHeight w:val="515"/>
        </w:trPr>
        <w:tc>
          <w:tcPr>
            <w:tcW w:w="1890" w:type="dxa"/>
            <w:shd w:val="clear" w:color="auto" w:fill="1F3864"/>
            <w:tcMar>
              <w:top w:w="100" w:type="dxa"/>
              <w:left w:w="100" w:type="dxa"/>
              <w:bottom w:w="100" w:type="dxa"/>
              <w:right w:w="100" w:type="dxa"/>
            </w:tcMar>
          </w:tcPr>
          <w:p w14:paraId="5DA6E4D8" w14:textId="77777777" w:rsidR="008973A8" w:rsidRPr="000317B6" w:rsidRDefault="00000000" w:rsidP="000317B6">
            <w:pPr>
              <w:pStyle w:val="T0-Table"/>
              <w:rPr>
                <w:rStyle w:val="CS-Keyword"/>
              </w:rPr>
            </w:pPr>
            <w:r w:rsidRPr="000317B6">
              <w:rPr>
                <w:rStyle w:val="CS-Keyword"/>
              </w:rPr>
              <w:t>Chain Element</w:t>
            </w:r>
          </w:p>
        </w:tc>
        <w:tc>
          <w:tcPr>
            <w:tcW w:w="8105" w:type="dxa"/>
            <w:shd w:val="clear" w:color="auto" w:fill="1F3864"/>
            <w:tcMar>
              <w:top w:w="100" w:type="dxa"/>
              <w:left w:w="100" w:type="dxa"/>
              <w:bottom w:w="100" w:type="dxa"/>
              <w:right w:w="100" w:type="dxa"/>
            </w:tcMar>
          </w:tcPr>
          <w:p w14:paraId="66A610E0" w14:textId="77777777" w:rsidR="008973A8" w:rsidRPr="000317B6" w:rsidRDefault="00000000" w:rsidP="000317B6">
            <w:pPr>
              <w:pStyle w:val="T0-Table"/>
              <w:rPr>
                <w:rStyle w:val="CS-Keyword"/>
              </w:rPr>
            </w:pPr>
            <w:r w:rsidRPr="000317B6">
              <w:rPr>
                <w:rStyle w:val="CS-Keyword"/>
              </w:rPr>
              <w:t>Description</w:t>
            </w:r>
          </w:p>
        </w:tc>
      </w:tr>
      <w:tr w:rsidR="008973A8" w:rsidRPr="000317B6" w14:paraId="6A8B75B3" w14:textId="77777777" w:rsidTr="000317B6">
        <w:trPr>
          <w:trHeight w:val="515"/>
        </w:trPr>
        <w:tc>
          <w:tcPr>
            <w:tcW w:w="1890" w:type="dxa"/>
            <w:shd w:val="clear" w:color="auto" w:fill="FFFFFF"/>
            <w:tcMar>
              <w:top w:w="100" w:type="dxa"/>
              <w:left w:w="100" w:type="dxa"/>
              <w:bottom w:w="100" w:type="dxa"/>
              <w:right w:w="100" w:type="dxa"/>
            </w:tcMar>
          </w:tcPr>
          <w:p w14:paraId="0602C53C" w14:textId="77777777" w:rsidR="008973A8" w:rsidRPr="000317B6" w:rsidRDefault="00000000" w:rsidP="000317B6">
            <w:pPr>
              <w:pStyle w:val="T0-Table"/>
            </w:pPr>
            <w:r w:rsidRPr="000317B6">
              <w:t>Threat Actor</w:t>
            </w:r>
          </w:p>
        </w:tc>
        <w:tc>
          <w:tcPr>
            <w:tcW w:w="8105" w:type="dxa"/>
            <w:shd w:val="clear" w:color="auto" w:fill="FFFFFF"/>
            <w:tcMar>
              <w:top w:w="100" w:type="dxa"/>
              <w:left w:w="100" w:type="dxa"/>
              <w:bottom w:w="100" w:type="dxa"/>
              <w:right w:w="100" w:type="dxa"/>
            </w:tcMar>
          </w:tcPr>
          <w:p w14:paraId="33554D83" w14:textId="77777777" w:rsidR="008973A8" w:rsidRPr="000317B6" w:rsidRDefault="00000000" w:rsidP="000317B6">
            <w:pPr>
              <w:pStyle w:val="T0-Table"/>
            </w:pPr>
            <w:r w:rsidRPr="000317B6">
              <w:t>Nation-State / Advanced Persistent Threat (APT)</w:t>
            </w:r>
          </w:p>
        </w:tc>
      </w:tr>
      <w:tr w:rsidR="008973A8" w:rsidRPr="000317B6" w14:paraId="3497C533" w14:textId="77777777" w:rsidTr="000317B6">
        <w:trPr>
          <w:trHeight w:val="785"/>
        </w:trPr>
        <w:tc>
          <w:tcPr>
            <w:tcW w:w="1890" w:type="dxa"/>
            <w:shd w:val="clear" w:color="auto" w:fill="D9E2F3"/>
            <w:tcMar>
              <w:top w:w="100" w:type="dxa"/>
              <w:left w:w="100" w:type="dxa"/>
              <w:bottom w:w="100" w:type="dxa"/>
              <w:right w:w="100" w:type="dxa"/>
            </w:tcMar>
          </w:tcPr>
          <w:p w14:paraId="032F4F70" w14:textId="77777777" w:rsidR="008973A8" w:rsidRPr="000317B6" w:rsidRDefault="00000000" w:rsidP="000317B6">
            <w:pPr>
              <w:pStyle w:val="T0-Table"/>
            </w:pPr>
            <w:r w:rsidRPr="000317B6">
              <w:t>Entry Point</w:t>
            </w:r>
          </w:p>
        </w:tc>
        <w:tc>
          <w:tcPr>
            <w:tcW w:w="8105" w:type="dxa"/>
            <w:shd w:val="clear" w:color="auto" w:fill="D9E2F3"/>
            <w:tcMar>
              <w:top w:w="100" w:type="dxa"/>
              <w:left w:w="100" w:type="dxa"/>
              <w:bottom w:w="100" w:type="dxa"/>
              <w:right w:w="100" w:type="dxa"/>
            </w:tcMar>
          </w:tcPr>
          <w:p w14:paraId="49073562" w14:textId="77777777" w:rsidR="008973A8" w:rsidRPr="000317B6" w:rsidRDefault="00000000" w:rsidP="000317B6">
            <w:pPr>
              <w:pStyle w:val="T0-Table"/>
            </w:pPr>
            <w:r w:rsidRPr="000317B6">
              <w:t>Model registry or CI/CD pipeline compromise (MITRE ATLAS AML.T0010); data integration partner with long-dwell access</w:t>
            </w:r>
          </w:p>
        </w:tc>
      </w:tr>
      <w:tr w:rsidR="008973A8" w:rsidRPr="000317B6" w14:paraId="7202860B" w14:textId="77777777" w:rsidTr="000317B6">
        <w:trPr>
          <w:trHeight w:val="1070"/>
        </w:trPr>
        <w:tc>
          <w:tcPr>
            <w:tcW w:w="1890" w:type="dxa"/>
            <w:shd w:val="clear" w:color="auto" w:fill="FFFFFF"/>
            <w:tcMar>
              <w:top w:w="100" w:type="dxa"/>
              <w:left w:w="100" w:type="dxa"/>
              <w:bottom w:w="100" w:type="dxa"/>
              <w:right w:w="100" w:type="dxa"/>
            </w:tcMar>
          </w:tcPr>
          <w:p w14:paraId="3D7502C7" w14:textId="77777777" w:rsidR="008973A8" w:rsidRPr="000317B6" w:rsidRDefault="00000000" w:rsidP="000317B6">
            <w:pPr>
              <w:pStyle w:val="T0-Table"/>
            </w:pPr>
            <w:r w:rsidRPr="000317B6">
              <w:t>Intelligence Layer Objective</w:t>
            </w:r>
          </w:p>
        </w:tc>
        <w:tc>
          <w:tcPr>
            <w:tcW w:w="8105" w:type="dxa"/>
            <w:shd w:val="clear" w:color="auto" w:fill="FFFFFF"/>
            <w:tcMar>
              <w:top w:w="100" w:type="dxa"/>
              <w:left w:w="100" w:type="dxa"/>
              <w:bottom w:w="100" w:type="dxa"/>
              <w:right w:w="100" w:type="dxa"/>
            </w:tcMar>
          </w:tcPr>
          <w:p w14:paraId="4CF8708C" w14:textId="77777777" w:rsidR="008973A8" w:rsidRPr="000317B6" w:rsidRDefault="00000000" w:rsidP="000317B6">
            <w:pPr>
              <w:pStyle w:val="T0-Table"/>
            </w:pPr>
            <w:r w:rsidRPr="000317B6">
              <w:t>Pre-position trigger-conditional behavioral modification within planning agent weights; map agent authority structure and identify physical asset targeting options</w:t>
            </w:r>
          </w:p>
        </w:tc>
      </w:tr>
      <w:tr w:rsidR="008973A8" w:rsidRPr="000317B6" w14:paraId="06CC4EC0" w14:textId="77777777" w:rsidTr="000317B6">
        <w:trPr>
          <w:trHeight w:val="1070"/>
        </w:trPr>
        <w:tc>
          <w:tcPr>
            <w:tcW w:w="1890" w:type="dxa"/>
            <w:shd w:val="clear" w:color="auto" w:fill="D9E2F3"/>
            <w:tcMar>
              <w:top w:w="100" w:type="dxa"/>
              <w:left w:w="100" w:type="dxa"/>
              <w:bottom w:w="100" w:type="dxa"/>
              <w:right w:w="100" w:type="dxa"/>
            </w:tcMar>
          </w:tcPr>
          <w:p w14:paraId="65DD565F" w14:textId="77777777" w:rsidR="008973A8" w:rsidRPr="000317B6" w:rsidRDefault="00000000" w:rsidP="000317B6">
            <w:pPr>
              <w:pStyle w:val="T0-Table"/>
            </w:pPr>
            <w:r w:rsidRPr="000317B6">
              <w:t>Connectivity Layer Method</w:t>
            </w:r>
          </w:p>
        </w:tc>
        <w:tc>
          <w:tcPr>
            <w:tcW w:w="8105" w:type="dxa"/>
            <w:shd w:val="clear" w:color="auto" w:fill="D9E2F3"/>
            <w:tcMar>
              <w:top w:w="100" w:type="dxa"/>
              <w:left w:w="100" w:type="dxa"/>
              <w:bottom w:w="100" w:type="dxa"/>
              <w:right w:w="100" w:type="dxa"/>
            </w:tcMar>
          </w:tcPr>
          <w:p w14:paraId="77475672" w14:textId="77777777" w:rsidR="008973A8" w:rsidRPr="000317B6" w:rsidRDefault="00000000" w:rsidP="000317B6">
            <w:pPr>
              <w:pStyle w:val="T0-Table"/>
            </w:pPr>
            <w:r w:rsidRPr="000317B6">
              <w:t>Authorized MCP sessions carry adversarially directed commands; inter-agent coordination channels distribute malicious effects across the agent collective without requiring additional compromise steps</w:t>
            </w:r>
          </w:p>
        </w:tc>
      </w:tr>
      <w:tr w:rsidR="008973A8" w:rsidRPr="000317B6" w14:paraId="72E4C449" w14:textId="77777777" w:rsidTr="000317B6">
        <w:trPr>
          <w:trHeight w:val="1070"/>
        </w:trPr>
        <w:tc>
          <w:tcPr>
            <w:tcW w:w="1890" w:type="dxa"/>
            <w:shd w:val="clear" w:color="auto" w:fill="FFFFFF"/>
            <w:tcMar>
              <w:top w:w="100" w:type="dxa"/>
              <w:left w:w="100" w:type="dxa"/>
              <w:bottom w:w="100" w:type="dxa"/>
              <w:right w:w="100" w:type="dxa"/>
            </w:tcMar>
          </w:tcPr>
          <w:p w14:paraId="66F5CEA0" w14:textId="77777777" w:rsidR="008973A8" w:rsidRPr="000317B6" w:rsidRDefault="00000000" w:rsidP="000317B6">
            <w:pPr>
              <w:pStyle w:val="T0-Table"/>
            </w:pPr>
            <w:r w:rsidRPr="000317B6">
              <w:t>Actuation Layer Target</w:t>
            </w:r>
          </w:p>
        </w:tc>
        <w:tc>
          <w:tcPr>
            <w:tcW w:w="8105" w:type="dxa"/>
            <w:shd w:val="clear" w:color="auto" w:fill="FFFFFF"/>
            <w:tcMar>
              <w:top w:w="100" w:type="dxa"/>
              <w:left w:w="100" w:type="dxa"/>
              <w:bottom w:w="100" w:type="dxa"/>
              <w:right w:w="100" w:type="dxa"/>
            </w:tcMar>
          </w:tcPr>
          <w:p w14:paraId="7F04B6C6" w14:textId="77777777" w:rsidR="008973A8" w:rsidRPr="000317B6" w:rsidRDefault="00000000" w:rsidP="000317B6">
            <w:pPr>
              <w:pStyle w:val="T0-Table"/>
            </w:pPr>
            <w:r w:rsidRPr="000317B6">
              <w:t>Supply chain disruption at a strategically chosen moment; logistics paralysis affecting critical goods flows; physical asset damage imposing sustained economic cost</w:t>
            </w:r>
          </w:p>
        </w:tc>
      </w:tr>
      <w:tr w:rsidR="008973A8" w:rsidRPr="000317B6" w14:paraId="719E9835" w14:textId="77777777" w:rsidTr="000317B6">
        <w:trPr>
          <w:trHeight w:val="1070"/>
        </w:trPr>
        <w:tc>
          <w:tcPr>
            <w:tcW w:w="1890" w:type="dxa"/>
            <w:shd w:val="clear" w:color="auto" w:fill="D9E2F3"/>
            <w:tcMar>
              <w:top w:w="100" w:type="dxa"/>
              <w:left w:w="100" w:type="dxa"/>
              <w:bottom w:w="100" w:type="dxa"/>
              <w:right w:w="100" w:type="dxa"/>
            </w:tcMar>
          </w:tcPr>
          <w:p w14:paraId="4D4B162F" w14:textId="77777777" w:rsidR="008973A8" w:rsidRPr="000317B6" w:rsidRDefault="00000000" w:rsidP="000317B6">
            <w:pPr>
              <w:pStyle w:val="T0-Table"/>
            </w:pPr>
            <w:r w:rsidRPr="000317B6">
              <w:t>Physical Consequence Class</w:t>
            </w:r>
          </w:p>
        </w:tc>
        <w:tc>
          <w:tcPr>
            <w:tcW w:w="8105" w:type="dxa"/>
            <w:shd w:val="clear" w:color="auto" w:fill="D9E2F3"/>
            <w:tcMar>
              <w:top w:w="100" w:type="dxa"/>
              <w:left w:w="100" w:type="dxa"/>
              <w:bottom w:w="100" w:type="dxa"/>
              <w:right w:w="100" w:type="dxa"/>
            </w:tcMar>
          </w:tcPr>
          <w:p w14:paraId="549EF80B" w14:textId="77777777" w:rsidR="008973A8" w:rsidRPr="000317B6" w:rsidRDefault="00000000" w:rsidP="000317B6">
            <w:pPr>
              <w:pStyle w:val="T0-Table"/>
            </w:pPr>
            <w:r w:rsidRPr="000317B6">
              <w:t>Acute operational disruption during activation; sustained throughput degradation during the pre-activation phase; safety system engagement under adversarially induced physical conditions</w:t>
            </w:r>
          </w:p>
        </w:tc>
      </w:tr>
      <w:tr w:rsidR="008973A8" w:rsidRPr="000317B6" w14:paraId="32C7D3BE" w14:textId="77777777" w:rsidTr="000317B6">
        <w:trPr>
          <w:trHeight w:val="1340"/>
        </w:trPr>
        <w:tc>
          <w:tcPr>
            <w:tcW w:w="1890" w:type="dxa"/>
            <w:shd w:val="clear" w:color="auto" w:fill="FFFFFF"/>
            <w:tcMar>
              <w:top w:w="100" w:type="dxa"/>
              <w:left w:w="100" w:type="dxa"/>
              <w:bottom w:w="100" w:type="dxa"/>
              <w:right w:w="100" w:type="dxa"/>
            </w:tcMar>
          </w:tcPr>
          <w:p w14:paraId="6C421DC4" w14:textId="77777777" w:rsidR="008973A8" w:rsidRPr="000317B6" w:rsidRDefault="00000000" w:rsidP="000317B6">
            <w:pPr>
              <w:pStyle w:val="T0-Table"/>
            </w:pPr>
            <w:r w:rsidRPr="000317B6">
              <w:t>Deniability Mechanism</w:t>
            </w:r>
          </w:p>
        </w:tc>
        <w:tc>
          <w:tcPr>
            <w:tcW w:w="8105" w:type="dxa"/>
            <w:shd w:val="clear" w:color="auto" w:fill="FFFFFF"/>
            <w:tcMar>
              <w:top w:w="100" w:type="dxa"/>
              <w:left w:w="100" w:type="dxa"/>
              <w:bottom w:w="100" w:type="dxa"/>
              <w:right w:w="100" w:type="dxa"/>
            </w:tcMar>
          </w:tcPr>
          <w:p w14:paraId="3F7CD36D" w14:textId="77777777" w:rsidR="008973A8" w:rsidRPr="000317B6" w:rsidRDefault="00000000" w:rsidP="000317B6">
            <w:pPr>
              <w:pStyle w:val="T0-Table"/>
            </w:pPr>
            <w:r w:rsidRPr="000317B6">
              <w:t>Temporal deniability. Months may separate the Intelligence Layer compromise from the physical consequence. Authentication logs remain clean, network anomalies are absent, and the resulting disruption appears to be normal operational variance without reasoning-trace telemetry.</w:t>
            </w:r>
          </w:p>
        </w:tc>
      </w:tr>
      <w:tr w:rsidR="008973A8" w:rsidRPr="000317B6" w14:paraId="7B30A47C" w14:textId="77777777" w:rsidTr="000317B6">
        <w:trPr>
          <w:trHeight w:val="1340"/>
        </w:trPr>
        <w:tc>
          <w:tcPr>
            <w:tcW w:w="1890" w:type="dxa"/>
            <w:shd w:val="clear" w:color="auto" w:fill="D9E2F3"/>
            <w:tcMar>
              <w:top w:w="100" w:type="dxa"/>
              <w:left w:w="100" w:type="dxa"/>
              <w:bottom w:w="100" w:type="dxa"/>
              <w:right w:w="100" w:type="dxa"/>
            </w:tcMar>
          </w:tcPr>
          <w:p w14:paraId="3712DD04" w14:textId="77777777" w:rsidR="008973A8" w:rsidRPr="000317B6" w:rsidRDefault="00000000" w:rsidP="000317B6">
            <w:pPr>
              <w:pStyle w:val="T0-Table"/>
            </w:pPr>
            <w:r w:rsidRPr="000317B6">
              <w:lastRenderedPageBreak/>
              <w:t>Framework Mapping</w:t>
            </w:r>
          </w:p>
        </w:tc>
        <w:tc>
          <w:tcPr>
            <w:tcW w:w="8105" w:type="dxa"/>
            <w:shd w:val="clear" w:color="auto" w:fill="D9E2F3"/>
            <w:tcMar>
              <w:top w:w="100" w:type="dxa"/>
              <w:left w:w="100" w:type="dxa"/>
              <w:bottom w:w="100" w:type="dxa"/>
              <w:right w:w="100" w:type="dxa"/>
            </w:tcMar>
          </w:tcPr>
          <w:p w14:paraId="69B5B6BF" w14:textId="77777777" w:rsidR="008973A8" w:rsidRPr="000317B6" w:rsidRDefault="00000000" w:rsidP="000317B6">
            <w:pPr>
              <w:pStyle w:val="T0-Table"/>
            </w:pPr>
            <w:r w:rsidRPr="000317B6">
              <w:t>MITRE ATLAS AML.T0010 (AI Supply Chain Compromise); AML.T0080 (AI Agent Context Poisoning); MITRE ATT&amp;CK for ICS TA0106 (Impair Process Control) and TA0107 (Inhibit Response Function) as downstream effect tactics; OWASP Agentic ASI04 (Agentic Supply Chain Vulnerabilities).</w:t>
            </w:r>
          </w:p>
        </w:tc>
      </w:tr>
      <w:tr w:rsidR="008973A8" w:rsidRPr="000317B6" w14:paraId="58D9D37E" w14:textId="77777777" w:rsidTr="000317B6">
        <w:trPr>
          <w:trHeight w:val="1340"/>
        </w:trPr>
        <w:tc>
          <w:tcPr>
            <w:tcW w:w="1890" w:type="dxa"/>
            <w:shd w:val="clear" w:color="auto" w:fill="FFFFFF"/>
            <w:tcMar>
              <w:top w:w="100" w:type="dxa"/>
              <w:left w:w="100" w:type="dxa"/>
              <w:bottom w:w="100" w:type="dxa"/>
              <w:right w:w="100" w:type="dxa"/>
            </w:tcMar>
          </w:tcPr>
          <w:p w14:paraId="142326DB" w14:textId="77777777" w:rsidR="008973A8" w:rsidRPr="000317B6" w:rsidRDefault="00000000" w:rsidP="000317B6">
            <w:pPr>
              <w:pStyle w:val="T0-Table"/>
            </w:pPr>
            <w:r w:rsidRPr="000317B6">
              <w:t>Defender Hunt Point</w:t>
            </w:r>
          </w:p>
        </w:tc>
        <w:tc>
          <w:tcPr>
            <w:tcW w:w="8105" w:type="dxa"/>
            <w:shd w:val="clear" w:color="auto" w:fill="FFFFFF"/>
            <w:tcMar>
              <w:top w:w="100" w:type="dxa"/>
              <w:left w:w="100" w:type="dxa"/>
              <w:bottom w:w="100" w:type="dxa"/>
              <w:right w:w="100" w:type="dxa"/>
            </w:tcMar>
          </w:tcPr>
          <w:p w14:paraId="23965223" w14:textId="77777777" w:rsidR="008973A8" w:rsidRPr="000317B6" w:rsidRDefault="00000000" w:rsidP="000317B6">
            <w:pPr>
              <w:pStyle w:val="T0-Table"/>
            </w:pPr>
            <w:r w:rsidRPr="000317B6">
              <w:t xml:space="preserve">Monitor </w:t>
            </w:r>
            <w:proofErr w:type="spellStart"/>
            <w:r w:rsidRPr="000317B6">
              <w:t>divergence_score</w:t>
            </w:r>
            <w:proofErr w:type="spellEnd"/>
            <w:r w:rsidRPr="000317B6">
              <w:t xml:space="preserve"> gradients trending below alert thresholds across planning cycles; compare the context state referenced by </w:t>
            </w:r>
            <w:proofErr w:type="spellStart"/>
            <w:r w:rsidRPr="000317B6">
              <w:t>context_hash_before</w:t>
            </w:r>
            <w:proofErr w:type="spellEnd"/>
            <w:r w:rsidRPr="000317B6">
              <w:t xml:space="preserve"> against independently verified physical telemetry; verify model artifact hashes against the AI-BOM baseline at every update event.</w:t>
            </w:r>
          </w:p>
        </w:tc>
      </w:tr>
    </w:tbl>
    <w:p w14:paraId="37936D41" w14:textId="77777777" w:rsidR="008973A8" w:rsidRPr="000317B6" w:rsidRDefault="008973A8" w:rsidP="000317B6">
      <w:pPr>
        <w:pStyle w:val="P0-Paragraph"/>
      </w:pPr>
    </w:p>
    <w:p w14:paraId="2DD32058" w14:textId="77777777" w:rsidR="008973A8" w:rsidRPr="000317B6" w:rsidRDefault="00000000" w:rsidP="000317B6">
      <w:pPr>
        <w:pStyle w:val="HS-Heading2"/>
      </w:pPr>
      <w:r w:rsidRPr="000317B6">
        <w:t>Financially motivated attack progression</w:t>
      </w:r>
    </w:p>
    <w:p w14:paraId="178C9F9F" w14:textId="77777777" w:rsidR="008973A8" w:rsidRPr="000317B6" w:rsidRDefault="008973A8" w:rsidP="000317B6">
      <w:pPr>
        <w:pStyle w:val="P0-Paragraph"/>
      </w:pPr>
    </w:p>
    <w:tbl>
      <w:tblPr>
        <w:tblStyle w:val="ac"/>
        <w:tblW w:w="99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50"/>
        <w:gridCol w:w="8005"/>
      </w:tblGrid>
      <w:tr w:rsidR="008973A8" w:rsidRPr="000317B6" w14:paraId="19A8A912" w14:textId="77777777" w:rsidTr="000317B6">
        <w:trPr>
          <w:trHeight w:val="515"/>
        </w:trPr>
        <w:tc>
          <w:tcPr>
            <w:tcW w:w="1950" w:type="dxa"/>
            <w:shd w:val="clear" w:color="auto" w:fill="1F3864"/>
            <w:tcMar>
              <w:top w:w="100" w:type="dxa"/>
              <w:left w:w="100" w:type="dxa"/>
              <w:bottom w:w="100" w:type="dxa"/>
              <w:right w:w="100" w:type="dxa"/>
            </w:tcMar>
          </w:tcPr>
          <w:p w14:paraId="08D44D77" w14:textId="77777777" w:rsidR="008973A8" w:rsidRPr="000317B6" w:rsidRDefault="00000000" w:rsidP="000317B6">
            <w:pPr>
              <w:pStyle w:val="T0-Table"/>
            </w:pPr>
            <w:r w:rsidRPr="000317B6">
              <w:t>Chain Element</w:t>
            </w:r>
          </w:p>
        </w:tc>
        <w:tc>
          <w:tcPr>
            <w:tcW w:w="8005" w:type="dxa"/>
            <w:shd w:val="clear" w:color="auto" w:fill="1F3864"/>
            <w:tcMar>
              <w:top w:w="100" w:type="dxa"/>
              <w:left w:w="100" w:type="dxa"/>
              <w:bottom w:w="100" w:type="dxa"/>
              <w:right w:w="100" w:type="dxa"/>
            </w:tcMar>
          </w:tcPr>
          <w:p w14:paraId="53AC7245" w14:textId="77777777" w:rsidR="008973A8" w:rsidRPr="000317B6" w:rsidRDefault="00000000" w:rsidP="000317B6">
            <w:pPr>
              <w:pStyle w:val="T0-Table"/>
            </w:pPr>
            <w:r w:rsidRPr="000317B6">
              <w:t>Description</w:t>
            </w:r>
          </w:p>
        </w:tc>
      </w:tr>
      <w:tr w:rsidR="008973A8" w:rsidRPr="000317B6" w14:paraId="0C0CB89C" w14:textId="77777777" w:rsidTr="000317B6">
        <w:trPr>
          <w:trHeight w:val="515"/>
        </w:trPr>
        <w:tc>
          <w:tcPr>
            <w:tcW w:w="1950" w:type="dxa"/>
            <w:shd w:val="clear" w:color="auto" w:fill="FFFFFF"/>
            <w:tcMar>
              <w:top w:w="100" w:type="dxa"/>
              <w:left w:w="100" w:type="dxa"/>
              <w:bottom w:w="100" w:type="dxa"/>
              <w:right w:w="100" w:type="dxa"/>
            </w:tcMar>
          </w:tcPr>
          <w:p w14:paraId="766ACF82" w14:textId="77777777" w:rsidR="008973A8" w:rsidRPr="000317B6" w:rsidRDefault="00000000" w:rsidP="000317B6">
            <w:pPr>
              <w:pStyle w:val="T0-Table"/>
            </w:pPr>
            <w:r w:rsidRPr="000317B6">
              <w:t>Threat Actor</w:t>
            </w:r>
          </w:p>
        </w:tc>
        <w:tc>
          <w:tcPr>
            <w:tcW w:w="8005" w:type="dxa"/>
            <w:shd w:val="clear" w:color="auto" w:fill="FFFFFF"/>
            <w:tcMar>
              <w:top w:w="100" w:type="dxa"/>
              <w:left w:w="100" w:type="dxa"/>
              <w:bottom w:w="100" w:type="dxa"/>
              <w:right w:w="100" w:type="dxa"/>
            </w:tcMar>
          </w:tcPr>
          <w:p w14:paraId="7AA7A25D" w14:textId="77777777" w:rsidR="008973A8" w:rsidRPr="000317B6" w:rsidRDefault="00000000" w:rsidP="000317B6">
            <w:pPr>
              <w:pStyle w:val="T0-Table"/>
            </w:pPr>
            <w:r w:rsidRPr="000317B6">
              <w:t>Financially Motivated Adversary</w:t>
            </w:r>
          </w:p>
        </w:tc>
      </w:tr>
      <w:tr w:rsidR="008973A8" w:rsidRPr="000317B6" w14:paraId="58DF9064" w14:textId="77777777" w:rsidTr="000317B6">
        <w:trPr>
          <w:trHeight w:val="785"/>
        </w:trPr>
        <w:tc>
          <w:tcPr>
            <w:tcW w:w="1950" w:type="dxa"/>
            <w:shd w:val="clear" w:color="auto" w:fill="D9E2F3"/>
            <w:tcMar>
              <w:top w:w="100" w:type="dxa"/>
              <w:left w:w="100" w:type="dxa"/>
              <w:bottom w:w="100" w:type="dxa"/>
              <w:right w:w="100" w:type="dxa"/>
            </w:tcMar>
          </w:tcPr>
          <w:p w14:paraId="5F12DEA9" w14:textId="77777777" w:rsidR="008973A8" w:rsidRPr="000317B6" w:rsidRDefault="00000000" w:rsidP="000317B6">
            <w:pPr>
              <w:pStyle w:val="T0-Table"/>
            </w:pPr>
            <w:r w:rsidRPr="000317B6">
              <w:t>Entry Point</w:t>
            </w:r>
          </w:p>
        </w:tc>
        <w:tc>
          <w:tcPr>
            <w:tcW w:w="8005" w:type="dxa"/>
            <w:shd w:val="clear" w:color="auto" w:fill="D9E2F3"/>
            <w:tcMar>
              <w:top w:w="100" w:type="dxa"/>
              <w:left w:w="100" w:type="dxa"/>
              <w:bottom w:w="100" w:type="dxa"/>
              <w:right w:w="100" w:type="dxa"/>
            </w:tcMar>
          </w:tcPr>
          <w:p w14:paraId="71F4D6C1" w14:textId="77777777" w:rsidR="008973A8" w:rsidRPr="000317B6" w:rsidRDefault="00000000" w:rsidP="000317B6">
            <w:pPr>
              <w:pStyle w:val="T0-Table"/>
            </w:pPr>
            <w:r w:rsidRPr="000317B6">
              <w:t>Phishing or credential abuse targeting orchestration platform administrators; compromised logistics data feed partner</w:t>
            </w:r>
          </w:p>
        </w:tc>
      </w:tr>
      <w:tr w:rsidR="008973A8" w:rsidRPr="000317B6" w14:paraId="757FDAEA" w14:textId="77777777" w:rsidTr="000317B6">
        <w:trPr>
          <w:trHeight w:val="1070"/>
        </w:trPr>
        <w:tc>
          <w:tcPr>
            <w:tcW w:w="1950" w:type="dxa"/>
            <w:shd w:val="clear" w:color="auto" w:fill="FFFFFF"/>
            <w:tcMar>
              <w:top w:w="100" w:type="dxa"/>
              <w:left w:w="100" w:type="dxa"/>
              <w:bottom w:w="100" w:type="dxa"/>
              <w:right w:w="100" w:type="dxa"/>
            </w:tcMar>
          </w:tcPr>
          <w:p w14:paraId="13B323EC" w14:textId="77777777" w:rsidR="008973A8" w:rsidRPr="000317B6" w:rsidRDefault="00000000" w:rsidP="000317B6">
            <w:pPr>
              <w:pStyle w:val="T0-Table"/>
            </w:pPr>
            <w:r w:rsidRPr="000317B6">
              <w:t>Intelligence Layer Objective</w:t>
            </w:r>
          </w:p>
        </w:tc>
        <w:tc>
          <w:tcPr>
            <w:tcW w:w="8005" w:type="dxa"/>
            <w:shd w:val="clear" w:color="auto" w:fill="FFFFFF"/>
            <w:tcMar>
              <w:top w:w="100" w:type="dxa"/>
              <w:left w:w="100" w:type="dxa"/>
              <w:bottom w:w="100" w:type="dxa"/>
              <w:right w:w="100" w:type="dxa"/>
            </w:tcMar>
          </w:tcPr>
          <w:p w14:paraId="5A75D52C" w14:textId="77777777" w:rsidR="008973A8" w:rsidRPr="000317B6" w:rsidRDefault="00000000" w:rsidP="000317B6">
            <w:pPr>
              <w:pStyle w:val="T0-Table"/>
            </w:pPr>
            <w:r w:rsidRPr="000317B6">
              <w:t>Demand-signal or context manipulation to bias cargo-routing decisions for diversion revenue (fraud variant); the ransomware variant does not require Intelligence Layer manipulation and enters through orchestration or Connectivity Layer compromise.</w:t>
            </w:r>
          </w:p>
        </w:tc>
      </w:tr>
      <w:tr w:rsidR="008973A8" w:rsidRPr="000317B6" w14:paraId="0A81C75D" w14:textId="77777777" w:rsidTr="000317B6">
        <w:trPr>
          <w:trHeight w:val="1340"/>
        </w:trPr>
        <w:tc>
          <w:tcPr>
            <w:tcW w:w="1950" w:type="dxa"/>
            <w:shd w:val="clear" w:color="auto" w:fill="D9E2F3"/>
            <w:tcMar>
              <w:top w:w="100" w:type="dxa"/>
              <w:left w:w="100" w:type="dxa"/>
              <w:bottom w:w="100" w:type="dxa"/>
              <w:right w:w="100" w:type="dxa"/>
            </w:tcMar>
          </w:tcPr>
          <w:p w14:paraId="44FE2C5B" w14:textId="77777777" w:rsidR="008973A8" w:rsidRPr="000317B6" w:rsidRDefault="00000000" w:rsidP="000317B6">
            <w:pPr>
              <w:pStyle w:val="T0-Table"/>
            </w:pPr>
            <w:r w:rsidRPr="000317B6">
              <w:t>Connectivity Layer Method</w:t>
            </w:r>
          </w:p>
        </w:tc>
        <w:tc>
          <w:tcPr>
            <w:tcW w:w="8005" w:type="dxa"/>
            <w:shd w:val="clear" w:color="auto" w:fill="D9E2F3"/>
            <w:tcMar>
              <w:top w:w="100" w:type="dxa"/>
              <w:left w:w="100" w:type="dxa"/>
              <w:bottom w:w="100" w:type="dxa"/>
              <w:right w:w="100" w:type="dxa"/>
            </w:tcMar>
          </w:tcPr>
          <w:p w14:paraId="65F887E2" w14:textId="77777777" w:rsidR="008973A8" w:rsidRPr="000317B6" w:rsidRDefault="00000000" w:rsidP="000317B6">
            <w:pPr>
              <w:pStyle w:val="T0-Table"/>
            </w:pPr>
            <w:r w:rsidRPr="000317B6">
              <w:t>Ransomware deployment against agent orchestration or MCP infrastructure through phishing, credential abuse, or equivalent enterprise access, including encryption or disruption of the orchestration host or MCP service (ransomware variant); authenticated API manipulation routes cargo through adversary-controlled logistics nodes (fraud variant).</w:t>
            </w:r>
          </w:p>
        </w:tc>
      </w:tr>
      <w:tr w:rsidR="008973A8" w:rsidRPr="000317B6" w14:paraId="263BCE46" w14:textId="77777777" w:rsidTr="000317B6">
        <w:trPr>
          <w:trHeight w:val="1070"/>
        </w:trPr>
        <w:tc>
          <w:tcPr>
            <w:tcW w:w="1950" w:type="dxa"/>
            <w:shd w:val="clear" w:color="auto" w:fill="FFFFFF"/>
            <w:tcMar>
              <w:top w:w="100" w:type="dxa"/>
              <w:left w:w="100" w:type="dxa"/>
              <w:bottom w:w="100" w:type="dxa"/>
              <w:right w:w="100" w:type="dxa"/>
            </w:tcMar>
          </w:tcPr>
          <w:p w14:paraId="2FCA0198" w14:textId="77777777" w:rsidR="008973A8" w:rsidRPr="000317B6" w:rsidRDefault="00000000" w:rsidP="000317B6">
            <w:pPr>
              <w:pStyle w:val="T0-Table"/>
            </w:pPr>
            <w:r w:rsidRPr="000317B6">
              <w:t>Actuation Layer Target</w:t>
            </w:r>
          </w:p>
        </w:tc>
        <w:tc>
          <w:tcPr>
            <w:tcW w:w="8005" w:type="dxa"/>
            <w:shd w:val="clear" w:color="auto" w:fill="FFFFFF"/>
            <w:tcMar>
              <w:top w:w="100" w:type="dxa"/>
              <w:left w:w="100" w:type="dxa"/>
              <w:bottom w:w="100" w:type="dxa"/>
              <w:right w:w="100" w:type="dxa"/>
            </w:tcMar>
          </w:tcPr>
          <w:p w14:paraId="73ABF0A5" w14:textId="77777777" w:rsidR="008973A8" w:rsidRPr="000317B6" w:rsidRDefault="00000000" w:rsidP="000317B6">
            <w:pPr>
              <w:pStyle w:val="T0-Table"/>
            </w:pPr>
            <w:r w:rsidRPr="000317B6">
              <w:t>Operational paralysis causing robotic systems, AGV fleets, and conveyor systems to enter safe-state (ransomware variant); diversion of high-value cargo to adversary-controlled fulfillment nodes (fraud variant)</w:t>
            </w:r>
          </w:p>
        </w:tc>
      </w:tr>
      <w:tr w:rsidR="008973A8" w:rsidRPr="000317B6" w14:paraId="402694C9" w14:textId="77777777" w:rsidTr="000317B6">
        <w:trPr>
          <w:trHeight w:val="1070"/>
        </w:trPr>
        <w:tc>
          <w:tcPr>
            <w:tcW w:w="1950" w:type="dxa"/>
            <w:shd w:val="clear" w:color="auto" w:fill="D9E2F3"/>
            <w:tcMar>
              <w:top w:w="100" w:type="dxa"/>
              <w:left w:w="100" w:type="dxa"/>
              <w:bottom w:w="100" w:type="dxa"/>
              <w:right w:w="100" w:type="dxa"/>
            </w:tcMar>
          </w:tcPr>
          <w:p w14:paraId="5F650F4C" w14:textId="77777777" w:rsidR="008973A8" w:rsidRPr="000317B6" w:rsidRDefault="00000000" w:rsidP="000317B6">
            <w:pPr>
              <w:pStyle w:val="T0-Table"/>
            </w:pPr>
            <w:r w:rsidRPr="000317B6">
              <w:t>Physical Consequence Class</w:t>
            </w:r>
          </w:p>
        </w:tc>
        <w:tc>
          <w:tcPr>
            <w:tcW w:w="8005" w:type="dxa"/>
            <w:shd w:val="clear" w:color="auto" w:fill="D9E2F3"/>
            <w:tcMar>
              <w:top w:w="100" w:type="dxa"/>
              <w:left w:w="100" w:type="dxa"/>
              <w:bottom w:w="100" w:type="dxa"/>
              <w:right w:w="100" w:type="dxa"/>
            </w:tcMar>
          </w:tcPr>
          <w:p w14:paraId="4308B578" w14:textId="77777777" w:rsidR="008973A8" w:rsidRPr="000317B6" w:rsidRDefault="00000000" w:rsidP="000317B6">
            <w:pPr>
              <w:pStyle w:val="T0-Table"/>
            </w:pPr>
            <w:r w:rsidRPr="000317B6">
              <w:t>Acute operational halt with immediate economic impact (ransomware variant); sustained cargo diversion with delayed discovery (fraud variant)</w:t>
            </w:r>
          </w:p>
        </w:tc>
      </w:tr>
      <w:tr w:rsidR="008973A8" w:rsidRPr="000317B6" w14:paraId="2562FF4F" w14:textId="77777777" w:rsidTr="000317B6">
        <w:trPr>
          <w:trHeight w:val="900"/>
        </w:trPr>
        <w:tc>
          <w:tcPr>
            <w:tcW w:w="1950" w:type="dxa"/>
            <w:shd w:val="clear" w:color="auto" w:fill="FFFFFF"/>
            <w:tcMar>
              <w:top w:w="100" w:type="dxa"/>
              <w:left w:w="100" w:type="dxa"/>
              <w:bottom w:w="100" w:type="dxa"/>
              <w:right w:w="100" w:type="dxa"/>
            </w:tcMar>
          </w:tcPr>
          <w:p w14:paraId="2326B4D8" w14:textId="77777777" w:rsidR="008973A8" w:rsidRPr="000317B6" w:rsidRDefault="00000000" w:rsidP="000317B6">
            <w:pPr>
              <w:pStyle w:val="T0-Table"/>
            </w:pPr>
            <w:r w:rsidRPr="000317B6">
              <w:t>Deniability Mechanism</w:t>
            </w:r>
          </w:p>
        </w:tc>
        <w:tc>
          <w:tcPr>
            <w:tcW w:w="8005" w:type="dxa"/>
            <w:shd w:val="clear" w:color="auto" w:fill="FFFFFF"/>
            <w:tcMar>
              <w:top w:w="100" w:type="dxa"/>
              <w:left w:w="100" w:type="dxa"/>
              <w:bottom w:w="100" w:type="dxa"/>
              <w:right w:w="100" w:type="dxa"/>
            </w:tcMar>
          </w:tcPr>
          <w:p w14:paraId="1EF4836F" w14:textId="77777777" w:rsidR="008973A8" w:rsidRPr="000317B6" w:rsidRDefault="00000000" w:rsidP="000317B6">
            <w:pPr>
              <w:pStyle w:val="T0-Table"/>
            </w:pPr>
            <w:r w:rsidRPr="000317B6">
              <w:t>Speed and misattribution-based deniability. The ransomware variant executes before defenders can respond; the fraud variant relies on routing anomalies initially appearing to be ordinary operational issues rather than deliberate adversarial action.</w:t>
            </w:r>
          </w:p>
        </w:tc>
      </w:tr>
      <w:tr w:rsidR="008973A8" w:rsidRPr="000317B6" w14:paraId="51B465B0" w14:textId="77777777" w:rsidTr="000317B6">
        <w:trPr>
          <w:trHeight w:val="900"/>
        </w:trPr>
        <w:tc>
          <w:tcPr>
            <w:tcW w:w="1950" w:type="dxa"/>
            <w:shd w:val="clear" w:color="auto" w:fill="D9E2F3"/>
            <w:tcMar>
              <w:top w:w="100" w:type="dxa"/>
              <w:left w:w="100" w:type="dxa"/>
              <w:bottom w:w="100" w:type="dxa"/>
              <w:right w:w="100" w:type="dxa"/>
            </w:tcMar>
          </w:tcPr>
          <w:p w14:paraId="61E94633" w14:textId="77777777" w:rsidR="008973A8" w:rsidRPr="000317B6" w:rsidRDefault="00000000" w:rsidP="000317B6">
            <w:pPr>
              <w:pStyle w:val="T0-Table"/>
            </w:pPr>
            <w:r w:rsidRPr="000317B6">
              <w:lastRenderedPageBreak/>
              <w:t>Framework Mapping</w:t>
            </w:r>
          </w:p>
        </w:tc>
        <w:tc>
          <w:tcPr>
            <w:tcW w:w="8005" w:type="dxa"/>
            <w:shd w:val="clear" w:color="auto" w:fill="D9E2F3"/>
            <w:tcMar>
              <w:top w:w="100" w:type="dxa"/>
              <w:left w:w="100" w:type="dxa"/>
              <w:bottom w:w="100" w:type="dxa"/>
              <w:right w:w="100" w:type="dxa"/>
            </w:tcMar>
          </w:tcPr>
          <w:p w14:paraId="4D36FDD3" w14:textId="77777777" w:rsidR="008973A8" w:rsidRPr="000317B6" w:rsidRDefault="00000000" w:rsidP="000317B6">
            <w:pPr>
              <w:pStyle w:val="T0-Table"/>
            </w:pPr>
            <w:r w:rsidRPr="000317B6">
              <w:t>MITRE ATT&amp;CK Enterprise T1486 (Data Encrypted for Impact, ransomware variant); OWASP Agentic ASI01 (Agent Goal Hijack, fraud variant); ASI02 (Tool Misuse &amp; Exploitation).</w:t>
            </w:r>
          </w:p>
        </w:tc>
      </w:tr>
      <w:tr w:rsidR="008973A8" w:rsidRPr="000317B6" w14:paraId="56691E6A" w14:textId="77777777" w:rsidTr="000317B6">
        <w:trPr>
          <w:trHeight w:val="1070"/>
        </w:trPr>
        <w:tc>
          <w:tcPr>
            <w:tcW w:w="1950" w:type="dxa"/>
            <w:shd w:val="clear" w:color="auto" w:fill="FFFFFF"/>
            <w:tcMar>
              <w:top w:w="100" w:type="dxa"/>
              <w:left w:w="100" w:type="dxa"/>
              <w:bottom w:w="100" w:type="dxa"/>
              <w:right w:w="100" w:type="dxa"/>
            </w:tcMar>
          </w:tcPr>
          <w:p w14:paraId="10ADE935" w14:textId="77777777" w:rsidR="008973A8" w:rsidRPr="000317B6" w:rsidRDefault="00000000" w:rsidP="000317B6">
            <w:pPr>
              <w:pStyle w:val="T0-Table"/>
            </w:pPr>
            <w:r w:rsidRPr="000317B6">
              <w:t>Defender Hunt Point</w:t>
            </w:r>
          </w:p>
        </w:tc>
        <w:tc>
          <w:tcPr>
            <w:tcW w:w="8005" w:type="dxa"/>
            <w:shd w:val="clear" w:color="auto" w:fill="FFFFFF"/>
            <w:tcMar>
              <w:top w:w="100" w:type="dxa"/>
              <w:left w:w="100" w:type="dxa"/>
              <w:bottom w:w="100" w:type="dxa"/>
              <w:right w:w="100" w:type="dxa"/>
            </w:tcMar>
          </w:tcPr>
          <w:p w14:paraId="7AD848AD" w14:textId="77777777" w:rsidR="008973A8" w:rsidRPr="000317B6" w:rsidRDefault="00000000" w:rsidP="000317B6">
            <w:pPr>
              <w:pStyle w:val="T0-Table"/>
            </w:pPr>
            <w:r w:rsidRPr="000317B6">
              <w:t xml:space="preserve">For the ransomware variant, monitor orchestration or MCP service disruption, endpoint encryption activity, and anomalous tool or session behavior. For the fraud variant, monitor </w:t>
            </w:r>
            <w:proofErr w:type="spellStart"/>
            <w:r w:rsidRPr="000317B6">
              <w:t>divergence_score</w:t>
            </w:r>
            <w:proofErr w:type="spellEnd"/>
            <w:r w:rsidRPr="000317B6">
              <w:t xml:space="preserve"> deviation where reasoning is manipulated and identify cargo-routing distribution shifts from established operational baselines.</w:t>
            </w:r>
          </w:p>
        </w:tc>
      </w:tr>
    </w:tbl>
    <w:p w14:paraId="19C0B53B" w14:textId="77777777" w:rsidR="008973A8" w:rsidRPr="000317B6" w:rsidRDefault="008973A8" w:rsidP="000317B6">
      <w:pPr>
        <w:pStyle w:val="P0-Paragraph"/>
      </w:pPr>
    </w:p>
    <w:p w14:paraId="10F5616B" w14:textId="77777777" w:rsidR="008973A8" w:rsidRPr="000317B6" w:rsidRDefault="00000000" w:rsidP="000317B6">
      <w:pPr>
        <w:pStyle w:val="HS-Heading3"/>
      </w:pPr>
      <w:r w:rsidRPr="000317B6">
        <w:t>Insider threat attack progression</w:t>
      </w:r>
    </w:p>
    <w:p w14:paraId="30A6F633" w14:textId="77777777" w:rsidR="008973A8" w:rsidRPr="000317B6" w:rsidRDefault="008973A8" w:rsidP="000317B6">
      <w:pPr>
        <w:pStyle w:val="P0-Paragraph"/>
      </w:pPr>
    </w:p>
    <w:tbl>
      <w:tblPr>
        <w:tblStyle w:val="ad"/>
        <w:tblW w:w="99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05"/>
        <w:gridCol w:w="8070"/>
      </w:tblGrid>
      <w:tr w:rsidR="008973A8" w:rsidRPr="000317B6" w14:paraId="621379D2" w14:textId="77777777" w:rsidTr="000317B6">
        <w:trPr>
          <w:trHeight w:val="515"/>
        </w:trPr>
        <w:tc>
          <w:tcPr>
            <w:tcW w:w="1905" w:type="dxa"/>
            <w:shd w:val="clear" w:color="auto" w:fill="1F3864"/>
            <w:tcMar>
              <w:top w:w="100" w:type="dxa"/>
              <w:left w:w="100" w:type="dxa"/>
              <w:bottom w:w="100" w:type="dxa"/>
              <w:right w:w="100" w:type="dxa"/>
            </w:tcMar>
          </w:tcPr>
          <w:p w14:paraId="103FE270" w14:textId="77777777" w:rsidR="008973A8" w:rsidRPr="000317B6" w:rsidRDefault="00000000" w:rsidP="000317B6">
            <w:pPr>
              <w:pStyle w:val="T0-Table"/>
            </w:pPr>
            <w:r w:rsidRPr="000317B6">
              <w:t>Chain Element</w:t>
            </w:r>
          </w:p>
        </w:tc>
        <w:tc>
          <w:tcPr>
            <w:tcW w:w="8070" w:type="dxa"/>
            <w:shd w:val="clear" w:color="auto" w:fill="1F3864"/>
            <w:tcMar>
              <w:top w:w="100" w:type="dxa"/>
              <w:left w:w="100" w:type="dxa"/>
              <w:bottom w:w="100" w:type="dxa"/>
              <w:right w:w="100" w:type="dxa"/>
            </w:tcMar>
          </w:tcPr>
          <w:p w14:paraId="7DDEA957" w14:textId="77777777" w:rsidR="008973A8" w:rsidRPr="000317B6" w:rsidRDefault="00000000" w:rsidP="000317B6">
            <w:pPr>
              <w:pStyle w:val="T0-Table"/>
            </w:pPr>
            <w:r w:rsidRPr="000317B6">
              <w:t>Description</w:t>
            </w:r>
          </w:p>
        </w:tc>
      </w:tr>
      <w:tr w:rsidR="008973A8" w:rsidRPr="000317B6" w14:paraId="391BFF3B" w14:textId="77777777" w:rsidTr="000317B6">
        <w:trPr>
          <w:trHeight w:val="515"/>
        </w:trPr>
        <w:tc>
          <w:tcPr>
            <w:tcW w:w="1905" w:type="dxa"/>
            <w:shd w:val="clear" w:color="auto" w:fill="FFFFFF"/>
            <w:tcMar>
              <w:top w:w="100" w:type="dxa"/>
              <w:left w:w="100" w:type="dxa"/>
              <w:bottom w:w="100" w:type="dxa"/>
              <w:right w:w="100" w:type="dxa"/>
            </w:tcMar>
          </w:tcPr>
          <w:p w14:paraId="20355A03" w14:textId="77777777" w:rsidR="008973A8" w:rsidRPr="000317B6" w:rsidRDefault="00000000" w:rsidP="000317B6">
            <w:pPr>
              <w:pStyle w:val="T0-Table"/>
            </w:pPr>
            <w:r w:rsidRPr="000317B6">
              <w:t>Threat Actor</w:t>
            </w:r>
          </w:p>
        </w:tc>
        <w:tc>
          <w:tcPr>
            <w:tcW w:w="8070" w:type="dxa"/>
            <w:shd w:val="clear" w:color="auto" w:fill="FFFFFF"/>
            <w:tcMar>
              <w:top w:w="100" w:type="dxa"/>
              <w:left w:w="100" w:type="dxa"/>
              <w:bottom w:w="100" w:type="dxa"/>
              <w:right w:w="100" w:type="dxa"/>
            </w:tcMar>
          </w:tcPr>
          <w:p w14:paraId="39CAEE12" w14:textId="77777777" w:rsidR="008973A8" w:rsidRPr="000317B6" w:rsidRDefault="00000000" w:rsidP="000317B6">
            <w:pPr>
              <w:pStyle w:val="T0-Table"/>
            </w:pPr>
            <w:r w:rsidRPr="000317B6">
              <w:t>Insider Threat</w:t>
            </w:r>
          </w:p>
        </w:tc>
      </w:tr>
      <w:tr w:rsidR="008973A8" w:rsidRPr="000317B6" w14:paraId="4D02E6FB" w14:textId="77777777" w:rsidTr="000317B6">
        <w:trPr>
          <w:trHeight w:val="785"/>
        </w:trPr>
        <w:tc>
          <w:tcPr>
            <w:tcW w:w="1905" w:type="dxa"/>
            <w:shd w:val="clear" w:color="auto" w:fill="D9E2F3"/>
            <w:tcMar>
              <w:top w:w="100" w:type="dxa"/>
              <w:left w:w="100" w:type="dxa"/>
              <w:bottom w:w="100" w:type="dxa"/>
              <w:right w:w="100" w:type="dxa"/>
            </w:tcMar>
          </w:tcPr>
          <w:p w14:paraId="021B5A59" w14:textId="77777777" w:rsidR="008973A8" w:rsidRPr="000317B6" w:rsidRDefault="00000000" w:rsidP="000317B6">
            <w:pPr>
              <w:pStyle w:val="T0-Table"/>
            </w:pPr>
            <w:r w:rsidRPr="000317B6">
              <w:t>Entry Point</w:t>
            </w:r>
          </w:p>
        </w:tc>
        <w:tc>
          <w:tcPr>
            <w:tcW w:w="8070" w:type="dxa"/>
            <w:shd w:val="clear" w:color="auto" w:fill="D9E2F3"/>
            <w:tcMar>
              <w:top w:w="100" w:type="dxa"/>
              <w:left w:w="100" w:type="dxa"/>
              <w:bottom w:w="100" w:type="dxa"/>
              <w:right w:w="100" w:type="dxa"/>
            </w:tcMar>
          </w:tcPr>
          <w:p w14:paraId="6E65A8A0" w14:textId="77777777" w:rsidR="008973A8" w:rsidRPr="000317B6" w:rsidRDefault="00000000" w:rsidP="000317B6">
            <w:pPr>
              <w:pStyle w:val="T0-Table"/>
            </w:pPr>
            <w:r w:rsidRPr="000317B6">
              <w:t>Authorized model configuration interface, fine-tuning pipeline, or MCP tool registration interface</w:t>
            </w:r>
          </w:p>
        </w:tc>
      </w:tr>
      <w:tr w:rsidR="008973A8" w:rsidRPr="000317B6" w14:paraId="0532F38F" w14:textId="77777777" w:rsidTr="000317B6">
        <w:trPr>
          <w:trHeight w:val="1340"/>
        </w:trPr>
        <w:tc>
          <w:tcPr>
            <w:tcW w:w="1905" w:type="dxa"/>
            <w:shd w:val="clear" w:color="auto" w:fill="FFFFFF"/>
            <w:tcMar>
              <w:top w:w="100" w:type="dxa"/>
              <w:left w:w="100" w:type="dxa"/>
              <w:bottom w:w="100" w:type="dxa"/>
              <w:right w:w="100" w:type="dxa"/>
            </w:tcMar>
          </w:tcPr>
          <w:p w14:paraId="03640879" w14:textId="77777777" w:rsidR="008973A8" w:rsidRPr="000317B6" w:rsidRDefault="00000000" w:rsidP="000317B6">
            <w:pPr>
              <w:pStyle w:val="T0-Table"/>
            </w:pPr>
            <w:r w:rsidRPr="000317B6">
              <w:t>Intelligence Layer Objective</w:t>
            </w:r>
          </w:p>
        </w:tc>
        <w:tc>
          <w:tcPr>
            <w:tcW w:w="8070" w:type="dxa"/>
            <w:shd w:val="clear" w:color="auto" w:fill="FFFFFF"/>
            <w:tcMar>
              <w:top w:w="100" w:type="dxa"/>
              <w:left w:w="100" w:type="dxa"/>
              <w:bottom w:w="100" w:type="dxa"/>
              <w:right w:w="100" w:type="dxa"/>
            </w:tcMar>
          </w:tcPr>
          <w:p w14:paraId="2FA5C2E7" w14:textId="77777777" w:rsidR="008973A8" w:rsidRPr="000317B6" w:rsidRDefault="00000000" w:rsidP="000317B6">
            <w:pPr>
              <w:pStyle w:val="T0-Table"/>
            </w:pPr>
            <w:r w:rsidRPr="000317B6">
              <w:t>Modify the system prompt to shift agent objectives; poison training data through the authorized fine-tuning pipeline to introduce trigger-conditional behavioral changes; directly modify model weights; register unauthorized MCP tools to expand agent authority beyond intended scope</w:t>
            </w:r>
          </w:p>
        </w:tc>
      </w:tr>
      <w:tr w:rsidR="008973A8" w:rsidRPr="000317B6" w14:paraId="67190941" w14:textId="77777777" w:rsidTr="000317B6">
        <w:trPr>
          <w:trHeight w:val="1070"/>
        </w:trPr>
        <w:tc>
          <w:tcPr>
            <w:tcW w:w="1905" w:type="dxa"/>
            <w:shd w:val="clear" w:color="auto" w:fill="D9E2F3"/>
            <w:tcMar>
              <w:top w:w="100" w:type="dxa"/>
              <w:left w:w="100" w:type="dxa"/>
              <w:bottom w:w="100" w:type="dxa"/>
              <w:right w:w="100" w:type="dxa"/>
            </w:tcMar>
          </w:tcPr>
          <w:p w14:paraId="0EB66E0C" w14:textId="77777777" w:rsidR="008973A8" w:rsidRPr="000317B6" w:rsidRDefault="00000000" w:rsidP="000317B6">
            <w:pPr>
              <w:pStyle w:val="T0-Table"/>
            </w:pPr>
            <w:r w:rsidRPr="000317B6">
              <w:t>Connectivity Layer Method</w:t>
            </w:r>
          </w:p>
        </w:tc>
        <w:tc>
          <w:tcPr>
            <w:tcW w:w="8070" w:type="dxa"/>
            <w:shd w:val="clear" w:color="auto" w:fill="D9E2F3"/>
            <w:tcMar>
              <w:top w:w="100" w:type="dxa"/>
              <w:left w:w="100" w:type="dxa"/>
              <w:bottom w:w="100" w:type="dxa"/>
              <w:right w:w="100" w:type="dxa"/>
            </w:tcMar>
          </w:tcPr>
          <w:p w14:paraId="07A88593" w14:textId="77777777" w:rsidR="008973A8" w:rsidRPr="000317B6" w:rsidRDefault="00000000" w:rsidP="000317B6">
            <w:pPr>
              <w:pStyle w:val="T0-Table"/>
            </w:pPr>
            <w:r w:rsidRPr="000317B6">
              <w:t xml:space="preserve">Human Authority Layer override bypassing security policy enforcement; administrative suppression of </w:t>
            </w:r>
            <w:proofErr w:type="spellStart"/>
            <w:r w:rsidRPr="000317B6">
              <w:t>divergence_score</w:t>
            </w:r>
            <w:proofErr w:type="spellEnd"/>
            <w:r w:rsidRPr="000317B6">
              <w:t xml:space="preserve"> alerts; authorized MCP scope modification extending agent tool authority</w:t>
            </w:r>
          </w:p>
        </w:tc>
      </w:tr>
      <w:tr w:rsidR="008973A8" w:rsidRPr="000317B6" w14:paraId="4DF647E6" w14:textId="77777777" w:rsidTr="000317B6">
        <w:trPr>
          <w:trHeight w:val="1340"/>
        </w:trPr>
        <w:tc>
          <w:tcPr>
            <w:tcW w:w="1905" w:type="dxa"/>
            <w:shd w:val="clear" w:color="auto" w:fill="FFFFFF"/>
            <w:tcMar>
              <w:top w:w="100" w:type="dxa"/>
              <w:left w:w="100" w:type="dxa"/>
              <w:bottom w:w="100" w:type="dxa"/>
              <w:right w:w="100" w:type="dxa"/>
            </w:tcMar>
          </w:tcPr>
          <w:p w14:paraId="4684ECF0" w14:textId="77777777" w:rsidR="008973A8" w:rsidRPr="000317B6" w:rsidRDefault="00000000" w:rsidP="000317B6">
            <w:pPr>
              <w:pStyle w:val="T0-Table"/>
            </w:pPr>
            <w:r w:rsidRPr="000317B6">
              <w:t>Actuation Layer Target</w:t>
            </w:r>
          </w:p>
        </w:tc>
        <w:tc>
          <w:tcPr>
            <w:tcW w:w="8070" w:type="dxa"/>
            <w:shd w:val="clear" w:color="auto" w:fill="FFFFFF"/>
            <w:tcMar>
              <w:top w:w="100" w:type="dxa"/>
              <w:left w:w="100" w:type="dxa"/>
              <w:bottom w:w="100" w:type="dxa"/>
              <w:right w:w="100" w:type="dxa"/>
            </w:tcMar>
          </w:tcPr>
          <w:p w14:paraId="7482835C" w14:textId="77777777" w:rsidR="008973A8" w:rsidRPr="000317B6" w:rsidRDefault="00000000" w:rsidP="000317B6">
            <w:pPr>
              <w:pStyle w:val="T0-Table"/>
            </w:pPr>
            <w:r w:rsidRPr="000317B6">
              <w:t>Targeted physical sabotage of specific assets or shipments (sabotage variant); sustained operational degradation for personal financial benefit (degradation variant); competitor intelligence collection through routing data manipulation (intelligence variant)</w:t>
            </w:r>
          </w:p>
        </w:tc>
      </w:tr>
      <w:tr w:rsidR="008973A8" w:rsidRPr="000317B6" w14:paraId="294125B4" w14:textId="77777777" w:rsidTr="000317B6">
        <w:trPr>
          <w:trHeight w:val="1070"/>
        </w:trPr>
        <w:tc>
          <w:tcPr>
            <w:tcW w:w="1905" w:type="dxa"/>
            <w:shd w:val="clear" w:color="auto" w:fill="D9E2F3"/>
            <w:tcMar>
              <w:top w:w="100" w:type="dxa"/>
              <w:left w:w="100" w:type="dxa"/>
              <w:bottom w:w="100" w:type="dxa"/>
              <w:right w:w="100" w:type="dxa"/>
            </w:tcMar>
          </w:tcPr>
          <w:p w14:paraId="7C31168C" w14:textId="77777777" w:rsidR="008973A8" w:rsidRPr="000317B6" w:rsidRDefault="00000000" w:rsidP="000317B6">
            <w:pPr>
              <w:pStyle w:val="T0-Table"/>
            </w:pPr>
            <w:r w:rsidRPr="000317B6">
              <w:t>Physical Consequence Class</w:t>
            </w:r>
          </w:p>
        </w:tc>
        <w:tc>
          <w:tcPr>
            <w:tcW w:w="8070" w:type="dxa"/>
            <w:shd w:val="clear" w:color="auto" w:fill="D9E2F3"/>
            <w:tcMar>
              <w:top w:w="100" w:type="dxa"/>
              <w:left w:w="100" w:type="dxa"/>
              <w:bottom w:w="100" w:type="dxa"/>
              <w:right w:w="100" w:type="dxa"/>
            </w:tcMar>
          </w:tcPr>
          <w:p w14:paraId="023AEA74" w14:textId="77777777" w:rsidR="008973A8" w:rsidRPr="000317B6" w:rsidRDefault="00000000" w:rsidP="000317B6">
            <w:pPr>
              <w:pStyle w:val="T0-Table"/>
            </w:pPr>
            <w:r w:rsidRPr="000317B6">
              <w:t>Physical asset damage (sabotage variant); economic loss through sub-threshold throughput reduction (degradation variant); data exfiltration without physical consequences (intelligence variant)</w:t>
            </w:r>
          </w:p>
        </w:tc>
      </w:tr>
      <w:tr w:rsidR="008973A8" w:rsidRPr="000317B6" w14:paraId="4D9D801A" w14:textId="77777777" w:rsidTr="000317B6">
        <w:trPr>
          <w:trHeight w:val="1070"/>
        </w:trPr>
        <w:tc>
          <w:tcPr>
            <w:tcW w:w="1905" w:type="dxa"/>
            <w:shd w:val="clear" w:color="auto" w:fill="FFFFFF"/>
            <w:tcMar>
              <w:top w:w="100" w:type="dxa"/>
              <w:left w:w="100" w:type="dxa"/>
              <w:bottom w:w="100" w:type="dxa"/>
              <w:right w:w="100" w:type="dxa"/>
            </w:tcMar>
          </w:tcPr>
          <w:p w14:paraId="435041C2" w14:textId="77777777" w:rsidR="008973A8" w:rsidRPr="000317B6" w:rsidRDefault="00000000" w:rsidP="000317B6">
            <w:pPr>
              <w:pStyle w:val="T0-Table"/>
            </w:pPr>
            <w:r w:rsidRPr="000317B6">
              <w:t>Deniability Mechanism</w:t>
            </w:r>
          </w:p>
        </w:tc>
        <w:tc>
          <w:tcPr>
            <w:tcW w:w="8070" w:type="dxa"/>
            <w:shd w:val="clear" w:color="auto" w:fill="FFFFFF"/>
            <w:tcMar>
              <w:top w:w="100" w:type="dxa"/>
              <w:left w:w="100" w:type="dxa"/>
              <w:bottom w:w="100" w:type="dxa"/>
              <w:right w:w="100" w:type="dxa"/>
            </w:tcMar>
          </w:tcPr>
          <w:p w14:paraId="78F7985F" w14:textId="77777777" w:rsidR="008973A8" w:rsidRPr="000317B6" w:rsidRDefault="00000000" w:rsidP="000317B6">
            <w:pPr>
              <w:pStyle w:val="T0-Table"/>
            </w:pPr>
            <w:r w:rsidRPr="000317B6">
              <w:t>Access legitimacy. Authentication appears normal, no network intrusion indicators exist, and authorized update workflows generate audit records indistinguishable from legitimate model maintenance activities.</w:t>
            </w:r>
          </w:p>
        </w:tc>
      </w:tr>
      <w:tr w:rsidR="008973A8" w:rsidRPr="000317B6" w14:paraId="07DA83E4" w14:textId="77777777" w:rsidTr="000317B6">
        <w:trPr>
          <w:trHeight w:val="1070"/>
        </w:trPr>
        <w:tc>
          <w:tcPr>
            <w:tcW w:w="1905" w:type="dxa"/>
            <w:shd w:val="clear" w:color="auto" w:fill="D9E2F3"/>
            <w:tcMar>
              <w:top w:w="100" w:type="dxa"/>
              <w:left w:w="100" w:type="dxa"/>
              <w:bottom w:w="100" w:type="dxa"/>
              <w:right w:w="100" w:type="dxa"/>
            </w:tcMar>
          </w:tcPr>
          <w:p w14:paraId="2E484E92" w14:textId="77777777" w:rsidR="008973A8" w:rsidRPr="000317B6" w:rsidRDefault="00000000" w:rsidP="000317B6">
            <w:pPr>
              <w:pStyle w:val="T0-Table"/>
            </w:pPr>
            <w:r w:rsidRPr="000317B6">
              <w:lastRenderedPageBreak/>
              <w:t>Framework Mapping</w:t>
            </w:r>
          </w:p>
        </w:tc>
        <w:tc>
          <w:tcPr>
            <w:tcW w:w="8070" w:type="dxa"/>
            <w:shd w:val="clear" w:color="auto" w:fill="D9E2F3"/>
            <w:tcMar>
              <w:top w:w="100" w:type="dxa"/>
              <w:left w:w="100" w:type="dxa"/>
              <w:bottom w:w="100" w:type="dxa"/>
              <w:right w:w="100" w:type="dxa"/>
            </w:tcMar>
          </w:tcPr>
          <w:p w14:paraId="26FB0AD0" w14:textId="77777777" w:rsidR="008973A8" w:rsidRPr="000317B6" w:rsidRDefault="00000000" w:rsidP="000317B6">
            <w:pPr>
              <w:pStyle w:val="T0-Table"/>
            </w:pPr>
            <w:r w:rsidRPr="000317B6">
              <w:t>MITRE ATLAS AML.T0081 (Modify AI Agent Configuration); OWASP Agentic ASI03 (Identity &amp; Privilege Abuse); ASI02 (Tool Misuse &amp; Exploitation).</w:t>
            </w:r>
          </w:p>
        </w:tc>
      </w:tr>
      <w:tr w:rsidR="008973A8" w:rsidRPr="000317B6" w14:paraId="02D37881" w14:textId="77777777" w:rsidTr="000317B6">
        <w:trPr>
          <w:trHeight w:val="1340"/>
        </w:trPr>
        <w:tc>
          <w:tcPr>
            <w:tcW w:w="1905" w:type="dxa"/>
            <w:shd w:val="clear" w:color="auto" w:fill="FFFFFF"/>
            <w:tcMar>
              <w:top w:w="100" w:type="dxa"/>
              <w:left w:w="100" w:type="dxa"/>
              <w:bottom w:w="100" w:type="dxa"/>
              <w:right w:w="100" w:type="dxa"/>
            </w:tcMar>
          </w:tcPr>
          <w:p w14:paraId="65026963" w14:textId="77777777" w:rsidR="008973A8" w:rsidRPr="000317B6" w:rsidRDefault="00000000" w:rsidP="000317B6">
            <w:pPr>
              <w:pStyle w:val="T0-Table"/>
            </w:pPr>
            <w:r w:rsidRPr="000317B6">
              <w:t>Defender Hunt Point</w:t>
            </w:r>
          </w:p>
        </w:tc>
        <w:tc>
          <w:tcPr>
            <w:tcW w:w="8070" w:type="dxa"/>
            <w:shd w:val="clear" w:color="auto" w:fill="FFFFFF"/>
            <w:tcMar>
              <w:top w:w="100" w:type="dxa"/>
              <w:left w:w="100" w:type="dxa"/>
              <w:bottom w:w="100" w:type="dxa"/>
              <w:right w:w="100" w:type="dxa"/>
            </w:tcMar>
          </w:tcPr>
          <w:p w14:paraId="2891F793" w14:textId="77777777" w:rsidR="008973A8" w:rsidRPr="000317B6" w:rsidRDefault="00000000" w:rsidP="000317B6">
            <w:pPr>
              <w:pStyle w:val="T0-Table"/>
            </w:pPr>
            <w:r w:rsidRPr="000317B6">
              <w:t>Compare model behavioral baselines before and after every authorized update; enforce cryptographic integrity verification for system prompt version control; audit every MCP tool registration, modification, and scope change performed by authorized personnel.</w:t>
            </w:r>
          </w:p>
        </w:tc>
      </w:tr>
    </w:tbl>
    <w:p w14:paraId="05C2A5E3" w14:textId="77777777" w:rsidR="008973A8" w:rsidRPr="000317B6" w:rsidRDefault="00000000" w:rsidP="000317B6">
      <w:pPr>
        <w:pStyle w:val="HS-Heading3"/>
      </w:pPr>
      <w:r w:rsidRPr="000317B6">
        <w:t>Supply chain / third-party attack progression</w:t>
      </w:r>
    </w:p>
    <w:p w14:paraId="1762B1B6" w14:textId="77777777" w:rsidR="008973A8" w:rsidRPr="000317B6" w:rsidRDefault="008973A8" w:rsidP="000317B6">
      <w:pPr>
        <w:pStyle w:val="P0-Paragraph"/>
      </w:pPr>
    </w:p>
    <w:tbl>
      <w:tblPr>
        <w:tblStyle w:val="ae"/>
        <w:tblW w:w="10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0"/>
        <w:gridCol w:w="8265"/>
      </w:tblGrid>
      <w:tr w:rsidR="008973A8" w:rsidRPr="000317B6" w14:paraId="1C43032D" w14:textId="77777777" w:rsidTr="000317B6">
        <w:trPr>
          <w:trHeight w:val="515"/>
        </w:trPr>
        <w:tc>
          <w:tcPr>
            <w:tcW w:w="1830" w:type="dxa"/>
            <w:shd w:val="clear" w:color="auto" w:fill="1F3864"/>
            <w:tcMar>
              <w:top w:w="100" w:type="dxa"/>
              <w:left w:w="100" w:type="dxa"/>
              <w:bottom w:w="100" w:type="dxa"/>
              <w:right w:w="100" w:type="dxa"/>
            </w:tcMar>
          </w:tcPr>
          <w:p w14:paraId="40485F16" w14:textId="77777777" w:rsidR="008973A8" w:rsidRPr="000317B6" w:rsidRDefault="00000000" w:rsidP="000317B6">
            <w:pPr>
              <w:pStyle w:val="T0-Table"/>
            </w:pPr>
            <w:r w:rsidRPr="000317B6">
              <w:t>Chain Element</w:t>
            </w:r>
          </w:p>
        </w:tc>
        <w:tc>
          <w:tcPr>
            <w:tcW w:w="8265" w:type="dxa"/>
            <w:shd w:val="clear" w:color="auto" w:fill="1F3864"/>
            <w:tcMar>
              <w:top w:w="100" w:type="dxa"/>
              <w:left w:w="100" w:type="dxa"/>
              <w:bottom w:w="100" w:type="dxa"/>
              <w:right w:w="100" w:type="dxa"/>
            </w:tcMar>
          </w:tcPr>
          <w:p w14:paraId="3374A0A1" w14:textId="77777777" w:rsidR="008973A8" w:rsidRPr="000317B6" w:rsidRDefault="00000000" w:rsidP="000317B6">
            <w:pPr>
              <w:pStyle w:val="T0-Table"/>
            </w:pPr>
            <w:r w:rsidRPr="000317B6">
              <w:t>Description</w:t>
            </w:r>
          </w:p>
        </w:tc>
      </w:tr>
      <w:tr w:rsidR="008973A8" w:rsidRPr="000317B6" w14:paraId="782D9095" w14:textId="77777777" w:rsidTr="000317B6">
        <w:trPr>
          <w:trHeight w:val="515"/>
        </w:trPr>
        <w:tc>
          <w:tcPr>
            <w:tcW w:w="1830" w:type="dxa"/>
            <w:shd w:val="clear" w:color="auto" w:fill="FFFFFF"/>
            <w:tcMar>
              <w:top w:w="100" w:type="dxa"/>
              <w:left w:w="100" w:type="dxa"/>
              <w:bottom w:w="100" w:type="dxa"/>
              <w:right w:w="100" w:type="dxa"/>
            </w:tcMar>
          </w:tcPr>
          <w:p w14:paraId="51DDA226" w14:textId="77777777" w:rsidR="008973A8" w:rsidRPr="000317B6" w:rsidRDefault="00000000" w:rsidP="000317B6">
            <w:pPr>
              <w:pStyle w:val="T0-Table"/>
            </w:pPr>
            <w:r w:rsidRPr="000317B6">
              <w:t>Threat Actor</w:t>
            </w:r>
          </w:p>
        </w:tc>
        <w:tc>
          <w:tcPr>
            <w:tcW w:w="8265" w:type="dxa"/>
            <w:shd w:val="clear" w:color="auto" w:fill="FFFFFF"/>
            <w:tcMar>
              <w:top w:w="100" w:type="dxa"/>
              <w:left w:w="100" w:type="dxa"/>
              <w:bottom w:w="100" w:type="dxa"/>
              <w:right w:w="100" w:type="dxa"/>
            </w:tcMar>
          </w:tcPr>
          <w:p w14:paraId="3EA26C9D" w14:textId="77777777" w:rsidR="008973A8" w:rsidRPr="000317B6" w:rsidRDefault="00000000" w:rsidP="000317B6">
            <w:pPr>
              <w:pStyle w:val="T0-Table"/>
            </w:pPr>
            <w:r w:rsidRPr="000317B6">
              <w:t>Supply Chain / Third-Party Adversary</w:t>
            </w:r>
          </w:p>
        </w:tc>
      </w:tr>
      <w:tr w:rsidR="008973A8" w:rsidRPr="000317B6" w14:paraId="0162AA78" w14:textId="77777777" w:rsidTr="000317B6">
        <w:trPr>
          <w:trHeight w:val="1070"/>
        </w:trPr>
        <w:tc>
          <w:tcPr>
            <w:tcW w:w="1830" w:type="dxa"/>
            <w:shd w:val="clear" w:color="auto" w:fill="D9E2F3"/>
            <w:tcMar>
              <w:top w:w="100" w:type="dxa"/>
              <w:left w:w="100" w:type="dxa"/>
              <w:bottom w:w="100" w:type="dxa"/>
              <w:right w:w="100" w:type="dxa"/>
            </w:tcMar>
          </w:tcPr>
          <w:p w14:paraId="0710A443" w14:textId="77777777" w:rsidR="008973A8" w:rsidRPr="000317B6" w:rsidRDefault="00000000" w:rsidP="000317B6">
            <w:pPr>
              <w:pStyle w:val="T0-Table"/>
            </w:pPr>
            <w:r w:rsidRPr="000317B6">
              <w:t>Entry Point</w:t>
            </w:r>
          </w:p>
        </w:tc>
        <w:tc>
          <w:tcPr>
            <w:tcW w:w="8265" w:type="dxa"/>
            <w:shd w:val="clear" w:color="auto" w:fill="D9E2F3"/>
            <w:tcMar>
              <w:top w:w="100" w:type="dxa"/>
              <w:left w:w="100" w:type="dxa"/>
              <w:bottom w:w="100" w:type="dxa"/>
              <w:right w:w="100" w:type="dxa"/>
            </w:tcMar>
          </w:tcPr>
          <w:p w14:paraId="247A42D5" w14:textId="77777777" w:rsidR="008973A8" w:rsidRPr="000317B6" w:rsidRDefault="00000000" w:rsidP="000317B6">
            <w:pPr>
              <w:pStyle w:val="T0-Table"/>
            </w:pPr>
            <w:r w:rsidRPr="000317B6">
              <w:t xml:space="preserve">Compromised data integration partner with authorized context feed access; </w:t>
            </w:r>
            <w:proofErr w:type="spellStart"/>
            <w:r w:rsidRPr="000317B6">
              <w:t>trojanized</w:t>
            </w:r>
            <w:proofErr w:type="spellEnd"/>
            <w:r w:rsidRPr="000317B6">
              <w:t xml:space="preserve"> model artifact within a trusted model registry; malicious MCP server introduced through third-party tool integration</w:t>
            </w:r>
          </w:p>
        </w:tc>
      </w:tr>
      <w:tr w:rsidR="008973A8" w:rsidRPr="000317B6" w14:paraId="2C13FAFE" w14:textId="77777777" w:rsidTr="000317B6">
        <w:trPr>
          <w:trHeight w:val="1625"/>
        </w:trPr>
        <w:tc>
          <w:tcPr>
            <w:tcW w:w="1830" w:type="dxa"/>
            <w:shd w:val="clear" w:color="auto" w:fill="FFFFFF"/>
            <w:tcMar>
              <w:top w:w="100" w:type="dxa"/>
              <w:left w:w="100" w:type="dxa"/>
              <w:bottom w:w="100" w:type="dxa"/>
              <w:right w:w="100" w:type="dxa"/>
            </w:tcMar>
          </w:tcPr>
          <w:p w14:paraId="41325CD7" w14:textId="77777777" w:rsidR="008973A8" w:rsidRPr="000317B6" w:rsidRDefault="00000000" w:rsidP="000317B6">
            <w:pPr>
              <w:pStyle w:val="T0-Table"/>
            </w:pPr>
            <w:r w:rsidRPr="000317B6">
              <w:t>Intelligence Layer Objective</w:t>
            </w:r>
          </w:p>
        </w:tc>
        <w:tc>
          <w:tcPr>
            <w:tcW w:w="8265" w:type="dxa"/>
            <w:shd w:val="clear" w:color="auto" w:fill="FFFFFF"/>
            <w:tcMar>
              <w:top w:w="100" w:type="dxa"/>
              <w:left w:w="100" w:type="dxa"/>
              <w:bottom w:w="100" w:type="dxa"/>
              <w:right w:w="100" w:type="dxa"/>
            </w:tcMar>
          </w:tcPr>
          <w:p w14:paraId="44207421" w14:textId="77777777" w:rsidR="008973A8" w:rsidRPr="000317B6" w:rsidRDefault="00000000" w:rsidP="000317B6">
            <w:pPr>
              <w:pStyle w:val="T0-Table"/>
            </w:pPr>
            <w:r w:rsidRPr="000317B6">
              <w:t xml:space="preserve">Context poisoning by delivering false environmental state through authorized </w:t>
            </w:r>
            <w:proofErr w:type="gramStart"/>
            <w:r w:rsidRPr="000317B6">
              <w:t>connectors</w:t>
            </w:r>
            <w:proofErr w:type="gramEnd"/>
            <w:r w:rsidRPr="000317B6">
              <w:t xml:space="preserve"> so the reasoning engine operates on an incorrect operational picture (context poisoning variant); behavioral modification through </w:t>
            </w:r>
            <w:proofErr w:type="spellStart"/>
            <w:r w:rsidRPr="000317B6">
              <w:t>trojanized</w:t>
            </w:r>
            <w:proofErr w:type="spellEnd"/>
            <w:r w:rsidRPr="000317B6">
              <w:t xml:space="preserve"> model weights that survive standard acceptance testing (</w:t>
            </w:r>
            <w:proofErr w:type="spellStart"/>
            <w:r w:rsidRPr="000317B6">
              <w:t>trojanized</w:t>
            </w:r>
            <w:proofErr w:type="spellEnd"/>
            <w:r w:rsidRPr="000317B6">
              <w:t xml:space="preserve"> model variant)</w:t>
            </w:r>
          </w:p>
        </w:tc>
      </w:tr>
      <w:tr w:rsidR="008973A8" w:rsidRPr="000317B6" w14:paraId="4D1538F4" w14:textId="77777777" w:rsidTr="000317B6">
        <w:trPr>
          <w:trHeight w:val="1070"/>
        </w:trPr>
        <w:tc>
          <w:tcPr>
            <w:tcW w:w="1830" w:type="dxa"/>
            <w:shd w:val="clear" w:color="auto" w:fill="D9E2F3"/>
            <w:tcMar>
              <w:top w:w="100" w:type="dxa"/>
              <w:left w:w="100" w:type="dxa"/>
              <w:bottom w:w="100" w:type="dxa"/>
              <w:right w:w="100" w:type="dxa"/>
            </w:tcMar>
          </w:tcPr>
          <w:p w14:paraId="1590B66C" w14:textId="77777777" w:rsidR="008973A8" w:rsidRPr="000317B6" w:rsidRDefault="00000000" w:rsidP="000317B6">
            <w:pPr>
              <w:pStyle w:val="T0-Table"/>
            </w:pPr>
            <w:r w:rsidRPr="000317B6">
              <w:t>Connectivity Layer Method</w:t>
            </w:r>
          </w:p>
        </w:tc>
        <w:tc>
          <w:tcPr>
            <w:tcW w:w="8265" w:type="dxa"/>
            <w:shd w:val="clear" w:color="auto" w:fill="D9E2F3"/>
            <w:tcMar>
              <w:top w:w="100" w:type="dxa"/>
              <w:left w:w="100" w:type="dxa"/>
              <w:bottom w:w="100" w:type="dxa"/>
              <w:right w:w="100" w:type="dxa"/>
            </w:tcMar>
          </w:tcPr>
          <w:p w14:paraId="6BB30009" w14:textId="77777777" w:rsidR="008973A8" w:rsidRPr="000317B6" w:rsidRDefault="00000000" w:rsidP="000317B6">
            <w:pPr>
              <w:pStyle w:val="T0-Table"/>
            </w:pPr>
            <w:r w:rsidRPr="000317B6">
              <w:t>Malicious MCP server injects adversarially crafted context and registers unauthorized tools through trusted integration channels; poisoned context propagates across authorized agent coordination buses</w:t>
            </w:r>
          </w:p>
        </w:tc>
      </w:tr>
      <w:tr w:rsidR="008973A8" w:rsidRPr="000317B6" w14:paraId="471FF4DA" w14:textId="77777777" w:rsidTr="000317B6">
        <w:trPr>
          <w:trHeight w:val="1625"/>
        </w:trPr>
        <w:tc>
          <w:tcPr>
            <w:tcW w:w="1830" w:type="dxa"/>
            <w:shd w:val="clear" w:color="auto" w:fill="FFFFFF"/>
            <w:tcMar>
              <w:top w:w="100" w:type="dxa"/>
              <w:left w:w="100" w:type="dxa"/>
              <w:bottom w:w="100" w:type="dxa"/>
              <w:right w:w="100" w:type="dxa"/>
            </w:tcMar>
          </w:tcPr>
          <w:p w14:paraId="4236C0D5" w14:textId="77777777" w:rsidR="008973A8" w:rsidRPr="000317B6" w:rsidRDefault="00000000" w:rsidP="000317B6">
            <w:pPr>
              <w:pStyle w:val="T0-Table"/>
            </w:pPr>
            <w:r w:rsidRPr="000317B6">
              <w:t>Actuation Layer Target</w:t>
            </w:r>
          </w:p>
        </w:tc>
        <w:tc>
          <w:tcPr>
            <w:tcW w:w="8265" w:type="dxa"/>
            <w:shd w:val="clear" w:color="auto" w:fill="FFFFFF"/>
            <w:tcMar>
              <w:top w:w="100" w:type="dxa"/>
              <w:left w:w="100" w:type="dxa"/>
              <w:bottom w:w="100" w:type="dxa"/>
              <w:right w:w="100" w:type="dxa"/>
            </w:tcMar>
          </w:tcPr>
          <w:p w14:paraId="49907D33" w14:textId="77777777" w:rsidR="008973A8" w:rsidRPr="000317B6" w:rsidRDefault="00000000" w:rsidP="000317B6">
            <w:pPr>
              <w:pStyle w:val="T0-Table"/>
            </w:pPr>
            <w:r w:rsidRPr="000317B6">
              <w:t>Competitor advantage through routing manipulation; cargo destruction through cold-chain parameter falsification (the falsification occurs within the Connectivity Layer through sensor feed manipulation or historian data injection, while cargo destruction is the resulting Actuation Layer consequence); logistics disruption through inventory state corruption</w:t>
            </w:r>
          </w:p>
        </w:tc>
      </w:tr>
      <w:tr w:rsidR="008973A8" w:rsidRPr="000317B6" w14:paraId="12B094F0" w14:textId="77777777" w:rsidTr="000317B6">
        <w:trPr>
          <w:trHeight w:val="1070"/>
        </w:trPr>
        <w:tc>
          <w:tcPr>
            <w:tcW w:w="1830" w:type="dxa"/>
            <w:shd w:val="clear" w:color="auto" w:fill="D9E2F3"/>
            <w:tcMar>
              <w:top w:w="100" w:type="dxa"/>
              <w:left w:w="100" w:type="dxa"/>
              <w:bottom w:w="100" w:type="dxa"/>
              <w:right w:w="100" w:type="dxa"/>
            </w:tcMar>
          </w:tcPr>
          <w:p w14:paraId="30013B8B" w14:textId="77777777" w:rsidR="008973A8" w:rsidRPr="000317B6" w:rsidRDefault="00000000" w:rsidP="000317B6">
            <w:pPr>
              <w:pStyle w:val="T0-Table"/>
            </w:pPr>
            <w:r w:rsidRPr="000317B6">
              <w:t>Physical Consequence Class</w:t>
            </w:r>
          </w:p>
        </w:tc>
        <w:tc>
          <w:tcPr>
            <w:tcW w:w="8265" w:type="dxa"/>
            <w:shd w:val="clear" w:color="auto" w:fill="D9E2F3"/>
            <w:tcMar>
              <w:top w:w="100" w:type="dxa"/>
              <w:left w:w="100" w:type="dxa"/>
              <w:bottom w:w="100" w:type="dxa"/>
              <w:right w:w="100" w:type="dxa"/>
            </w:tcMar>
          </w:tcPr>
          <w:p w14:paraId="3A561000" w14:textId="77777777" w:rsidR="008973A8" w:rsidRPr="000317B6" w:rsidRDefault="00000000" w:rsidP="000317B6">
            <w:pPr>
              <w:pStyle w:val="T0-Table"/>
            </w:pPr>
            <w:r w:rsidRPr="000317B6">
              <w:t>Operational disruption attributable to data quality failures (context poisoning variant); behavioral anomalies emerging only under specific operational conditions (</w:t>
            </w:r>
            <w:proofErr w:type="spellStart"/>
            <w:r w:rsidRPr="000317B6">
              <w:t>trojanized</w:t>
            </w:r>
            <w:proofErr w:type="spellEnd"/>
            <w:r w:rsidRPr="000317B6">
              <w:t xml:space="preserve"> model variant)</w:t>
            </w:r>
          </w:p>
        </w:tc>
      </w:tr>
      <w:tr w:rsidR="008973A8" w:rsidRPr="000317B6" w14:paraId="305A1C3B" w14:textId="77777777" w:rsidTr="000317B6">
        <w:trPr>
          <w:trHeight w:val="1625"/>
        </w:trPr>
        <w:tc>
          <w:tcPr>
            <w:tcW w:w="1830" w:type="dxa"/>
            <w:shd w:val="clear" w:color="auto" w:fill="FFFFFF"/>
            <w:tcMar>
              <w:top w:w="100" w:type="dxa"/>
              <w:left w:w="100" w:type="dxa"/>
              <w:bottom w:w="100" w:type="dxa"/>
              <w:right w:w="100" w:type="dxa"/>
            </w:tcMar>
          </w:tcPr>
          <w:p w14:paraId="1B4E72DD" w14:textId="77777777" w:rsidR="008973A8" w:rsidRPr="000317B6" w:rsidRDefault="00000000" w:rsidP="000317B6">
            <w:pPr>
              <w:pStyle w:val="T0-Table"/>
            </w:pPr>
            <w:r w:rsidRPr="000317B6">
              <w:lastRenderedPageBreak/>
              <w:t>Deniability Mechanism</w:t>
            </w:r>
          </w:p>
        </w:tc>
        <w:tc>
          <w:tcPr>
            <w:tcW w:w="8265" w:type="dxa"/>
            <w:shd w:val="clear" w:color="auto" w:fill="FFFFFF"/>
            <w:tcMar>
              <w:top w:w="100" w:type="dxa"/>
              <w:left w:w="100" w:type="dxa"/>
              <w:bottom w:w="100" w:type="dxa"/>
              <w:right w:w="100" w:type="dxa"/>
            </w:tcMar>
          </w:tcPr>
          <w:p w14:paraId="2B993A30" w14:textId="77777777" w:rsidR="008973A8" w:rsidRPr="000317B6" w:rsidRDefault="00000000" w:rsidP="000317B6">
            <w:pPr>
              <w:pStyle w:val="T0-Table"/>
            </w:pPr>
            <w:r w:rsidRPr="000317B6">
              <w:t>Provenance-based deniability. Components are delivered through authorized and authenticated supplier channels. Post-incident investigations initially confirm expected delivery processes, and attribution requires tracing the compromise through the upstream supply chain to the original injection point.</w:t>
            </w:r>
          </w:p>
        </w:tc>
      </w:tr>
      <w:tr w:rsidR="008973A8" w:rsidRPr="000317B6" w14:paraId="7627E325" w14:textId="77777777" w:rsidTr="000317B6">
        <w:trPr>
          <w:trHeight w:val="1625"/>
        </w:trPr>
        <w:tc>
          <w:tcPr>
            <w:tcW w:w="1830" w:type="dxa"/>
            <w:shd w:val="clear" w:color="auto" w:fill="D9E2F3"/>
            <w:tcMar>
              <w:top w:w="100" w:type="dxa"/>
              <w:left w:w="100" w:type="dxa"/>
              <w:bottom w:w="100" w:type="dxa"/>
              <w:right w:w="100" w:type="dxa"/>
            </w:tcMar>
          </w:tcPr>
          <w:p w14:paraId="0BF9C047" w14:textId="77777777" w:rsidR="008973A8" w:rsidRPr="000317B6" w:rsidRDefault="00000000" w:rsidP="000317B6">
            <w:pPr>
              <w:pStyle w:val="T0-Table"/>
            </w:pPr>
            <w:r w:rsidRPr="000317B6">
              <w:t>Framework Mapping</w:t>
            </w:r>
          </w:p>
        </w:tc>
        <w:tc>
          <w:tcPr>
            <w:tcW w:w="8265" w:type="dxa"/>
            <w:shd w:val="clear" w:color="auto" w:fill="D9E2F3"/>
            <w:tcMar>
              <w:top w:w="100" w:type="dxa"/>
              <w:left w:w="100" w:type="dxa"/>
              <w:bottom w:w="100" w:type="dxa"/>
              <w:right w:w="100" w:type="dxa"/>
            </w:tcMar>
          </w:tcPr>
          <w:p w14:paraId="07522A28" w14:textId="77777777" w:rsidR="008973A8" w:rsidRPr="000317B6" w:rsidRDefault="00000000" w:rsidP="000317B6">
            <w:pPr>
              <w:pStyle w:val="T0-Table"/>
            </w:pPr>
            <w:r w:rsidRPr="000317B6">
              <w:t>MITRE ATLAS AML.T0010 (AI Supply Chain Compromise); AML.T0080 (AI Agent Context Poisoning); AML.T0099 (AI Agent Tool Data Poisoning); AML.T0110 (AI Agent Tool Poisoning); MITRE ATT&amp;CK Enterprise T1195 (Supply Chain Compromise); OWASP Agentic ASI04 (Agentic Supply Chain Vulnerabilities).</w:t>
            </w:r>
          </w:p>
        </w:tc>
      </w:tr>
      <w:tr w:rsidR="008973A8" w:rsidRPr="000317B6" w14:paraId="2B2CF1F7" w14:textId="77777777" w:rsidTr="000317B6">
        <w:trPr>
          <w:trHeight w:val="1625"/>
        </w:trPr>
        <w:tc>
          <w:tcPr>
            <w:tcW w:w="1830" w:type="dxa"/>
            <w:shd w:val="clear" w:color="auto" w:fill="FFFFFF"/>
            <w:tcMar>
              <w:top w:w="100" w:type="dxa"/>
              <w:left w:w="100" w:type="dxa"/>
              <w:bottom w:w="100" w:type="dxa"/>
              <w:right w:w="100" w:type="dxa"/>
            </w:tcMar>
          </w:tcPr>
          <w:p w14:paraId="7341FF7E" w14:textId="77777777" w:rsidR="008973A8" w:rsidRPr="000317B6" w:rsidRDefault="00000000" w:rsidP="000317B6">
            <w:pPr>
              <w:pStyle w:val="T0-Table"/>
            </w:pPr>
            <w:r w:rsidRPr="000317B6">
              <w:t>Defender Hunt Point</w:t>
            </w:r>
          </w:p>
        </w:tc>
        <w:tc>
          <w:tcPr>
            <w:tcW w:w="8265" w:type="dxa"/>
            <w:shd w:val="clear" w:color="auto" w:fill="FFFFFF"/>
            <w:tcMar>
              <w:top w:w="100" w:type="dxa"/>
              <w:left w:w="100" w:type="dxa"/>
              <w:bottom w:w="100" w:type="dxa"/>
              <w:right w:w="100" w:type="dxa"/>
            </w:tcMar>
          </w:tcPr>
          <w:p w14:paraId="45F38B1F" w14:textId="77777777" w:rsidR="008973A8" w:rsidRPr="000317B6" w:rsidRDefault="00000000" w:rsidP="000317B6">
            <w:pPr>
              <w:pStyle w:val="T0-Table"/>
            </w:pPr>
            <w:r w:rsidRPr="000317B6">
              <w:t xml:space="preserve">Compare the context state referenced by </w:t>
            </w:r>
            <w:proofErr w:type="spellStart"/>
            <w:r w:rsidRPr="000317B6">
              <w:t>context_hash_before</w:t>
            </w:r>
            <w:proofErr w:type="spellEnd"/>
            <w:r w:rsidRPr="000317B6">
              <w:t xml:space="preserve"> against independently verified physical telemetry; continuously monitor MCP server behavior against established interaction baselines; verify model artifact integrity against the AI-BOM during every update; detect behavioral anomalies within third-party data integration feeds using statistical analysis.</w:t>
            </w:r>
          </w:p>
        </w:tc>
      </w:tr>
    </w:tbl>
    <w:p w14:paraId="764B5211" w14:textId="77777777" w:rsidR="008973A8" w:rsidRPr="000317B6" w:rsidRDefault="008973A8" w:rsidP="000317B6">
      <w:pPr>
        <w:pStyle w:val="P0-Paragraph"/>
      </w:pPr>
    </w:p>
    <w:p w14:paraId="42983F00" w14:textId="77777777" w:rsidR="008973A8" w:rsidRPr="000317B6" w:rsidRDefault="00000000" w:rsidP="000317B6">
      <w:pPr>
        <w:pStyle w:val="HS-Heading1"/>
      </w:pPr>
      <w:r w:rsidRPr="000317B6">
        <w:t>Component 3 - Detection coverage heatmap</w:t>
      </w:r>
    </w:p>
    <w:p w14:paraId="65B5C155" w14:textId="77777777" w:rsidR="008973A8" w:rsidRPr="000317B6" w:rsidRDefault="00000000" w:rsidP="000317B6">
      <w:pPr>
        <w:pStyle w:val="P0-Paragraph"/>
      </w:pPr>
      <w:r w:rsidRPr="000317B6">
        <w:t>Shows which telemetry domains detect which adversary classes at which CPS Threat Chain layers, in standard deployments without ASCR Blueprint controls. Use it to identify instrumentation investment priorities. Coverage ratings reflect the pre-ASCR baseline. Use the Comp3 Gap-to-Control Mapping in the workbook's Comp4 tab to identify the implementation pattern and native telemetry or platform capability needed for each Absent/red cell, then reassess coverage after implementation and validation. ASCR-10 is used to validate and calibrate implemented controls; it is not itself a detection control.</w:t>
      </w:r>
    </w:p>
    <w:tbl>
      <w:tblPr>
        <w:tblStyle w:val="af"/>
        <w:tblW w:w="9645" w:type="dxa"/>
        <w:tblInd w:w="0" w:type="dxa"/>
        <w:tblBorders>
          <w:top w:val="single" w:sz="6" w:space="0" w:color="1F3864"/>
          <w:left w:val="single" w:sz="6" w:space="0" w:color="1F3864"/>
          <w:bottom w:val="single" w:sz="6" w:space="0" w:color="1F3864"/>
          <w:right w:val="single" w:sz="6" w:space="0" w:color="1F3864"/>
          <w:insideH w:val="single" w:sz="4" w:space="0" w:color="000000"/>
          <w:insideV w:val="single" w:sz="4" w:space="0" w:color="000000"/>
        </w:tblBorders>
        <w:tblLayout w:type="fixed"/>
        <w:tblLook w:val="0000" w:firstRow="0" w:lastRow="0" w:firstColumn="0" w:lastColumn="0" w:noHBand="0" w:noVBand="0"/>
      </w:tblPr>
      <w:tblGrid>
        <w:gridCol w:w="9645"/>
      </w:tblGrid>
      <w:tr w:rsidR="008973A8" w:rsidRPr="000317B6" w14:paraId="4DDA5E1F" w14:textId="77777777">
        <w:tc>
          <w:tcPr>
            <w:tcW w:w="9645" w:type="dxa"/>
            <w:shd w:val="clear" w:color="auto" w:fill="DCE6F1"/>
            <w:tcMar>
              <w:top w:w="150" w:type="dxa"/>
              <w:left w:w="200" w:type="dxa"/>
              <w:bottom w:w="150" w:type="dxa"/>
              <w:right w:w="200" w:type="dxa"/>
            </w:tcMar>
          </w:tcPr>
          <w:p w14:paraId="08C6CE05" w14:textId="77777777" w:rsidR="008973A8" w:rsidRPr="000317B6" w:rsidRDefault="00000000" w:rsidP="000317B6">
            <w:pPr>
              <w:pStyle w:val="I0-InfoBox"/>
            </w:pPr>
            <w:r w:rsidRPr="000317B6">
              <w:rPr>
                <w:rFonts w:ascii="Cambria Math" w:hAnsi="Cambria Math" w:cs="Cambria Math"/>
              </w:rPr>
              <w:t>▶</w:t>
            </w:r>
            <w:r w:rsidRPr="000317B6">
              <w:t xml:space="preserve"> Full heatmap: ASCR-15-OE01-Adversary-Campaign-Reference-Matrix-Set.xlsx | tab "Comp3 - Detection Heatmap" | 6 telemetry domains rated across all 4 adversary classes at all 3 CPS layers (12 combinations), with the header filter enabled. | Coverage key: Red = absent/no coverage in the stated baseline. Amber = partial coverage under specific conditions or with additional configuration. Green = covered with the tooling identified in the cell.</w:t>
            </w:r>
          </w:p>
        </w:tc>
      </w:tr>
    </w:tbl>
    <w:p w14:paraId="4D59AFF7" w14:textId="77777777" w:rsidR="008973A8" w:rsidRPr="000317B6" w:rsidRDefault="008973A8" w:rsidP="000317B6">
      <w:pPr>
        <w:pStyle w:val="P0-Paragraph"/>
      </w:pPr>
    </w:p>
    <w:p w14:paraId="04C0755E" w14:textId="77777777" w:rsidR="008973A8" w:rsidRPr="000317B6" w:rsidRDefault="00000000" w:rsidP="000317B6">
      <w:pPr>
        <w:pStyle w:val="P0-Paragraph"/>
      </w:pPr>
      <w:r w:rsidRPr="000317B6">
        <w:t>Representative instrumentation gaps in the heatmap include the following. Nation-state campaigns have no direct baseline detection signal for Intelligence Layer reasoning manipulation or model-artifact compromise where reasoning-trace capture and model-version forensics are absent. Insider threats can produce no anomaly signal through authorized update workflows where model behavioral baseline comparison and system-prompt version control are absent. Supply-chain poisoning cannot be reliably attributed to an upstream poisoned context or artifact without context-integrity monitoring and AI-BOM verification. Cross-agent negotiation logging is also a recurring blind spot where authority accumulation or propagation across agents must be reconstructed. The Actuation Layer is broadly observable across all adversary classes; the persistent gap is causal attribution back to the Intelligence Layer origin, which requires decision-lineage, context-integrity, and authority evidence not assumed in the baseline.</w:t>
      </w:r>
    </w:p>
    <w:p w14:paraId="66635A6F" w14:textId="77777777" w:rsidR="008973A8" w:rsidRPr="000317B6" w:rsidRDefault="00000000" w:rsidP="000317B6">
      <w:pPr>
        <w:pStyle w:val="HS-Heading1"/>
      </w:pPr>
      <w:r w:rsidRPr="000317B6">
        <w:lastRenderedPageBreak/>
        <w:t>Component 4 - ASCR control crosswalk</w:t>
      </w:r>
    </w:p>
    <w:p w14:paraId="0C913283" w14:textId="77777777" w:rsidR="008973A8" w:rsidRPr="000317B6" w:rsidRDefault="00000000" w:rsidP="000317B6">
      <w:pPr>
        <w:pStyle w:val="P0-Paragraph"/>
      </w:pPr>
      <w:r w:rsidRPr="000317B6">
        <w:t xml:space="preserve">Map your threat model against this crosswalk to sequence your ASCR deployment roadmap. Adversary-class control-impact ratings describe the expected contribution of a deployed implementation conforming to each referenced ASCR artifact. The downloadable artifacts do not themselves execute runtime controls. Use the separate Deployment Sequence / Rationale guidance to plan dependencies and parallel work; do </w:t>
      </w:r>
      <w:proofErr w:type="gramStart"/>
      <w:r w:rsidRPr="000317B6">
        <w:t>not</w:t>
      </w:r>
      <w:proofErr w:type="gramEnd"/>
      <w:r w:rsidRPr="000317B6">
        <w:t xml:space="preserve"> sequence controls in generic ASCR numerical order.</w:t>
      </w:r>
    </w:p>
    <w:tbl>
      <w:tblPr>
        <w:tblStyle w:val="af0"/>
        <w:tblW w:w="10055" w:type="dxa"/>
        <w:tblInd w:w="0" w:type="dxa"/>
        <w:tblBorders>
          <w:top w:val="single" w:sz="6" w:space="0" w:color="1F3864"/>
          <w:left w:val="single" w:sz="6" w:space="0" w:color="1F3864"/>
          <w:bottom w:val="single" w:sz="6" w:space="0" w:color="1F3864"/>
          <w:right w:val="single" w:sz="6" w:space="0" w:color="1F3864"/>
          <w:insideH w:val="single" w:sz="4" w:space="0" w:color="000000"/>
          <w:insideV w:val="single" w:sz="4" w:space="0" w:color="000000"/>
        </w:tblBorders>
        <w:tblLayout w:type="fixed"/>
        <w:tblLook w:val="0000" w:firstRow="0" w:lastRow="0" w:firstColumn="0" w:lastColumn="0" w:noHBand="0" w:noVBand="0"/>
      </w:tblPr>
      <w:tblGrid>
        <w:gridCol w:w="10055"/>
      </w:tblGrid>
      <w:tr w:rsidR="008973A8" w:rsidRPr="000317B6" w14:paraId="2230CB83" w14:textId="77777777">
        <w:tc>
          <w:tcPr>
            <w:tcW w:w="10055" w:type="dxa"/>
            <w:shd w:val="clear" w:color="auto" w:fill="DCE6F1"/>
            <w:tcMar>
              <w:top w:w="150" w:type="dxa"/>
              <w:left w:w="200" w:type="dxa"/>
              <w:bottom w:w="150" w:type="dxa"/>
              <w:right w:w="200" w:type="dxa"/>
            </w:tcMar>
          </w:tcPr>
          <w:p w14:paraId="394B8B6E" w14:textId="77777777" w:rsidR="008973A8" w:rsidRPr="000317B6" w:rsidRDefault="00000000" w:rsidP="000317B6">
            <w:pPr>
              <w:pStyle w:val="I0-InfoBox"/>
            </w:pPr>
            <w:r w:rsidRPr="000317B6">
              <w:rPr>
                <w:rFonts w:ascii="Cambria Math" w:hAnsi="Cambria Math" w:cs="Cambria Math"/>
              </w:rPr>
              <w:t>▶</w:t>
            </w:r>
            <w:r w:rsidRPr="000317B6">
              <w:t xml:space="preserve"> Full crosswalk: ASCR-15-OE01-Adversary-Campaign-Reference-Matrix-Set.xlsx | tab "Comp4 - ASCR Crosswalk" | ASCR-02, -04, -06, -07, -08, -09, -10, -11, -12, -13, -14, -16, and -17 are represented and mapped to their primary CPS layer or governance role. All listed controls are scored under the Component 4 control-impact rubric; deployment sequencing remains separate in the Deployment Sequence / Rationale column. The same tab includes the Comp3 Gap-to-Control Mapping used to translate Absent/red detection cells into implementation patterns, native telemetry dependencies, and closure evidence.</w:t>
            </w:r>
          </w:p>
        </w:tc>
      </w:tr>
    </w:tbl>
    <w:p w14:paraId="44FC1E2E" w14:textId="77777777" w:rsidR="008973A8" w:rsidRPr="000317B6" w:rsidRDefault="008973A8" w:rsidP="000317B6">
      <w:pPr>
        <w:pStyle w:val="P0-Paragraph"/>
      </w:pPr>
    </w:p>
    <w:p w14:paraId="171EB064" w14:textId="77777777" w:rsidR="008973A8" w:rsidRPr="000317B6" w:rsidRDefault="00000000" w:rsidP="000317B6">
      <w:pPr>
        <w:pStyle w:val="P0-Paragraph"/>
      </w:pPr>
      <w:r w:rsidRPr="000317B6">
        <w:t>Output of this crosswalk: prioritized ASCR deployment guidance specific to your threat model. This crosswalk is not a strict total order; use the dependency language in the Deployment Sequence / Rationale column to plan work that can proceed in parallel and work that must follow prerequisite controls. For every Absent/red Component 3 cell associated with a priority adversary class, use the Comp3 Gap-to-Control Mapping in the workbook's "Comp4 - ASCR Crosswalk" tab to identify both the relevant ASCR implementation pattern and any required native telemetry or platform capability. Treat the gap as scheduled for closure only when those dependencies have assigned implementation ownership. Reassess the Component 3 rating only after implementation and validation.</w:t>
      </w:r>
    </w:p>
    <w:p w14:paraId="0F61B277" w14:textId="77777777" w:rsidR="008973A8" w:rsidRPr="000317B6" w:rsidRDefault="00000000" w:rsidP="000317B6">
      <w:pPr>
        <w:pStyle w:val="HS-Heading1"/>
      </w:pPr>
      <w:r w:rsidRPr="000317B6">
        <w:t>Component 5 - Campaign duration and dwell indicators</w:t>
      </w:r>
    </w:p>
    <w:p w14:paraId="3208334F" w14:textId="77777777" w:rsidR="008973A8" w:rsidRPr="000317B6" w:rsidRDefault="00000000" w:rsidP="000317B6">
      <w:pPr>
        <w:pStyle w:val="P0-Paragraph"/>
      </w:pPr>
      <w:r w:rsidRPr="000317B6">
        <w:t xml:space="preserve">Use this table to calibrate threat hunting lookback windows. An inadequate lookback window severely limits investigations. Following a Physical AI incident, you may discover the available decision-lineage evidence fails to capture the initial Intelligence Layer compromise. For the Nation-State example, the current illustrative reconnaissance-plus-dwell envelope is 545 days, rounded upward to an 18-month planning lookback. For supply-chain </w:t>
      </w:r>
      <w:proofErr w:type="spellStart"/>
      <w:r w:rsidRPr="000317B6">
        <w:t>trojanized</w:t>
      </w:r>
      <w:proofErr w:type="spellEnd"/>
      <w:r w:rsidRPr="000317B6">
        <w:t xml:space="preserve">-model campaigns, investigation may require evidence extending toward the production lifetime of the affected artifact. Use the workbook before an incident to calibrate evidence retention and lookback planning, not after one </w:t>
      </w:r>
      <w:proofErr w:type="gramStart"/>
      <w:r w:rsidRPr="000317B6">
        <w:t>to discover</w:t>
      </w:r>
      <w:proofErr w:type="gramEnd"/>
      <w:r w:rsidRPr="000317B6">
        <w:t xml:space="preserve"> the available evidence is too short.</w:t>
      </w:r>
    </w:p>
    <w:tbl>
      <w:tblPr>
        <w:tblStyle w:val="af1"/>
        <w:tblW w:w="10075" w:type="dxa"/>
        <w:tblInd w:w="0" w:type="dxa"/>
        <w:tblBorders>
          <w:top w:val="single" w:sz="6" w:space="0" w:color="1F3864"/>
          <w:left w:val="single" w:sz="6" w:space="0" w:color="1F3864"/>
          <w:bottom w:val="single" w:sz="6" w:space="0" w:color="1F3864"/>
          <w:right w:val="single" w:sz="6" w:space="0" w:color="1F3864"/>
          <w:insideH w:val="single" w:sz="4" w:space="0" w:color="000000"/>
          <w:insideV w:val="single" w:sz="4" w:space="0" w:color="000000"/>
        </w:tblBorders>
        <w:tblLayout w:type="fixed"/>
        <w:tblLook w:val="0000" w:firstRow="0" w:lastRow="0" w:firstColumn="0" w:lastColumn="0" w:noHBand="0" w:noVBand="0"/>
      </w:tblPr>
      <w:tblGrid>
        <w:gridCol w:w="10075"/>
      </w:tblGrid>
      <w:tr w:rsidR="008973A8" w:rsidRPr="000317B6" w14:paraId="7BF24D1C" w14:textId="77777777">
        <w:tc>
          <w:tcPr>
            <w:tcW w:w="10075" w:type="dxa"/>
            <w:shd w:val="clear" w:color="auto" w:fill="DCE6F1"/>
            <w:tcMar>
              <w:top w:w="150" w:type="dxa"/>
              <w:left w:w="200" w:type="dxa"/>
              <w:bottom w:w="150" w:type="dxa"/>
              <w:right w:w="200" w:type="dxa"/>
            </w:tcMar>
          </w:tcPr>
          <w:p w14:paraId="7FA51A63" w14:textId="77777777" w:rsidR="008973A8" w:rsidRPr="000317B6" w:rsidRDefault="00000000" w:rsidP="000317B6">
            <w:pPr>
              <w:pStyle w:val="I0-InfoBox"/>
            </w:pPr>
            <w:r w:rsidRPr="000317B6">
              <w:rPr>
                <w:rFonts w:ascii="Cambria Math" w:hAnsi="Cambria Math" w:cs="Cambria Math"/>
              </w:rPr>
              <w:t>▶</w:t>
            </w:r>
            <w:r w:rsidRPr="000317B6">
              <w:t xml:space="preserve"> Full table: ASCR-15-OE01-Adversary-Campaign-Reference-Matrix-Set.xlsx | tab "Comp5 - Duration and Dwell" | 4 adversary classes x typical reconnaissance duration, dwell before activation, physical consequence timing, reasoning-layer leading indicators, and lookback-window recommendation.</w:t>
            </w:r>
          </w:p>
        </w:tc>
      </w:tr>
    </w:tbl>
    <w:p w14:paraId="198522D6" w14:textId="77777777" w:rsidR="008973A8" w:rsidRPr="000317B6" w:rsidRDefault="008973A8" w:rsidP="000317B6">
      <w:pPr>
        <w:pStyle w:val="P0-Paragraph"/>
      </w:pPr>
    </w:p>
    <w:p w14:paraId="2396225E" w14:textId="77777777" w:rsidR="008973A8" w:rsidRPr="000317B6" w:rsidRDefault="00000000" w:rsidP="000317B6">
      <w:pPr>
        <w:pStyle w:val="P0-Paragraph"/>
      </w:pPr>
      <w:r w:rsidRPr="000317B6">
        <w:t>Threat hunting calendar note: Nation-State and supply-chain campaigns may justify decision-lineage evidence lookback windows measured in months to years. The current Financially Motivated examples use 30 days for ransomware and 120 days for the fraud variant. The Insider Threat example uses a 12-month starting point, with full personnel tenure considered where justified. These are calibration values, not universal retention requirements. Organizations without sufficient decision-lineage evidence will have materially reduced ability to reconstruct Nation-State or supply-chain campaigns regardless of the nominal lookback duration.</w:t>
      </w:r>
    </w:p>
    <w:p w14:paraId="51B13395" w14:textId="77777777" w:rsidR="008973A8" w:rsidRPr="000317B6" w:rsidRDefault="00000000" w:rsidP="000317B6">
      <w:pPr>
        <w:pStyle w:val="HS-Heading1"/>
      </w:pPr>
      <w:r w:rsidRPr="000317B6">
        <w:lastRenderedPageBreak/>
        <w:t>ASCR-15 usage scenarios</w:t>
      </w:r>
    </w:p>
    <w:p w14:paraId="1614C741" w14:textId="77777777" w:rsidR="008973A8" w:rsidRPr="000317B6" w:rsidRDefault="00000000" w:rsidP="000317B6">
      <w:pPr>
        <w:pStyle w:val="L1-Bullet"/>
      </w:pPr>
      <w:r w:rsidRPr="000317B6">
        <w:rPr>
          <w:b/>
          <w:bCs/>
        </w:rPr>
        <w:t>Threat modeling session:</w:t>
      </w:r>
      <w:r w:rsidRPr="000317B6">
        <w:t xml:space="preserve"> Begin with Component 1 (workbook, Comp1 tab) to identify which adversary classes are relevant to your deployment context. Use Component 2 (this document) to trace each relevant class's campaign logic from entry point to physical consequence. Use Component 4 (workbook, Comp4 tab) to identify which ASCR controls address each stage of the campaign. Produce a prioritized ASCR deployment roadmap specific to your threat model.</w:t>
      </w:r>
    </w:p>
    <w:p w14:paraId="362CC036" w14:textId="77777777" w:rsidR="008973A8" w:rsidRPr="000317B6" w:rsidRDefault="00000000" w:rsidP="000317B6">
      <w:pPr>
        <w:pStyle w:val="L1-Bullet"/>
      </w:pPr>
      <w:r w:rsidRPr="000317B6">
        <w:rPr>
          <w:b/>
          <w:bCs/>
        </w:rPr>
        <w:t>Threat hunt planning:</w:t>
      </w:r>
      <w:r w:rsidRPr="000317B6">
        <w:t xml:space="preserve"> Use Component 3 (workbook, Comp3 tab) to identify current detection gaps for your priority adversary classes. Use Component 5 (workbook, Comp5 tab) to calibrate lookback window recommendations and leading indicators. Use Component 2 (this document) to identify the defender hunt points for each class and design hunt hypotheses against them.</w:t>
      </w:r>
    </w:p>
    <w:p w14:paraId="6DD6A8E9" w14:textId="77777777" w:rsidR="008973A8" w:rsidRPr="000317B6" w:rsidRDefault="00000000" w:rsidP="000317B6">
      <w:pPr>
        <w:pStyle w:val="L1-Bullet"/>
      </w:pPr>
      <w:r w:rsidRPr="000317B6">
        <w:rPr>
          <w:b/>
          <w:bCs/>
        </w:rPr>
        <w:t>Tabletop exercise preparation:</w:t>
      </w:r>
      <w:r w:rsidRPr="000317B6">
        <w:t xml:space="preserve"> Use Component 2 for the relevant adversary class as the exercise scenario backbone - the top-to-bottom campaign chain is the red team's action sequence. Use Component 5's leading indicators (workbook, Comp5 tab) as the detection opportunities the blue team must identify. Reference ASCR-14 for the full tabletop exercise protocol.</w:t>
      </w:r>
    </w:p>
    <w:p w14:paraId="5F1AF5EB" w14:textId="77777777" w:rsidR="008973A8" w:rsidRPr="000317B6" w:rsidRDefault="00000000" w:rsidP="000317B6">
      <w:pPr>
        <w:pStyle w:val="L1-Bullet"/>
      </w:pPr>
      <w:r w:rsidRPr="000317B6">
        <w:rPr>
          <w:b/>
          <w:bCs/>
        </w:rPr>
        <w:t>ASCR deployment sequencing:</w:t>
      </w:r>
      <w:r w:rsidRPr="000317B6">
        <w:t xml:space="preserve"> Use Component 4 (workbook, Comp4 tab) to map your priority adversary classes against the ASCR controls that address them. Read the adversary-class control-impact ratings against your current instrumentation state and use the Deployment Sequence / Rationale guidance to plan dependencies and parallel work. Sequence deployment to close the highest-priority gaps for your specific threat model first, not in generic ASCR numerical order.</w:t>
      </w:r>
    </w:p>
    <w:p w14:paraId="28591B34" w14:textId="77777777" w:rsidR="008973A8" w:rsidRPr="000317B6" w:rsidRDefault="00000000" w:rsidP="000317B6">
      <w:pPr>
        <w:pStyle w:val="HS-Heading1"/>
      </w:pPr>
      <w:r w:rsidRPr="000317B6">
        <w:t>Limitations and calibration notes</w:t>
      </w:r>
    </w:p>
    <w:p w14:paraId="7D7563C4" w14:textId="77777777" w:rsidR="008973A8" w:rsidRPr="000317B6" w:rsidRDefault="00000000" w:rsidP="000317B6">
      <w:pPr>
        <w:pStyle w:val="P0-Paragraph"/>
      </w:pPr>
      <w:r w:rsidRPr="000317B6">
        <w:rPr>
          <w:rFonts w:eastAsia="Calibri"/>
        </w:rPr>
        <w:t>ASCR-15 is a planning reference, not a detection rule set. The friction ratings in Component 1 are starting points derived from documented adversary TTPs. Calibrate them against your specific deployment: the architecture of your agent stack, your active supplier relationships, and the access model for personnel with model configuration authority. A nation-state actor with an established supply chain position in the target organization's model registry faces lower Intelligence Layer friction than the default rating indicates. A financially motivated actor without enterprise credential access faces higher Connectivity Layer friction than the default rating reflects.</w:t>
      </w:r>
    </w:p>
    <w:p w14:paraId="1B815A28" w14:textId="77777777" w:rsidR="008973A8" w:rsidRPr="000317B6" w:rsidRDefault="00000000" w:rsidP="000317B6">
      <w:pPr>
        <w:pStyle w:val="P0-Paragraph"/>
      </w:pPr>
      <w:r w:rsidRPr="000317B6">
        <w:t>The detection coverage ratings in Component 3 reflect standard deployments without ASCR Blueprint controls. Organizations that implement the relevant enforcement, verification, evidence, and telemetry capabilities will have different coverage profiles. Use the Comp3 Gap-to-Control Mapping to identify the applicable ASCR implementation pattern and required native telemetry, then reassess coverage after implementation and validation. ASCR-10 validates and calibrates implemented controls; it is not itself a detection control.</w:t>
      </w:r>
    </w:p>
    <w:p w14:paraId="4C6C5F10" w14:textId="77777777" w:rsidR="008973A8" w:rsidRPr="000317B6" w:rsidRDefault="00000000" w:rsidP="000317B6">
      <w:pPr>
        <w:pStyle w:val="P0-Paragraph"/>
      </w:pPr>
      <w:r w:rsidRPr="000317B6">
        <w:t>Campaign duration and dwell ranges are analyst calibration estimates informed by adjacent-domain evidence: Google Cloud/Mandiant M-Trends 2026; CISA Emergency Directive 21-01 and Alert AA20-352A for SolarWinds/SUNBURST context; and CVE-2024-3094 / 2024 XZ Utils backdoor analyses. They are not empirically validated agentic- or OT-specific dwell norms and must be recalibrated for the deployment context as current threat intelligence and operational evidence evolve.</w:t>
      </w:r>
    </w:p>
    <w:p w14:paraId="7487BAEE" w14:textId="77777777" w:rsidR="008973A8" w:rsidRPr="000317B6" w:rsidRDefault="00000000" w:rsidP="000317B6">
      <w:pPr>
        <w:pStyle w:val="HS-Heading1"/>
      </w:pPr>
      <w:r w:rsidRPr="000317B6">
        <w:t>Maintenance schedule</w:t>
      </w:r>
    </w:p>
    <w:p w14:paraId="161B3FAA" w14:textId="77777777" w:rsidR="008973A8" w:rsidRPr="000317B6" w:rsidRDefault="00000000" w:rsidP="000317B6">
      <w:pPr>
        <w:pStyle w:val="P0-Paragraph"/>
      </w:pPr>
      <w:r w:rsidRPr="000317B6">
        <w:rPr>
          <w:rFonts w:eastAsia="Calibri"/>
        </w:rPr>
        <w:t>ASCR-15 requires review and update under five conditions:</w:t>
      </w:r>
    </w:p>
    <w:p w14:paraId="2E661255" w14:textId="77777777" w:rsidR="008973A8" w:rsidRPr="000317B6" w:rsidRDefault="00000000" w:rsidP="000317B6">
      <w:pPr>
        <w:pStyle w:val="L1-Bullet"/>
      </w:pPr>
      <w:r w:rsidRPr="000317B6">
        <w:rPr>
          <w:rFonts w:eastAsia="Calibri"/>
        </w:rPr>
        <w:t>Semi-annual review - assess whether new adversary TTPs documented in MITRE ATLAS or MITRE ATT&amp;CK for ICS updates affect friction ratings, campaign duration estimates, or leading indicator definitions. Update Component 1 (workbook, Comp1 tab) friction ratings and Component 5 (workbook, Comp5 tab) dwell indicators accordingly.</w:t>
      </w:r>
    </w:p>
    <w:p w14:paraId="1CDA1BDA" w14:textId="77777777" w:rsidR="008973A8" w:rsidRPr="000317B6" w:rsidRDefault="00000000" w:rsidP="000317B6">
      <w:pPr>
        <w:pStyle w:val="L1-Bullet"/>
      </w:pPr>
      <w:r w:rsidRPr="000317B6">
        <w:rPr>
          <w:rFonts w:eastAsia="Calibri"/>
        </w:rPr>
        <w:lastRenderedPageBreak/>
        <w:t xml:space="preserve">Following a material threat-intelligence </w:t>
      </w:r>
      <w:proofErr w:type="gramStart"/>
      <w:r w:rsidRPr="000317B6">
        <w:rPr>
          <w:rFonts w:eastAsia="Calibri"/>
        </w:rPr>
        <w:t>finding:</w:t>
      </w:r>
      <w:proofErr w:type="gramEnd"/>
      <w:r w:rsidRPr="000317B6">
        <w:rPr>
          <w:rFonts w:eastAsia="Calibri"/>
        </w:rPr>
        <w:t xml:space="preserve"> review the affected Component 1 friction ratings, Component 2 objective-to-consequence chains, Component 3 coverage assumptions, and Component 4 control mappings against the new technique or campaign information. Issue a governed ASCR-15 update where the finding materially changes the deployment's threat model.</w:t>
      </w:r>
    </w:p>
    <w:p w14:paraId="766B2CEB" w14:textId="77777777" w:rsidR="008973A8" w:rsidRPr="000317B6" w:rsidRDefault="00000000" w:rsidP="000317B6">
      <w:pPr>
        <w:pStyle w:val="L1-Bullet"/>
      </w:pPr>
      <w:r w:rsidRPr="000317B6">
        <w:rPr>
          <w:rFonts w:eastAsia="Calibri"/>
        </w:rPr>
        <w:t>Following a confirmed or suspected Physical AI incident - update the Component 2 chain (this document) for the relevant adversary class with empirical campaign data from the incident. Update Component 3 (workbook, Comp3 tab) coverage ratings to reflect detection gaps revealed by the incident. Update Component 5 (workbook, Comp5 tab) lookback window recommendations if the incident revealed that existing windows were insufficient.</w:t>
      </w:r>
    </w:p>
    <w:p w14:paraId="08A73274" w14:textId="77777777" w:rsidR="008973A8" w:rsidRPr="000317B6" w:rsidRDefault="00000000" w:rsidP="000317B6">
      <w:pPr>
        <w:pStyle w:val="L1-Bullet"/>
      </w:pPr>
      <w:r w:rsidRPr="000317B6">
        <w:t>Following significant ASCR Blueprint updates - update Component 4 (workbook, Comp4 tab) crosswalk to reflect new or modified controls. Reassess adversary-class control-impact ratings and deployment-sequencing guidance against the updated control set.</w:t>
      </w:r>
    </w:p>
    <w:p w14:paraId="11474204" w14:textId="77777777" w:rsidR="008973A8" w:rsidRPr="000317B6" w:rsidRDefault="00000000" w:rsidP="000317B6">
      <w:pPr>
        <w:pStyle w:val="L1-Bullet"/>
      </w:pPr>
      <w:r w:rsidRPr="000317B6">
        <w:rPr>
          <w:rFonts w:eastAsia="Calibri"/>
        </w:rPr>
        <w:t>Following significant changes to your deployment architecture - new agent deployments, new MCP server integrations, new data integration partners, or significant model updates require reassessment of Component 1 (workbook, Comp1 tab) entry point friction ratings and Component 2 (this document) chain entry points for all adversary classes.</w:t>
      </w:r>
    </w:p>
    <w:p w14:paraId="75BC5DEE" w14:textId="77777777" w:rsidR="008973A8" w:rsidRPr="000317B6" w:rsidRDefault="00000000" w:rsidP="000317B6">
      <w:pPr>
        <w:pStyle w:val="P0-Paragraph"/>
      </w:pPr>
      <w:r w:rsidRPr="000317B6">
        <w:t xml:space="preserve">When any of the above triggers an update, update the corresponding workbook tab and this document together and re-issue both files under the same version number, since the workbook has no independent version outside this document's revision history. Each governed ASCR-15 update also triggers review of the ASCR-09 scenario library against the revised adversary profiles. Each governed ASCR-15 update also triggers review of the ASCR-09 scenario library against the revised adversary profiles. Complete that review within 30 days of the ASCR-15 update. Update existing scenario parameters or add scenarios where the revised ASCR-15 content introduces newly documented campaign </w:t>
      </w:r>
      <w:proofErr w:type="gramStart"/>
      <w:r w:rsidRPr="000317B6">
        <w:t>paths..</w:t>
      </w:r>
      <w:proofErr w:type="gramEnd"/>
    </w:p>
    <w:p w14:paraId="566C626E" w14:textId="77777777" w:rsidR="008973A8" w:rsidRPr="000317B6" w:rsidRDefault="00000000" w:rsidP="000317B6">
      <w:pPr>
        <w:pStyle w:val="HS-Heading1"/>
      </w:pPr>
      <w:r w:rsidRPr="000317B6">
        <w:t>Related artifacts</w:t>
      </w:r>
    </w:p>
    <w:tbl>
      <w:tblPr>
        <w:tblStyle w:val="af2"/>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20"/>
        <w:gridCol w:w="7590"/>
      </w:tblGrid>
      <w:tr w:rsidR="008973A8" w:rsidRPr="000317B6" w14:paraId="057CA92E" w14:textId="77777777">
        <w:trPr>
          <w:tblHeader/>
        </w:trPr>
        <w:tc>
          <w:tcPr>
            <w:tcW w:w="2220" w:type="dxa"/>
            <w:shd w:val="clear" w:color="auto" w:fill="1F3864"/>
            <w:tcMar>
              <w:top w:w="80" w:type="dxa"/>
              <w:left w:w="100" w:type="dxa"/>
              <w:bottom w:w="80" w:type="dxa"/>
              <w:right w:w="100" w:type="dxa"/>
            </w:tcMar>
          </w:tcPr>
          <w:p w14:paraId="1708F041" w14:textId="77777777" w:rsidR="008973A8" w:rsidRPr="000317B6" w:rsidRDefault="00000000" w:rsidP="000317B6">
            <w:pPr>
              <w:pStyle w:val="T0-Table"/>
              <w:rPr>
                <w:rStyle w:val="CS-Keyword"/>
              </w:rPr>
            </w:pPr>
            <w:r w:rsidRPr="000317B6">
              <w:rPr>
                <w:rStyle w:val="CS-Keyword"/>
              </w:rPr>
              <w:t>Artifact</w:t>
            </w:r>
          </w:p>
        </w:tc>
        <w:tc>
          <w:tcPr>
            <w:tcW w:w="7590" w:type="dxa"/>
            <w:shd w:val="clear" w:color="auto" w:fill="1F3864"/>
            <w:tcMar>
              <w:top w:w="80" w:type="dxa"/>
              <w:left w:w="100" w:type="dxa"/>
              <w:bottom w:w="80" w:type="dxa"/>
              <w:right w:w="100" w:type="dxa"/>
            </w:tcMar>
          </w:tcPr>
          <w:p w14:paraId="4CF59C5E" w14:textId="77777777" w:rsidR="008973A8" w:rsidRPr="000317B6" w:rsidRDefault="00000000" w:rsidP="000317B6">
            <w:pPr>
              <w:pStyle w:val="T0-Table"/>
              <w:rPr>
                <w:rStyle w:val="CS-Keyword"/>
              </w:rPr>
            </w:pPr>
            <w:r w:rsidRPr="000317B6">
              <w:rPr>
                <w:rStyle w:val="CS-Keyword"/>
              </w:rPr>
              <w:t>Relationship to ASCR-15</w:t>
            </w:r>
          </w:p>
        </w:tc>
      </w:tr>
      <w:tr w:rsidR="008973A8" w:rsidRPr="000317B6" w14:paraId="7D78133A" w14:textId="77777777">
        <w:tc>
          <w:tcPr>
            <w:tcW w:w="2220" w:type="dxa"/>
            <w:shd w:val="clear" w:color="auto" w:fill="FFFFFF"/>
            <w:tcMar>
              <w:top w:w="80" w:type="dxa"/>
              <w:left w:w="100" w:type="dxa"/>
              <w:bottom w:w="80" w:type="dxa"/>
              <w:right w:w="100" w:type="dxa"/>
            </w:tcMar>
          </w:tcPr>
          <w:p w14:paraId="1A72F3D3" w14:textId="77777777" w:rsidR="008973A8" w:rsidRPr="000317B6" w:rsidRDefault="00000000" w:rsidP="000317B6">
            <w:pPr>
              <w:pStyle w:val="T0-Table"/>
            </w:pPr>
            <w:r w:rsidRPr="000317B6">
              <w:t>ASCR-15-OE01-Adversary-Campaign-Reference-Matrix-Set.xlsx</w:t>
            </w:r>
          </w:p>
        </w:tc>
        <w:tc>
          <w:tcPr>
            <w:tcW w:w="7590" w:type="dxa"/>
            <w:shd w:val="clear" w:color="auto" w:fill="FFFFFF"/>
            <w:tcMar>
              <w:top w:w="80" w:type="dxa"/>
              <w:left w:w="100" w:type="dxa"/>
              <w:bottom w:w="80" w:type="dxa"/>
              <w:right w:w="100" w:type="dxa"/>
            </w:tcMar>
          </w:tcPr>
          <w:p w14:paraId="47009C46" w14:textId="77777777" w:rsidR="008973A8" w:rsidRPr="000317B6" w:rsidRDefault="00000000" w:rsidP="000317B6">
            <w:pPr>
              <w:pStyle w:val="T0-Table"/>
            </w:pPr>
            <w:r w:rsidRPr="000317B6">
              <w:t>Companion workbook to this document. Carries Components 1, 3, 4, and 5 in filterable/sortable form, plus the Calibration &amp; Gap Closure register; see "Artifact structure and usage" above.</w:t>
            </w:r>
          </w:p>
        </w:tc>
      </w:tr>
      <w:tr w:rsidR="008973A8" w:rsidRPr="000317B6" w14:paraId="3873CF03" w14:textId="77777777">
        <w:tc>
          <w:tcPr>
            <w:tcW w:w="2220" w:type="dxa"/>
            <w:shd w:val="clear" w:color="auto" w:fill="D9E2F3"/>
            <w:tcMar>
              <w:top w:w="80" w:type="dxa"/>
              <w:left w:w="100" w:type="dxa"/>
              <w:bottom w:w="80" w:type="dxa"/>
              <w:right w:w="100" w:type="dxa"/>
            </w:tcMar>
          </w:tcPr>
          <w:p w14:paraId="02868432" w14:textId="77777777" w:rsidR="008973A8" w:rsidRPr="000317B6" w:rsidRDefault="00000000" w:rsidP="000317B6">
            <w:pPr>
              <w:pStyle w:val="T0-Table"/>
            </w:pPr>
            <w:r w:rsidRPr="000317B6">
              <w:t>Table 1.2: Adversary Classes, Documented TTPs, and Framework Mapping</w:t>
            </w:r>
          </w:p>
        </w:tc>
        <w:tc>
          <w:tcPr>
            <w:tcW w:w="7590" w:type="dxa"/>
            <w:shd w:val="clear" w:color="auto" w:fill="D9E2F3"/>
            <w:tcMar>
              <w:top w:w="80" w:type="dxa"/>
              <w:left w:w="100" w:type="dxa"/>
              <w:bottom w:w="80" w:type="dxa"/>
              <w:right w:w="100" w:type="dxa"/>
            </w:tcMar>
          </w:tcPr>
          <w:p w14:paraId="7D8A29D5" w14:textId="77777777" w:rsidR="008973A8" w:rsidRPr="000317B6" w:rsidRDefault="00000000" w:rsidP="000317B6">
            <w:pPr>
              <w:pStyle w:val="T0-Table"/>
            </w:pPr>
            <w:r w:rsidRPr="000317B6">
              <w:t>Source adversary taxonomy. ASCR-15 extends Chapter 1 Table 1.2 with CPS layer specificity and campaign chain structure.</w:t>
            </w:r>
          </w:p>
        </w:tc>
      </w:tr>
      <w:tr w:rsidR="008973A8" w:rsidRPr="000317B6" w14:paraId="39A88894" w14:textId="77777777">
        <w:tc>
          <w:tcPr>
            <w:tcW w:w="2220" w:type="dxa"/>
            <w:shd w:val="clear" w:color="auto" w:fill="FFFFFF"/>
            <w:tcMar>
              <w:top w:w="80" w:type="dxa"/>
              <w:left w:w="100" w:type="dxa"/>
              <w:bottom w:w="80" w:type="dxa"/>
              <w:right w:w="100" w:type="dxa"/>
            </w:tcMar>
          </w:tcPr>
          <w:p w14:paraId="4DD96F98" w14:textId="77777777" w:rsidR="008973A8" w:rsidRPr="000317B6" w:rsidRDefault="00000000" w:rsidP="000317B6">
            <w:pPr>
              <w:pStyle w:val="T0-Table"/>
            </w:pPr>
            <w:r w:rsidRPr="000317B6">
              <w:t>Section 2.7</w:t>
            </w:r>
          </w:p>
        </w:tc>
        <w:tc>
          <w:tcPr>
            <w:tcW w:w="7590" w:type="dxa"/>
            <w:shd w:val="clear" w:color="auto" w:fill="FFFFFF"/>
            <w:tcMar>
              <w:top w:w="80" w:type="dxa"/>
              <w:left w:w="100" w:type="dxa"/>
              <w:bottom w:w="80" w:type="dxa"/>
              <w:right w:w="100" w:type="dxa"/>
            </w:tcMar>
          </w:tcPr>
          <w:p w14:paraId="299AFB54" w14:textId="77777777" w:rsidR="008973A8" w:rsidRPr="000317B6" w:rsidRDefault="00000000" w:rsidP="000317B6">
            <w:pPr>
              <w:pStyle w:val="T0-Table"/>
            </w:pPr>
            <w:r w:rsidRPr="000317B6">
              <w:t>Architectural basis for Component 1 entry point analysis and Component 2 campaign chain structure.</w:t>
            </w:r>
          </w:p>
        </w:tc>
      </w:tr>
      <w:tr w:rsidR="008973A8" w:rsidRPr="000317B6" w14:paraId="645932BC" w14:textId="77777777">
        <w:tc>
          <w:tcPr>
            <w:tcW w:w="2220" w:type="dxa"/>
            <w:shd w:val="clear" w:color="auto" w:fill="D9E2F3"/>
            <w:tcMar>
              <w:top w:w="80" w:type="dxa"/>
              <w:left w:w="100" w:type="dxa"/>
              <w:bottom w:w="80" w:type="dxa"/>
              <w:right w:w="100" w:type="dxa"/>
            </w:tcMar>
          </w:tcPr>
          <w:p w14:paraId="118C5F0C" w14:textId="77777777" w:rsidR="008973A8" w:rsidRPr="000317B6" w:rsidRDefault="00000000" w:rsidP="000317B6">
            <w:pPr>
              <w:pStyle w:val="T0-Table"/>
            </w:pPr>
            <w:r w:rsidRPr="000317B6">
              <w:t>ASCR-02</w:t>
            </w:r>
          </w:p>
        </w:tc>
        <w:tc>
          <w:tcPr>
            <w:tcW w:w="7590" w:type="dxa"/>
            <w:shd w:val="clear" w:color="auto" w:fill="D9E2F3"/>
            <w:tcMar>
              <w:top w:w="80" w:type="dxa"/>
              <w:left w:w="100" w:type="dxa"/>
              <w:bottom w:w="80" w:type="dxa"/>
              <w:right w:w="100" w:type="dxa"/>
            </w:tcMar>
          </w:tcPr>
          <w:p w14:paraId="51271B90" w14:textId="77777777" w:rsidR="008973A8" w:rsidRPr="000317B6" w:rsidRDefault="00000000" w:rsidP="000317B6">
            <w:pPr>
              <w:pStyle w:val="T0-Table"/>
            </w:pPr>
            <w:r w:rsidRPr="000317B6">
              <w:t>Provides the regulatory and standards reference crosswalk used when ASCR-15 Regulatory Relevance citations are localized or re-verified.</w:t>
            </w:r>
          </w:p>
        </w:tc>
      </w:tr>
      <w:tr w:rsidR="008973A8" w:rsidRPr="000317B6" w14:paraId="7467592D" w14:textId="77777777">
        <w:tc>
          <w:tcPr>
            <w:tcW w:w="2220" w:type="dxa"/>
            <w:shd w:val="clear" w:color="auto" w:fill="FFFFFF"/>
            <w:tcMar>
              <w:top w:w="80" w:type="dxa"/>
              <w:left w:w="100" w:type="dxa"/>
              <w:bottom w:w="80" w:type="dxa"/>
              <w:right w:w="100" w:type="dxa"/>
            </w:tcMar>
          </w:tcPr>
          <w:p w14:paraId="4CFC44D1" w14:textId="77777777" w:rsidR="008973A8" w:rsidRPr="000317B6" w:rsidRDefault="00000000" w:rsidP="000317B6">
            <w:pPr>
              <w:pStyle w:val="T0-Table"/>
            </w:pPr>
            <w:r w:rsidRPr="000317B6">
              <w:lastRenderedPageBreak/>
              <w:t>ASCR-03</w:t>
            </w:r>
          </w:p>
        </w:tc>
        <w:tc>
          <w:tcPr>
            <w:tcW w:w="7590" w:type="dxa"/>
            <w:shd w:val="clear" w:color="auto" w:fill="FFFFFF"/>
            <w:tcMar>
              <w:top w:w="80" w:type="dxa"/>
              <w:left w:w="100" w:type="dxa"/>
              <w:bottom w:w="80" w:type="dxa"/>
              <w:right w:w="100" w:type="dxa"/>
            </w:tcMar>
          </w:tcPr>
          <w:p w14:paraId="04E8DCB2" w14:textId="77777777" w:rsidR="008973A8" w:rsidRPr="000317B6" w:rsidRDefault="00000000" w:rsidP="000317B6">
            <w:pPr>
              <w:pStyle w:val="T0-Table"/>
            </w:pPr>
            <w:r w:rsidRPr="000317B6">
              <w:t>Defines the deployment scope and applicable authority boundaries used when ASCR-15 campaign paths are mapped to authorized intervention, escalation, and human-control decisions.</w:t>
            </w:r>
          </w:p>
        </w:tc>
      </w:tr>
      <w:tr w:rsidR="008973A8" w:rsidRPr="000317B6" w14:paraId="7F385B95" w14:textId="77777777">
        <w:tc>
          <w:tcPr>
            <w:tcW w:w="2220" w:type="dxa"/>
            <w:shd w:val="clear" w:color="auto" w:fill="D9E2F3"/>
            <w:tcMar>
              <w:top w:w="80" w:type="dxa"/>
              <w:left w:w="100" w:type="dxa"/>
              <w:bottom w:w="80" w:type="dxa"/>
              <w:right w:w="100" w:type="dxa"/>
            </w:tcMar>
          </w:tcPr>
          <w:p w14:paraId="3BD4FC3F" w14:textId="77777777" w:rsidR="008973A8" w:rsidRPr="000317B6" w:rsidRDefault="00000000" w:rsidP="000317B6">
            <w:pPr>
              <w:pStyle w:val="T0-Table"/>
            </w:pPr>
            <w:r w:rsidRPr="000317B6">
              <w:t>ASCR-04</w:t>
            </w:r>
          </w:p>
        </w:tc>
        <w:tc>
          <w:tcPr>
            <w:tcW w:w="7590" w:type="dxa"/>
            <w:shd w:val="clear" w:color="auto" w:fill="D9E2F3"/>
            <w:tcMar>
              <w:top w:w="80" w:type="dxa"/>
              <w:left w:w="100" w:type="dxa"/>
              <w:bottom w:w="80" w:type="dxa"/>
              <w:right w:w="100" w:type="dxa"/>
            </w:tcMar>
          </w:tcPr>
          <w:p w14:paraId="74DDE21D" w14:textId="77777777" w:rsidR="008973A8" w:rsidRPr="000317B6" w:rsidRDefault="00000000" w:rsidP="000317B6">
            <w:pPr>
              <w:pStyle w:val="T0-Table"/>
            </w:pPr>
            <w:r w:rsidRPr="000317B6">
              <w:t>Specifies the governed runtime policy configuration and enforcement pattern implemented at the MCP and execution boundary, including applicable HOLD/BLOCK dispositions and tool-scope restrictions that can interrupt unauthorized Connectivity Layer propagation.</w:t>
            </w:r>
          </w:p>
        </w:tc>
      </w:tr>
      <w:tr w:rsidR="008973A8" w:rsidRPr="000317B6" w14:paraId="3B25064A" w14:textId="77777777">
        <w:tc>
          <w:tcPr>
            <w:tcW w:w="2220" w:type="dxa"/>
            <w:shd w:val="clear" w:color="auto" w:fill="FFFFFF"/>
            <w:tcMar>
              <w:top w:w="80" w:type="dxa"/>
              <w:left w:w="100" w:type="dxa"/>
              <w:bottom w:w="80" w:type="dxa"/>
              <w:right w:w="100" w:type="dxa"/>
            </w:tcMar>
          </w:tcPr>
          <w:p w14:paraId="301E5672" w14:textId="77777777" w:rsidR="008973A8" w:rsidRPr="000317B6" w:rsidRDefault="00000000" w:rsidP="000317B6">
            <w:pPr>
              <w:pStyle w:val="T0-Table"/>
            </w:pPr>
            <w:r w:rsidRPr="000317B6">
              <w:t>ASCR-05</w:t>
            </w:r>
          </w:p>
        </w:tc>
        <w:tc>
          <w:tcPr>
            <w:tcW w:w="7590" w:type="dxa"/>
            <w:shd w:val="clear" w:color="auto" w:fill="FFFFFF"/>
            <w:tcMar>
              <w:top w:w="80" w:type="dxa"/>
              <w:left w:w="100" w:type="dxa"/>
              <w:bottom w:w="80" w:type="dxa"/>
              <w:right w:w="100" w:type="dxa"/>
            </w:tcMar>
          </w:tcPr>
          <w:p w14:paraId="16E71BDF" w14:textId="77777777" w:rsidR="008973A8" w:rsidRPr="000317B6" w:rsidRDefault="00000000" w:rsidP="000317B6">
            <w:pPr>
              <w:pStyle w:val="T0-Table"/>
            </w:pPr>
            <w:r w:rsidRPr="000317B6">
              <w:t>Defines the reference-security-architecture trust boundaries, conduits, control locations, signal paths, and evidence relationships used to place ASCR-15 campaign paths in the deployment architecture. For conditional cloud-to-edge / cloud-to-OT transit, ASCR-16 remains authoritative for C7 trust-chain verification and related EP-17, EP-18, and EP-19 semantics.</w:t>
            </w:r>
          </w:p>
        </w:tc>
      </w:tr>
      <w:tr w:rsidR="008973A8" w:rsidRPr="000317B6" w14:paraId="35223A29" w14:textId="77777777">
        <w:tc>
          <w:tcPr>
            <w:tcW w:w="2220" w:type="dxa"/>
            <w:shd w:val="clear" w:color="auto" w:fill="D9E2F3"/>
            <w:tcMar>
              <w:top w:w="80" w:type="dxa"/>
              <w:left w:w="100" w:type="dxa"/>
              <w:bottom w:w="80" w:type="dxa"/>
              <w:right w:w="100" w:type="dxa"/>
            </w:tcMar>
          </w:tcPr>
          <w:p w14:paraId="166F1B47" w14:textId="77777777" w:rsidR="008973A8" w:rsidRPr="000317B6" w:rsidRDefault="00000000" w:rsidP="000317B6">
            <w:pPr>
              <w:pStyle w:val="T0-Table"/>
            </w:pPr>
            <w:r w:rsidRPr="000317B6">
              <w:t>ASCR-06</w:t>
            </w:r>
          </w:p>
        </w:tc>
        <w:tc>
          <w:tcPr>
            <w:tcW w:w="7590" w:type="dxa"/>
            <w:shd w:val="clear" w:color="auto" w:fill="D9E2F3"/>
            <w:tcMar>
              <w:top w:w="80" w:type="dxa"/>
              <w:left w:w="100" w:type="dxa"/>
              <w:bottom w:w="80" w:type="dxa"/>
              <w:right w:w="100" w:type="dxa"/>
            </w:tcMar>
          </w:tcPr>
          <w:p w14:paraId="3F7636D4" w14:textId="77777777" w:rsidR="008973A8" w:rsidRPr="000317B6" w:rsidRDefault="00000000" w:rsidP="000317B6">
            <w:pPr>
              <w:pStyle w:val="T0-Table"/>
            </w:pPr>
            <w:r w:rsidRPr="000317B6">
              <w:t>Specifies the step-ahead verification pattern and evidence interface used by an implemented verifier to evaluate proposed consequential actions before actuation; ASCR-04 owns enforcement of the resulting verdict.</w:t>
            </w:r>
          </w:p>
        </w:tc>
      </w:tr>
      <w:tr w:rsidR="008973A8" w:rsidRPr="000317B6" w14:paraId="15293CA8" w14:textId="77777777">
        <w:tc>
          <w:tcPr>
            <w:tcW w:w="2220" w:type="dxa"/>
            <w:shd w:val="clear" w:color="auto" w:fill="FFFFFF"/>
            <w:tcMar>
              <w:top w:w="80" w:type="dxa"/>
              <w:left w:w="100" w:type="dxa"/>
              <w:bottom w:w="80" w:type="dxa"/>
              <w:right w:w="100" w:type="dxa"/>
            </w:tcMar>
          </w:tcPr>
          <w:p w14:paraId="7D1DF3E2" w14:textId="77777777" w:rsidR="008973A8" w:rsidRPr="000317B6" w:rsidRDefault="00000000" w:rsidP="000317B6">
            <w:pPr>
              <w:pStyle w:val="T0-Table"/>
            </w:pPr>
            <w:r w:rsidRPr="000317B6">
              <w:t>ASCR-07</w:t>
            </w:r>
          </w:p>
        </w:tc>
        <w:tc>
          <w:tcPr>
            <w:tcW w:w="7590" w:type="dxa"/>
            <w:shd w:val="clear" w:color="auto" w:fill="FFFFFF"/>
            <w:tcMar>
              <w:top w:w="80" w:type="dxa"/>
              <w:left w:w="100" w:type="dxa"/>
              <w:bottom w:w="80" w:type="dxa"/>
              <w:right w:w="100" w:type="dxa"/>
            </w:tcMar>
          </w:tcPr>
          <w:p w14:paraId="01221FC3" w14:textId="77777777" w:rsidR="008973A8" w:rsidRPr="000317B6" w:rsidRDefault="00000000" w:rsidP="000317B6">
            <w:pPr>
              <w:pStyle w:val="T0-Table"/>
            </w:pPr>
            <w:r w:rsidRPr="000317B6">
              <w:t>Specifies the decision-lineage evidence fields, integrity controls, and logging pattern used to support adversary-class forensic reconstruction and the lookback investigations described in Component 5.</w:t>
            </w:r>
          </w:p>
        </w:tc>
      </w:tr>
      <w:tr w:rsidR="008973A8" w:rsidRPr="000317B6" w14:paraId="057E7077" w14:textId="77777777">
        <w:tc>
          <w:tcPr>
            <w:tcW w:w="2220" w:type="dxa"/>
            <w:shd w:val="clear" w:color="auto" w:fill="D9E2F3"/>
            <w:tcMar>
              <w:top w:w="80" w:type="dxa"/>
              <w:left w:w="100" w:type="dxa"/>
              <w:bottom w:w="80" w:type="dxa"/>
              <w:right w:w="100" w:type="dxa"/>
            </w:tcMar>
          </w:tcPr>
          <w:p w14:paraId="6A08B114" w14:textId="77777777" w:rsidR="008973A8" w:rsidRPr="000317B6" w:rsidRDefault="00000000" w:rsidP="000317B6">
            <w:pPr>
              <w:pStyle w:val="T0-Table"/>
            </w:pPr>
            <w:r w:rsidRPr="000317B6">
              <w:t>ASCR-08</w:t>
            </w:r>
          </w:p>
        </w:tc>
        <w:tc>
          <w:tcPr>
            <w:tcW w:w="7590" w:type="dxa"/>
            <w:shd w:val="clear" w:color="auto" w:fill="D9E2F3"/>
            <w:tcMar>
              <w:top w:w="80" w:type="dxa"/>
              <w:left w:w="100" w:type="dxa"/>
              <w:bottom w:w="80" w:type="dxa"/>
              <w:right w:w="100" w:type="dxa"/>
            </w:tcMar>
          </w:tcPr>
          <w:p w14:paraId="6A7E2C82" w14:textId="77777777" w:rsidR="008973A8" w:rsidRPr="000317B6" w:rsidRDefault="00000000" w:rsidP="000317B6">
            <w:pPr>
              <w:pStyle w:val="T0-Table"/>
            </w:pPr>
            <w:r w:rsidRPr="000317B6">
              <w:t>Provides incident-classification, containment, evidence-preservation, notification, recovery, re-authorization, and post-incident response guidance for campaigns and anomalies identified through ASCR-15.</w:t>
            </w:r>
          </w:p>
        </w:tc>
      </w:tr>
      <w:tr w:rsidR="008973A8" w:rsidRPr="000317B6" w14:paraId="23E45DE5" w14:textId="77777777">
        <w:tc>
          <w:tcPr>
            <w:tcW w:w="2220" w:type="dxa"/>
            <w:shd w:val="clear" w:color="auto" w:fill="FFFFFF"/>
            <w:tcMar>
              <w:top w:w="80" w:type="dxa"/>
              <w:left w:w="100" w:type="dxa"/>
              <w:bottom w:w="80" w:type="dxa"/>
              <w:right w:w="100" w:type="dxa"/>
            </w:tcMar>
          </w:tcPr>
          <w:p w14:paraId="5EAD34A9" w14:textId="77777777" w:rsidR="008973A8" w:rsidRPr="000317B6" w:rsidRDefault="00000000" w:rsidP="000317B6">
            <w:pPr>
              <w:pStyle w:val="T0-Table"/>
            </w:pPr>
            <w:r w:rsidRPr="000317B6">
              <w:t>ASCR-09</w:t>
            </w:r>
          </w:p>
        </w:tc>
        <w:tc>
          <w:tcPr>
            <w:tcW w:w="7590" w:type="dxa"/>
            <w:shd w:val="clear" w:color="auto" w:fill="FFFFFF"/>
            <w:tcMar>
              <w:top w:w="80" w:type="dxa"/>
              <w:left w:w="100" w:type="dxa"/>
              <w:bottom w:w="80" w:type="dxa"/>
              <w:right w:w="100" w:type="dxa"/>
            </w:tcMar>
          </w:tcPr>
          <w:p w14:paraId="35CA1069" w14:textId="77777777" w:rsidR="008973A8" w:rsidRPr="000317B6" w:rsidRDefault="00000000" w:rsidP="000317B6">
            <w:pPr>
              <w:pStyle w:val="T0-Table"/>
            </w:pPr>
            <w:r w:rsidRPr="000317B6">
              <w:t>Provides adversarial scenarios and exercise scripts used to test and challenge the detection coverage represented in Component 3.</w:t>
            </w:r>
          </w:p>
        </w:tc>
      </w:tr>
      <w:tr w:rsidR="008973A8" w:rsidRPr="000317B6" w14:paraId="73D2439F" w14:textId="77777777">
        <w:tc>
          <w:tcPr>
            <w:tcW w:w="2220" w:type="dxa"/>
            <w:shd w:val="clear" w:color="auto" w:fill="D9E2F3"/>
            <w:tcMar>
              <w:top w:w="80" w:type="dxa"/>
              <w:left w:w="100" w:type="dxa"/>
              <w:bottom w:w="80" w:type="dxa"/>
              <w:right w:w="100" w:type="dxa"/>
            </w:tcMar>
          </w:tcPr>
          <w:p w14:paraId="0AF2D431" w14:textId="77777777" w:rsidR="008973A8" w:rsidRPr="000317B6" w:rsidRDefault="00000000" w:rsidP="000317B6">
            <w:pPr>
              <w:pStyle w:val="T0-Table"/>
            </w:pPr>
            <w:r w:rsidRPr="000317B6">
              <w:t>ASCR-10</w:t>
            </w:r>
          </w:p>
        </w:tc>
        <w:tc>
          <w:tcPr>
            <w:tcW w:w="7590" w:type="dxa"/>
            <w:shd w:val="clear" w:color="auto" w:fill="D9E2F3"/>
            <w:tcMar>
              <w:top w:w="80" w:type="dxa"/>
              <w:left w:w="100" w:type="dxa"/>
              <w:bottom w:w="80" w:type="dxa"/>
              <w:right w:w="100" w:type="dxa"/>
            </w:tcMar>
          </w:tcPr>
          <w:p w14:paraId="20C2FF8B" w14:textId="77777777" w:rsidR="008973A8" w:rsidRPr="000317B6" w:rsidRDefault="00000000" w:rsidP="000317B6">
            <w:pPr>
              <w:pStyle w:val="T0-Table"/>
            </w:pPr>
            <w:r w:rsidRPr="000317B6">
              <w:t>Validates operational performance and governs controlled validation, recalibration, and the change-authorization workflow for approved changes associated with the Intelligence Layer change paths identified in Component 1. ASCR-11 remains authoritative for policy and threshold values; applicable ASCR-03 authority boundaries remain in force; runtime policy materialization and enforcement remain with ASCR-04.</w:t>
            </w:r>
          </w:p>
        </w:tc>
      </w:tr>
      <w:tr w:rsidR="008973A8" w:rsidRPr="000317B6" w14:paraId="1F2B8D0C" w14:textId="77777777">
        <w:tc>
          <w:tcPr>
            <w:tcW w:w="2220" w:type="dxa"/>
            <w:shd w:val="clear" w:color="auto" w:fill="FFFFFF"/>
            <w:tcMar>
              <w:top w:w="80" w:type="dxa"/>
              <w:left w:w="100" w:type="dxa"/>
              <w:bottom w:w="80" w:type="dxa"/>
              <w:right w:w="100" w:type="dxa"/>
            </w:tcMar>
          </w:tcPr>
          <w:p w14:paraId="64791994" w14:textId="77777777" w:rsidR="008973A8" w:rsidRPr="000317B6" w:rsidRDefault="00000000" w:rsidP="000317B6">
            <w:pPr>
              <w:pStyle w:val="T0-Table"/>
            </w:pPr>
            <w:r w:rsidRPr="000317B6">
              <w:t>ASCR-11</w:t>
            </w:r>
          </w:p>
        </w:tc>
        <w:tc>
          <w:tcPr>
            <w:tcW w:w="7590" w:type="dxa"/>
            <w:shd w:val="clear" w:color="auto" w:fill="FFFFFF"/>
            <w:tcMar>
              <w:top w:w="80" w:type="dxa"/>
              <w:left w:w="100" w:type="dxa"/>
              <w:bottom w:w="80" w:type="dxa"/>
              <w:right w:w="100" w:type="dxa"/>
            </w:tcMar>
          </w:tcPr>
          <w:p w14:paraId="14D7357C" w14:textId="77777777" w:rsidR="008973A8" w:rsidRPr="000317B6" w:rsidRDefault="00000000" w:rsidP="000317B6">
            <w:pPr>
              <w:pStyle w:val="T0-Table"/>
            </w:pPr>
            <w:r w:rsidRPr="000317B6">
              <w:t>Governs the authoritative thresholds and policy values consumed by implemented detection, verification, and enforcement controls referenced by ASCR-15.</w:t>
            </w:r>
          </w:p>
        </w:tc>
      </w:tr>
      <w:tr w:rsidR="008973A8" w:rsidRPr="000317B6" w14:paraId="31EC54C0" w14:textId="77777777">
        <w:tc>
          <w:tcPr>
            <w:tcW w:w="2220" w:type="dxa"/>
            <w:shd w:val="clear" w:color="auto" w:fill="D9E2F3"/>
            <w:tcMar>
              <w:top w:w="80" w:type="dxa"/>
              <w:left w:w="100" w:type="dxa"/>
              <w:bottom w:w="80" w:type="dxa"/>
              <w:right w:w="100" w:type="dxa"/>
            </w:tcMar>
          </w:tcPr>
          <w:p w14:paraId="64CEC545" w14:textId="77777777" w:rsidR="008973A8" w:rsidRPr="000317B6" w:rsidRDefault="00000000" w:rsidP="000317B6">
            <w:pPr>
              <w:pStyle w:val="T0-Table"/>
            </w:pPr>
            <w:r w:rsidRPr="000317B6">
              <w:t>ASCR-12</w:t>
            </w:r>
          </w:p>
        </w:tc>
        <w:tc>
          <w:tcPr>
            <w:tcW w:w="7590" w:type="dxa"/>
            <w:shd w:val="clear" w:color="auto" w:fill="D9E2F3"/>
            <w:tcMar>
              <w:top w:w="80" w:type="dxa"/>
              <w:left w:w="100" w:type="dxa"/>
              <w:bottom w:w="80" w:type="dxa"/>
              <w:right w:w="100" w:type="dxa"/>
            </w:tcMar>
          </w:tcPr>
          <w:p w14:paraId="6B72E5F2" w14:textId="77777777" w:rsidR="008973A8" w:rsidRPr="000317B6" w:rsidRDefault="00000000" w:rsidP="000317B6">
            <w:pPr>
              <w:pStyle w:val="T0-Table"/>
            </w:pPr>
            <w:r w:rsidRPr="000317B6">
              <w:t>Consumes governed threat-model currency, detection-coverage, exercise, and related assurance indicators for quarterly reporting.</w:t>
            </w:r>
          </w:p>
        </w:tc>
      </w:tr>
      <w:tr w:rsidR="008973A8" w:rsidRPr="000317B6" w14:paraId="5884077B" w14:textId="77777777">
        <w:tc>
          <w:tcPr>
            <w:tcW w:w="2220" w:type="dxa"/>
            <w:shd w:val="clear" w:color="auto" w:fill="FFFFFF"/>
            <w:tcMar>
              <w:top w:w="80" w:type="dxa"/>
              <w:left w:w="100" w:type="dxa"/>
              <w:bottom w:w="80" w:type="dxa"/>
              <w:right w:w="100" w:type="dxa"/>
            </w:tcMar>
          </w:tcPr>
          <w:p w14:paraId="527C0983" w14:textId="77777777" w:rsidR="008973A8" w:rsidRPr="000317B6" w:rsidRDefault="00000000" w:rsidP="000317B6">
            <w:pPr>
              <w:pStyle w:val="T0-Table"/>
            </w:pPr>
            <w:r w:rsidRPr="000317B6">
              <w:lastRenderedPageBreak/>
              <w:t>ASCR-13</w:t>
            </w:r>
          </w:p>
        </w:tc>
        <w:tc>
          <w:tcPr>
            <w:tcW w:w="7590" w:type="dxa"/>
            <w:shd w:val="clear" w:color="auto" w:fill="FFFFFF"/>
            <w:tcMar>
              <w:top w:w="80" w:type="dxa"/>
              <w:left w:w="100" w:type="dxa"/>
              <w:bottom w:w="80" w:type="dxa"/>
              <w:right w:w="100" w:type="dxa"/>
            </w:tcMar>
          </w:tcPr>
          <w:p w14:paraId="7B85D688" w14:textId="77777777" w:rsidR="008973A8" w:rsidRPr="000317B6" w:rsidRDefault="00000000" w:rsidP="000317B6">
            <w:pPr>
              <w:pStyle w:val="T0-Table"/>
            </w:pPr>
            <w:r w:rsidRPr="000317B6">
              <w:t>Provides taskforce role, competency, staffing, and continuity information relevant to the personnel operating the threat-hunt, exercise, and response activities referenced by ASCR-15.</w:t>
            </w:r>
          </w:p>
        </w:tc>
      </w:tr>
      <w:tr w:rsidR="008973A8" w:rsidRPr="000317B6" w14:paraId="6F51423F" w14:textId="77777777">
        <w:tc>
          <w:tcPr>
            <w:tcW w:w="2220" w:type="dxa"/>
            <w:shd w:val="clear" w:color="auto" w:fill="D9E2F3"/>
            <w:tcMar>
              <w:top w:w="80" w:type="dxa"/>
              <w:left w:w="100" w:type="dxa"/>
              <w:bottom w:w="80" w:type="dxa"/>
              <w:right w:w="100" w:type="dxa"/>
            </w:tcMar>
          </w:tcPr>
          <w:p w14:paraId="5C1FDF0F" w14:textId="77777777" w:rsidR="008973A8" w:rsidRPr="000317B6" w:rsidRDefault="00000000" w:rsidP="000317B6">
            <w:pPr>
              <w:pStyle w:val="T0-Table"/>
            </w:pPr>
            <w:r w:rsidRPr="000317B6">
              <w:t>ASCR-14</w:t>
            </w:r>
          </w:p>
        </w:tc>
        <w:tc>
          <w:tcPr>
            <w:tcW w:w="7590" w:type="dxa"/>
            <w:shd w:val="clear" w:color="auto" w:fill="D9E2F3"/>
            <w:tcMar>
              <w:top w:w="80" w:type="dxa"/>
              <w:left w:w="100" w:type="dxa"/>
              <w:bottom w:w="80" w:type="dxa"/>
              <w:right w:w="100" w:type="dxa"/>
            </w:tcMar>
          </w:tcPr>
          <w:p w14:paraId="4DBD396F" w14:textId="77777777" w:rsidR="008973A8" w:rsidRPr="000317B6" w:rsidRDefault="00000000" w:rsidP="000317B6">
            <w:pPr>
              <w:pStyle w:val="T0-Table"/>
            </w:pPr>
            <w:r w:rsidRPr="000317B6">
              <w:t>Uses Component 2 campaign chains as tabletop exercise scenario backbone; cross-references Component 5 leading indicators as blue-team detection objectives.</w:t>
            </w:r>
          </w:p>
        </w:tc>
      </w:tr>
      <w:tr w:rsidR="008973A8" w:rsidRPr="000317B6" w14:paraId="5EC72F64" w14:textId="77777777">
        <w:tc>
          <w:tcPr>
            <w:tcW w:w="2220" w:type="dxa"/>
            <w:shd w:val="clear" w:color="auto" w:fill="FFFFFF"/>
            <w:tcMar>
              <w:top w:w="80" w:type="dxa"/>
              <w:left w:w="100" w:type="dxa"/>
              <w:bottom w:w="80" w:type="dxa"/>
              <w:right w:w="100" w:type="dxa"/>
            </w:tcMar>
          </w:tcPr>
          <w:p w14:paraId="1B674C72" w14:textId="77777777" w:rsidR="008973A8" w:rsidRPr="000317B6" w:rsidRDefault="00000000" w:rsidP="000317B6">
            <w:pPr>
              <w:pStyle w:val="T0-Table"/>
            </w:pPr>
            <w:r w:rsidRPr="000317B6">
              <w:t>ASCR-16</w:t>
            </w:r>
          </w:p>
        </w:tc>
        <w:tc>
          <w:tcPr>
            <w:tcW w:w="7590" w:type="dxa"/>
            <w:shd w:val="clear" w:color="auto" w:fill="FFFFFF"/>
            <w:tcMar>
              <w:top w:w="80" w:type="dxa"/>
              <w:left w:w="100" w:type="dxa"/>
              <w:bottom w:w="80" w:type="dxa"/>
              <w:right w:w="100" w:type="dxa"/>
            </w:tcMar>
          </w:tcPr>
          <w:p w14:paraId="64EC7812" w14:textId="77777777" w:rsidR="008973A8" w:rsidRPr="000317B6" w:rsidRDefault="00000000" w:rsidP="000317B6">
            <w:pPr>
              <w:pStyle w:val="T0-Table"/>
            </w:pPr>
            <w:r w:rsidRPr="000317B6">
              <w:t>Defines cloud-to-edge artifact and context transit-integrity verification patterns that address supply-chain and third-party campaign paths represented in Components 3 and 4.</w:t>
            </w:r>
          </w:p>
        </w:tc>
      </w:tr>
      <w:tr w:rsidR="008973A8" w:rsidRPr="000317B6" w14:paraId="3141C74D" w14:textId="77777777">
        <w:tc>
          <w:tcPr>
            <w:tcW w:w="2220" w:type="dxa"/>
            <w:shd w:val="clear" w:color="auto" w:fill="D9E2F3"/>
          </w:tcPr>
          <w:p w14:paraId="1A71FBE7" w14:textId="77777777" w:rsidR="008973A8" w:rsidRPr="000317B6" w:rsidRDefault="00000000" w:rsidP="000317B6">
            <w:pPr>
              <w:pStyle w:val="T0-Table"/>
            </w:pPr>
            <w:r w:rsidRPr="000317B6">
              <w:t>ASCR-17</w:t>
            </w:r>
          </w:p>
        </w:tc>
        <w:tc>
          <w:tcPr>
            <w:tcW w:w="7590" w:type="dxa"/>
            <w:shd w:val="clear" w:color="auto" w:fill="D9E2F3"/>
          </w:tcPr>
          <w:p w14:paraId="21D987F7" w14:textId="77777777" w:rsidR="008973A8" w:rsidRPr="000317B6" w:rsidRDefault="00000000" w:rsidP="000317B6">
            <w:pPr>
              <w:pStyle w:val="T0-Table"/>
            </w:pPr>
            <w:r w:rsidRPr="000317B6">
              <w:t>Uses the ASCR-15 Supply Chain / Third-Party adversary profile as an input to vendor qualification, supply-chain assurance, and adversarial robustness assessment.</w:t>
            </w:r>
          </w:p>
        </w:tc>
      </w:tr>
      <w:tr w:rsidR="008973A8" w:rsidRPr="000317B6" w14:paraId="1A23BC6D" w14:textId="77777777">
        <w:tc>
          <w:tcPr>
            <w:tcW w:w="2220" w:type="dxa"/>
            <w:shd w:val="clear" w:color="auto" w:fill="FFFFFF"/>
          </w:tcPr>
          <w:p w14:paraId="4387B422" w14:textId="77777777" w:rsidR="008973A8" w:rsidRPr="000317B6" w:rsidRDefault="00000000" w:rsidP="000317B6">
            <w:pPr>
              <w:pStyle w:val="T0-Table"/>
            </w:pPr>
            <w:r w:rsidRPr="000317B6">
              <w:t>AI-BOM (Chapter 5)</w:t>
            </w:r>
          </w:p>
        </w:tc>
        <w:tc>
          <w:tcPr>
            <w:tcW w:w="7590" w:type="dxa"/>
            <w:shd w:val="clear" w:color="auto" w:fill="FFFFFF"/>
          </w:tcPr>
          <w:p w14:paraId="48164A0D" w14:textId="77777777" w:rsidR="008973A8" w:rsidRPr="000317B6" w:rsidRDefault="00000000" w:rsidP="000317B6">
            <w:pPr>
              <w:pStyle w:val="T0-Table"/>
            </w:pPr>
            <w:r w:rsidRPr="000317B6">
              <w:t xml:space="preserve">Provides the model artifact inventory that makes Component 5 lookback investigations tractable for nation-state and supply chain adversary classes. AI/ML artifact inventories should use an interoperable machine-readable BOM format where applicable, such as </w:t>
            </w:r>
            <w:proofErr w:type="spellStart"/>
            <w:r w:rsidRPr="000317B6">
              <w:t>CycloneDX</w:t>
            </w:r>
            <w:proofErr w:type="spellEnd"/>
            <w:r w:rsidRPr="000317B6">
              <w:t xml:space="preserve"> (ECMA-424) or the SPDX 3.0 AI profile, aligned with current CISA SBOM guidance.</w:t>
            </w:r>
          </w:p>
        </w:tc>
      </w:tr>
    </w:tbl>
    <w:p w14:paraId="6800640F" w14:textId="77777777" w:rsidR="008973A8" w:rsidRPr="000317B6" w:rsidRDefault="008973A8" w:rsidP="000317B6">
      <w:pPr>
        <w:pStyle w:val="P0-Paragraph"/>
      </w:pPr>
    </w:p>
    <w:p w14:paraId="720B71B5" w14:textId="77777777" w:rsidR="008973A8" w:rsidRPr="000317B6" w:rsidRDefault="00000000" w:rsidP="000317B6">
      <w:pPr>
        <w:pStyle w:val="HS-Heading1"/>
      </w:pPr>
      <w:r w:rsidRPr="000317B6">
        <w:t>Summary</w:t>
      </w:r>
    </w:p>
    <w:p w14:paraId="3C1619ED" w14:textId="77777777" w:rsidR="008973A8" w:rsidRPr="000317B6" w:rsidRDefault="00000000" w:rsidP="000317B6">
      <w:pPr>
        <w:pStyle w:val="P0-Paragraph"/>
      </w:pPr>
      <w:r w:rsidRPr="000317B6">
        <w:t>The CPS Threat Chain is not a threat surface that requires a new adversary class to exploit. The nation-state actors, financially motivated operators, insider threats, and supply chain adversaries documented in Table 1.2 are already operating against critical infrastructure with the TTPs this artifact maps. What changes in agentic supply chain deployments is the attack surface those TTPs are applied against - a surface where a single Intelligence Layer intervention delivers physical consequence through authorized channels, at machine speed, with architectural deniability that can frustrate conventional forensic investigation when decision-lineage, context-integrity, and authority evidence has not been captured.</w:t>
      </w:r>
    </w:p>
    <w:p w14:paraId="36ED659A" w14:textId="77777777" w:rsidR="008973A8" w:rsidRPr="000317B6" w:rsidRDefault="00000000" w:rsidP="000317B6">
      <w:pPr>
        <w:pStyle w:val="P0-Paragraph"/>
      </w:pPr>
      <w:r w:rsidRPr="000317B6">
        <w:rPr>
          <w:rFonts w:eastAsia="Calibri"/>
        </w:rPr>
        <w:t xml:space="preserve">ASCR-15 is the practitioner's answer to the question that every threat modeling session, threat hunt, and tabletop exercise must begin with: which adversary, entering where, pursuing what, and detectable how? The five components of this artifact - Component 2 in this document, and Components 1, 3, 4, and 5 in the companion workbook - are designed to make that question answerable before an incident occurs, not </w:t>
      </w:r>
      <w:proofErr w:type="spellStart"/>
      <w:r w:rsidRPr="000317B6">
        <w:rPr>
          <w:rFonts w:eastAsia="Calibri"/>
        </w:rPr>
        <w:t>reconstructable</w:t>
      </w:r>
      <w:proofErr w:type="spellEnd"/>
      <w:r w:rsidRPr="000317B6">
        <w:rPr>
          <w:rFonts w:eastAsia="Calibri"/>
        </w:rPr>
        <w:t xml:space="preserve"> after one does.</w:t>
      </w:r>
    </w:p>
    <w:p w14:paraId="4C5F89E1" w14:textId="77777777" w:rsidR="008973A8" w:rsidRPr="000317B6" w:rsidRDefault="00000000" w:rsidP="000317B6">
      <w:pPr>
        <w:pStyle w:val="P0-Paragraph"/>
      </w:pPr>
      <w:r w:rsidRPr="000317B6">
        <w:rPr>
          <w:rFonts w:eastAsia="Calibri"/>
        </w:rPr>
        <w:t>Organizations that instrument against these chains before an incident are better positioned to reconstruct the Intelligence Layer origin, preserve causal evidence, and reduce ASCR-08 Indeterminate incident classifications. Where the required telemetry was not captured during the relevant campaign period, some causal or attribution questions may remain unresolved.</w:t>
      </w:r>
    </w:p>
    <w:p w14:paraId="08395AC7" w14:textId="77777777" w:rsidR="008973A8" w:rsidRPr="000317B6" w:rsidRDefault="00000000" w:rsidP="000317B6">
      <w:pPr>
        <w:pStyle w:val="P0-Paragraph"/>
      </w:pPr>
      <w:r w:rsidRPr="000317B6">
        <w:t xml:space="preserve">Prioritize decision-lineage evidence early. ASCR-07 specifies the logging and integrity pattern that supports many forensic reconstructions in this matrix. Implement the required evidence </w:t>
      </w:r>
      <w:proofErr w:type="gramStart"/>
      <w:r w:rsidRPr="000317B6">
        <w:t>capture</w:t>
      </w:r>
      <w:proofErr w:type="gramEnd"/>
      <w:r w:rsidRPr="000317B6">
        <w:t xml:space="preserve"> before an incident occurs so the records exist when reconstruction begins.</w:t>
      </w:r>
    </w:p>
    <w:sectPr w:rsidR="008973A8" w:rsidRPr="000317B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1439A6-C748-4714-BDF7-7057A3F4D40D}"/>
    <w:embedBold r:id="rId2" w:fontKey="{9BC73855-D24C-4175-A3E9-BBB9759FD864}"/>
    <w:embedItalic r:id="rId3" w:fontKey="{DB6DC8B3-C517-4D13-9F3E-70C7A72C4EAA}"/>
  </w:font>
  <w:font w:name="Cambria">
    <w:panose1 w:val="02040503050406030204"/>
    <w:charset w:val="00"/>
    <w:family w:val="roman"/>
    <w:pitch w:val="variable"/>
    <w:sig w:usb0="E00006FF" w:usb1="420024FF" w:usb2="02000000" w:usb3="00000000" w:csb0="0000019F" w:csb1="00000000"/>
    <w:embedRegular r:id="rId4" w:fontKey="{DE7B6CC1-C6E3-4EFA-A3FC-DA7F5E069789}"/>
    <w:embedBold r:id="rId5" w:fontKey="{1236A251-5E6F-4791-9F57-15CF54CCBC19}"/>
    <w:embedItalic r:id="rId6" w:fontKey="{09AC4515-8EF6-423C-9B24-F570DBFEB2E1}"/>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82DB8244-C7A1-4930-BA59-05BC4E0295EB}"/>
    <w:embedBold r:id="rId8" w:fontKey="{35FC86EC-7789-4515-931B-FB26B1EAA8AF}"/>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6BF1AF39-E2DA-457B-BBCE-215A2730218E}"/>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07EEB27F-11E7-458F-BF77-7789493A6641}"/>
  </w:font>
  <w:font w:name="Cambria Math">
    <w:panose1 w:val="02040503050406030204"/>
    <w:charset w:val="00"/>
    <w:family w:val="roman"/>
    <w:pitch w:val="variable"/>
    <w:sig w:usb0="E00006FF" w:usb1="420024FF" w:usb2="02000000" w:usb3="00000000" w:csb0="0000019F" w:csb1="00000000"/>
    <w:embedRegular r:id="rId11" w:fontKey="{2F444174-E808-4CED-B0EB-60050D4E13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5B5EBE"/>
    <w:multiLevelType w:val="multilevel"/>
    <w:tmpl w:val="5AF2563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1"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5"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71C44A38"/>
    <w:multiLevelType w:val="multilevel"/>
    <w:tmpl w:val="FA005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62206657">
    <w:abstractNumId w:val="6"/>
  </w:num>
  <w:num w:numId="2" w16cid:durableId="919103086">
    <w:abstractNumId w:val="17"/>
  </w:num>
  <w:num w:numId="3" w16cid:durableId="512497296">
    <w:abstractNumId w:val="18"/>
  </w:num>
  <w:num w:numId="4" w16cid:durableId="1730574350">
    <w:abstractNumId w:val="3"/>
  </w:num>
  <w:num w:numId="5" w16cid:durableId="264657427">
    <w:abstractNumId w:val="0"/>
  </w:num>
  <w:num w:numId="6" w16cid:durableId="1399671067">
    <w:abstractNumId w:val="4"/>
  </w:num>
  <w:num w:numId="7" w16cid:durableId="1604025277">
    <w:abstractNumId w:val="10"/>
  </w:num>
  <w:num w:numId="8" w16cid:durableId="1253124087">
    <w:abstractNumId w:val="8"/>
  </w:num>
  <w:num w:numId="9" w16cid:durableId="1655912333">
    <w:abstractNumId w:val="12"/>
  </w:num>
  <w:num w:numId="10" w16cid:durableId="722173098">
    <w:abstractNumId w:val="7"/>
  </w:num>
  <w:num w:numId="11" w16cid:durableId="1279526178">
    <w:abstractNumId w:val="2"/>
  </w:num>
  <w:num w:numId="12" w16cid:durableId="696858381">
    <w:abstractNumId w:val="11"/>
  </w:num>
  <w:num w:numId="13" w16cid:durableId="984697512">
    <w:abstractNumId w:val="1"/>
  </w:num>
  <w:num w:numId="14" w16cid:durableId="1314287334">
    <w:abstractNumId w:val="5"/>
  </w:num>
  <w:num w:numId="15" w16cid:durableId="529880452">
    <w:abstractNumId w:val="9"/>
  </w:num>
  <w:num w:numId="16" w16cid:durableId="957100090">
    <w:abstractNumId w:val="15"/>
  </w:num>
  <w:num w:numId="17" w16cid:durableId="500195562">
    <w:abstractNumId w:val="13"/>
  </w:num>
  <w:num w:numId="18" w16cid:durableId="427190788">
    <w:abstractNumId w:val="16"/>
  </w:num>
  <w:num w:numId="19" w16cid:durableId="14386720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A8"/>
    <w:rsid w:val="000317B6"/>
    <w:rsid w:val="004472D3"/>
    <w:rsid w:val="0089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C559"/>
  <w15:docId w15:val="{54530AD4-5355-42EF-9BC4-5A699303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7B6"/>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0317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0317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0317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0317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0317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031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031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031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031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31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17B6"/>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317B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link w:val="SubtitleChar"/>
    <w:uiPriority w:val="11"/>
    <w:qFormat/>
    <w:rsid w:val="000317B6"/>
    <w:pPr>
      <w:numPr>
        <w:ilvl w:val="1"/>
      </w:numPr>
    </w:pPr>
    <w:rPr>
      <w:rFonts w:eastAsiaTheme="majorEastAsia" w:cstheme="majorBidi"/>
      <w:color w:val="595959" w:themeColor="text1" w:themeTint="A6"/>
      <w:spacing w:val="15"/>
      <w:sz w:val="28"/>
      <w:szCs w:val="28"/>
    </w:r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0317B6"/>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0317B6"/>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0317B6"/>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BM-BookCover">
    <w:name w:val="BM - BookCover"/>
    <w:basedOn w:val="Normal"/>
    <w:rsid w:val="000317B6"/>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0317B6"/>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0317B6"/>
    <w:pPr>
      <w:spacing w:after="120" w:line="276" w:lineRule="auto"/>
      <w:jc w:val="both"/>
    </w:pPr>
    <w:rPr>
      <w:rFonts w:ascii="Crimson Pro" w:eastAsia="Times New Roman" w:hAnsi="Crimson Pro" w:cs="Times New Roman"/>
      <w:szCs w:val="24"/>
    </w:rPr>
  </w:style>
  <w:style w:type="paragraph" w:customStyle="1" w:styleId="C-Comment">
    <w:name w:val="C - Comment"/>
    <w:basedOn w:val="P0-Paragraph"/>
    <w:next w:val="P0-Paragraph"/>
    <w:rsid w:val="000317B6"/>
    <w:pPr>
      <w:spacing w:line="360" w:lineRule="auto"/>
    </w:pPr>
    <w:rPr>
      <w:rFonts w:ascii="Arial" w:hAnsi="Arial"/>
      <w:b/>
      <w:color w:val="FF0000"/>
      <w:sz w:val="28"/>
      <w:szCs w:val="28"/>
    </w:rPr>
  </w:style>
  <w:style w:type="paragraph" w:customStyle="1" w:styleId="C-Citation">
    <w:name w:val="C - Citation"/>
    <w:basedOn w:val="C-Comment"/>
    <w:qFormat/>
    <w:rsid w:val="000317B6"/>
    <w:rPr>
      <w:color w:val="FFFF00"/>
      <w:sz w:val="20"/>
    </w:rPr>
  </w:style>
  <w:style w:type="paragraph" w:customStyle="1" w:styleId="C0-CodeBlock">
    <w:name w:val="C0 - CodeBlock"/>
    <w:basedOn w:val="Normal"/>
    <w:rsid w:val="000317B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0317B6"/>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0317B6"/>
    <w:pPr>
      <w:ind w:left="907"/>
    </w:pPr>
  </w:style>
  <w:style w:type="paragraph" w:customStyle="1" w:styleId="C1-ConsoleBlock">
    <w:name w:val="C1 - ConsoleBlock"/>
    <w:basedOn w:val="C1-CodeBlock"/>
    <w:rsid w:val="000317B6"/>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0317B6"/>
    <w:pPr>
      <w:ind w:left="1526"/>
    </w:pPr>
  </w:style>
  <w:style w:type="paragraph" w:customStyle="1" w:styleId="C2-ConsoleBlock">
    <w:name w:val="C2 - ConsoleBlock"/>
    <w:basedOn w:val="C0-ConsoleBlock"/>
    <w:rsid w:val="000317B6"/>
    <w:pPr>
      <w:ind w:left="2074"/>
    </w:pPr>
  </w:style>
  <w:style w:type="character" w:customStyle="1" w:styleId="CS-BoldItalic">
    <w:name w:val="CS - BoldItalic"/>
    <w:basedOn w:val="DefaultParagraphFont"/>
    <w:rsid w:val="000317B6"/>
    <w:rPr>
      <w:b/>
      <w:i/>
    </w:rPr>
  </w:style>
  <w:style w:type="character" w:customStyle="1" w:styleId="CS-HighlightedCode">
    <w:name w:val="CS - HighlightedCode"/>
    <w:qFormat/>
    <w:rsid w:val="000317B6"/>
    <w:rPr>
      <w:rFonts w:ascii="Consolas" w:hAnsi="Consolas"/>
      <w:b/>
      <w:color w:val="747959"/>
      <w:sz w:val="19"/>
      <w:szCs w:val="18"/>
    </w:rPr>
  </w:style>
  <w:style w:type="character" w:customStyle="1" w:styleId="CS-InlineCode">
    <w:name w:val="CS - InlineCode"/>
    <w:rsid w:val="000317B6"/>
    <w:rPr>
      <w:rFonts w:ascii="Consolas" w:hAnsi="Consolas"/>
      <w:color w:val="747959"/>
      <w:sz w:val="19"/>
      <w:szCs w:val="18"/>
    </w:rPr>
  </w:style>
  <w:style w:type="character" w:customStyle="1" w:styleId="CS-Italic">
    <w:name w:val="CS - Italic"/>
    <w:rsid w:val="000317B6"/>
    <w:rPr>
      <w:i/>
      <w:color w:val="FF99CC"/>
    </w:rPr>
  </w:style>
  <w:style w:type="character" w:customStyle="1" w:styleId="CS-Keyword">
    <w:name w:val="CS - Keyword"/>
    <w:rsid w:val="000317B6"/>
    <w:rPr>
      <w:b/>
    </w:rPr>
  </w:style>
  <w:style w:type="character" w:customStyle="1" w:styleId="CS-Screentext">
    <w:name w:val="CS - Screentext"/>
    <w:rsid w:val="000317B6"/>
    <w:rPr>
      <w:b/>
      <w:color w:val="008000"/>
    </w:rPr>
  </w:style>
  <w:style w:type="character" w:customStyle="1" w:styleId="CS-Subscript">
    <w:name w:val="CS - Subscript"/>
    <w:basedOn w:val="DefaultParagraphFont"/>
    <w:rsid w:val="000317B6"/>
    <w:rPr>
      <w:i w:val="0"/>
      <w:vertAlign w:val="subscript"/>
    </w:rPr>
  </w:style>
  <w:style w:type="character" w:customStyle="1" w:styleId="CS-SubscriptBold">
    <w:name w:val="CS - SubscriptBold"/>
    <w:basedOn w:val="DefaultParagraphFont"/>
    <w:rsid w:val="000317B6"/>
    <w:rPr>
      <w:b/>
      <w:vertAlign w:val="subscript"/>
    </w:rPr>
  </w:style>
  <w:style w:type="character" w:customStyle="1" w:styleId="CS-SubscriptBoldItalic">
    <w:name w:val="CS - SubscriptBoldItalic"/>
    <w:basedOn w:val="DefaultParagraphFont"/>
    <w:rsid w:val="000317B6"/>
    <w:rPr>
      <w:b/>
      <w:i/>
      <w:vertAlign w:val="subscript"/>
    </w:rPr>
  </w:style>
  <w:style w:type="character" w:customStyle="1" w:styleId="CS-SubscriptItalic">
    <w:name w:val="CS - SubscriptItalic"/>
    <w:basedOn w:val="DefaultParagraphFont"/>
    <w:rsid w:val="000317B6"/>
    <w:rPr>
      <w:i/>
      <w:vertAlign w:val="subscript"/>
    </w:rPr>
  </w:style>
  <w:style w:type="character" w:customStyle="1" w:styleId="CS-Superscript">
    <w:name w:val="CS - Superscript"/>
    <w:basedOn w:val="DefaultParagraphFont"/>
    <w:rsid w:val="000317B6"/>
    <w:rPr>
      <w:vertAlign w:val="superscript"/>
    </w:rPr>
  </w:style>
  <w:style w:type="character" w:customStyle="1" w:styleId="CS-SuperscriptBold">
    <w:name w:val="CS - SuperscriptBold"/>
    <w:basedOn w:val="DefaultParagraphFont"/>
    <w:rsid w:val="000317B6"/>
    <w:rPr>
      <w:b/>
      <w:vertAlign w:val="superscript"/>
    </w:rPr>
  </w:style>
  <w:style w:type="character" w:customStyle="1" w:styleId="CS-SuperscriptBoldItalic">
    <w:name w:val="CS - SuperscriptBoldItalic"/>
    <w:basedOn w:val="DefaultParagraphFont"/>
    <w:rsid w:val="000317B6"/>
    <w:rPr>
      <w:b/>
      <w:i/>
      <w:vertAlign w:val="superscript"/>
    </w:rPr>
  </w:style>
  <w:style w:type="character" w:customStyle="1" w:styleId="CS-SuperscriptItalic">
    <w:name w:val="CS - SuperscriptItalic"/>
    <w:basedOn w:val="DefaultParagraphFont"/>
    <w:rsid w:val="000317B6"/>
    <w:rPr>
      <w:i/>
      <w:vertAlign w:val="superscript"/>
    </w:rPr>
  </w:style>
  <w:style w:type="character" w:customStyle="1" w:styleId="CS-URL">
    <w:name w:val="CS - URL"/>
    <w:rsid w:val="000317B6"/>
    <w:rPr>
      <w:rFonts w:ascii="Consolas" w:hAnsi="Consolas"/>
      <w:color w:val="0000FF"/>
      <w:sz w:val="19"/>
      <w:szCs w:val="18"/>
    </w:rPr>
  </w:style>
  <w:style w:type="paragraph" w:customStyle="1" w:styleId="F0-Figure">
    <w:name w:val="F0 - Figure"/>
    <w:basedOn w:val="P0-Paragraph"/>
    <w:next w:val="Normal"/>
    <w:rsid w:val="000317B6"/>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0317B6"/>
    <w:pPr>
      <w:ind w:left="630" w:right="630"/>
    </w:pPr>
  </w:style>
  <w:style w:type="paragraph" w:customStyle="1" w:styleId="F1-Figure">
    <w:name w:val="F1 - Figure"/>
    <w:basedOn w:val="F0-Figure"/>
    <w:next w:val="F0-FigureCaption"/>
    <w:qFormat/>
    <w:rsid w:val="000317B6"/>
    <w:pPr>
      <w:ind w:left="630"/>
    </w:pPr>
  </w:style>
  <w:style w:type="paragraph" w:customStyle="1" w:styleId="F1-FigureCaption">
    <w:name w:val="F1 - FigureCaption"/>
    <w:basedOn w:val="F0-FigureCaption"/>
    <w:rsid w:val="000317B6"/>
    <w:pPr>
      <w:ind w:left="1260"/>
    </w:pPr>
  </w:style>
  <w:style w:type="paragraph" w:customStyle="1" w:styleId="F2-Figure">
    <w:name w:val="F2 - Figure"/>
    <w:basedOn w:val="F0-Figure"/>
    <w:rsid w:val="000317B6"/>
    <w:pPr>
      <w:ind w:left="1260"/>
    </w:pPr>
  </w:style>
  <w:style w:type="paragraph" w:customStyle="1" w:styleId="F2-FigureCaption">
    <w:name w:val="F2 - FigureCaption"/>
    <w:basedOn w:val="F0-FigureCaption"/>
    <w:rsid w:val="000317B6"/>
    <w:pPr>
      <w:ind w:left="1890"/>
    </w:pPr>
  </w:style>
  <w:style w:type="paragraph" w:customStyle="1" w:styleId="FM-Acknowledgement">
    <w:name w:val="FM - Acknowledgement"/>
    <w:basedOn w:val="Normal"/>
    <w:rsid w:val="000317B6"/>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0317B6"/>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0317B6"/>
    <w:rPr>
      <w:b/>
      <w:sz w:val="28"/>
    </w:rPr>
  </w:style>
  <w:style w:type="character" w:customStyle="1" w:styleId="FM-AuthorNameinBio">
    <w:name w:val="FM - AuthorNameinBio"/>
    <w:uiPriority w:val="1"/>
    <w:rsid w:val="000317B6"/>
    <w:rPr>
      <w:b/>
      <w:color w:val="FF0000"/>
      <w:sz w:val="24"/>
    </w:rPr>
  </w:style>
  <w:style w:type="paragraph" w:customStyle="1" w:styleId="FM-BookEdition">
    <w:name w:val="FM - BookEdition"/>
    <w:basedOn w:val="FM-BookTitle"/>
    <w:rsid w:val="000317B6"/>
    <w:rPr>
      <w:sz w:val="28"/>
    </w:rPr>
  </w:style>
  <w:style w:type="paragraph" w:customStyle="1" w:styleId="FM-CopyrightPageBookEdition">
    <w:name w:val="FM - CopyrightPageBookEdition"/>
    <w:basedOn w:val="FM-BookTitle"/>
    <w:rsid w:val="000317B6"/>
    <w:pPr>
      <w:spacing w:before="0"/>
    </w:pPr>
    <w:rPr>
      <w:sz w:val="26"/>
    </w:rPr>
  </w:style>
  <w:style w:type="paragraph" w:customStyle="1" w:styleId="FM-CopyrightPageBookTitle">
    <w:name w:val="FM - CopyrightPageBookTitle"/>
    <w:basedOn w:val="FM-BookTitle"/>
    <w:rsid w:val="000317B6"/>
    <w:rPr>
      <w:sz w:val="32"/>
    </w:rPr>
  </w:style>
  <w:style w:type="paragraph" w:customStyle="1" w:styleId="FM-CopyrightPageText">
    <w:name w:val="FM - CopyrightPageText"/>
    <w:basedOn w:val="Normal"/>
    <w:rsid w:val="000317B6"/>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0317B6"/>
    <w:pPr>
      <w:spacing w:after="80"/>
    </w:pPr>
  </w:style>
  <w:style w:type="paragraph" w:customStyle="1" w:styleId="FM-Subtitle">
    <w:name w:val="FM - Subtitle"/>
    <w:basedOn w:val="FM-BookTitle"/>
    <w:rsid w:val="000317B6"/>
    <w:rPr>
      <w:sz w:val="32"/>
    </w:rPr>
  </w:style>
  <w:style w:type="paragraph" w:customStyle="1" w:styleId="FM-TitlePageLogo">
    <w:name w:val="FM - TitlePageLogo"/>
    <w:basedOn w:val="FM-BookTitle"/>
    <w:rsid w:val="000317B6"/>
    <w:rPr>
      <w:noProof/>
      <w:sz w:val="22"/>
    </w:rPr>
  </w:style>
  <w:style w:type="paragraph" w:customStyle="1" w:styleId="FM-TitlePageLogoFooter">
    <w:name w:val="FM - TitlePageLogoFooter"/>
    <w:basedOn w:val="FM-BookTitle"/>
    <w:rsid w:val="000317B6"/>
    <w:rPr>
      <w:sz w:val="22"/>
    </w:rPr>
  </w:style>
  <w:style w:type="paragraph" w:customStyle="1" w:styleId="hljs">
    <w:name w:val="hljs"/>
    <w:basedOn w:val="Normal"/>
    <w:uiPriority w:val="1"/>
    <w:unhideWhenUsed/>
    <w:rsid w:val="000317B6"/>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0317B6"/>
    <w:rPr>
      <w:color w:val="50A14F"/>
    </w:rPr>
  </w:style>
  <w:style w:type="character" w:customStyle="1" w:styleId="hljs-addition-slc">
    <w:name w:val="hljs-addition-slc"/>
    <w:basedOn w:val="hljs-addition"/>
    <w:uiPriority w:val="1"/>
    <w:unhideWhenUsed/>
    <w:rsid w:val="000317B6"/>
    <w:rPr>
      <w:b/>
      <w:bCs/>
      <w:color w:val="50A14F"/>
      <w:sz w:val="20"/>
      <w:shd w:val="clear" w:color="auto" w:fill="D4D4D4"/>
    </w:rPr>
  </w:style>
  <w:style w:type="character" w:customStyle="1" w:styleId="hljs-attr">
    <w:name w:val="hljs-attr"/>
    <w:basedOn w:val="DefaultParagraphFont"/>
    <w:uiPriority w:val="1"/>
    <w:unhideWhenUsed/>
    <w:rsid w:val="000317B6"/>
    <w:rPr>
      <w:color w:val="986801"/>
    </w:rPr>
  </w:style>
  <w:style w:type="character" w:customStyle="1" w:styleId="hljs-attribute">
    <w:name w:val="hljs-attribute"/>
    <w:basedOn w:val="DefaultParagraphFont"/>
    <w:uiPriority w:val="1"/>
    <w:unhideWhenUsed/>
    <w:rsid w:val="000317B6"/>
    <w:rPr>
      <w:color w:val="50A14F"/>
    </w:rPr>
  </w:style>
  <w:style w:type="character" w:customStyle="1" w:styleId="hljs-attribute-slc">
    <w:name w:val="hljs-attribute-slc"/>
    <w:basedOn w:val="hljs-attribute"/>
    <w:uiPriority w:val="1"/>
    <w:unhideWhenUsed/>
    <w:rsid w:val="000317B6"/>
    <w:rPr>
      <w:b/>
      <w:bCs/>
      <w:color w:val="50A14F"/>
      <w:sz w:val="20"/>
      <w:shd w:val="clear" w:color="auto" w:fill="D4D4D4"/>
    </w:rPr>
  </w:style>
  <w:style w:type="character" w:customStyle="1" w:styleId="hljs-attr-slc">
    <w:name w:val="hljs-attr-slc"/>
    <w:basedOn w:val="hljs-attr"/>
    <w:uiPriority w:val="1"/>
    <w:unhideWhenUsed/>
    <w:rsid w:val="000317B6"/>
    <w:rPr>
      <w:b/>
      <w:bCs/>
      <w:color w:val="986801"/>
      <w:sz w:val="20"/>
      <w:shd w:val="clear" w:color="auto" w:fill="D4D4D4"/>
    </w:rPr>
  </w:style>
  <w:style w:type="character" w:customStyle="1" w:styleId="hljs-builtin">
    <w:name w:val="hljs-built_in"/>
    <w:basedOn w:val="DefaultParagraphFont"/>
    <w:unhideWhenUsed/>
    <w:rsid w:val="000317B6"/>
    <w:rPr>
      <w:color w:val="C18401"/>
    </w:rPr>
  </w:style>
  <w:style w:type="character" w:customStyle="1" w:styleId="hljs-builtin-slc">
    <w:name w:val="hljs-built_in-slc"/>
    <w:basedOn w:val="hljs-builtin"/>
    <w:uiPriority w:val="1"/>
    <w:unhideWhenUsed/>
    <w:rsid w:val="000317B6"/>
    <w:rPr>
      <w:b/>
      <w:bCs/>
      <w:color w:val="C18401"/>
      <w:sz w:val="20"/>
      <w:shd w:val="clear" w:color="auto" w:fill="D4D4D4"/>
    </w:rPr>
  </w:style>
  <w:style w:type="character" w:customStyle="1" w:styleId="hljs-builtin-name">
    <w:name w:val="hljs-builtin-name"/>
    <w:basedOn w:val="DefaultParagraphFont"/>
    <w:uiPriority w:val="1"/>
    <w:unhideWhenUsed/>
    <w:rsid w:val="000317B6"/>
  </w:style>
  <w:style w:type="character" w:customStyle="1" w:styleId="hljs-builtin-name-slc">
    <w:name w:val="hljs-builtin-name-slc"/>
    <w:basedOn w:val="hljs-builtin-name"/>
    <w:uiPriority w:val="1"/>
    <w:unhideWhenUsed/>
    <w:rsid w:val="000317B6"/>
    <w:rPr>
      <w:b/>
      <w:bCs/>
      <w:sz w:val="20"/>
      <w:shd w:val="clear" w:color="auto" w:fill="D4D4D4"/>
    </w:rPr>
  </w:style>
  <w:style w:type="character" w:customStyle="1" w:styleId="hljs-bullet">
    <w:name w:val="hljs-bullet"/>
    <w:basedOn w:val="DefaultParagraphFont"/>
    <w:uiPriority w:val="1"/>
    <w:unhideWhenUsed/>
    <w:rsid w:val="000317B6"/>
    <w:rPr>
      <w:color w:val="4078F2"/>
    </w:rPr>
  </w:style>
  <w:style w:type="character" w:customStyle="1" w:styleId="hljs-bullet-slc">
    <w:name w:val="hljs-bullet-slc"/>
    <w:basedOn w:val="hljs-bullet"/>
    <w:uiPriority w:val="1"/>
    <w:unhideWhenUsed/>
    <w:rsid w:val="000317B6"/>
    <w:rPr>
      <w:b/>
      <w:bCs/>
      <w:color w:val="4078F2"/>
      <w:sz w:val="20"/>
      <w:shd w:val="clear" w:color="auto" w:fill="D4D4D4"/>
    </w:rPr>
  </w:style>
  <w:style w:type="character" w:customStyle="1" w:styleId="hljs-class">
    <w:name w:val="hljs-class"/>
    <w:basedOn w:val="DefaultParagraphFont"/>
    <w:uiPriority w:val="1"/>
    <w:unhideWhenUsed/>
    <w:rsid w:val="000317B6"/>
  </w:style>
  <w:style w:type="character" w:customStyle="1" w:styleId="hljs-class-slc">
    <w:name w:val="hljs-class-slc"/>
    <w:basedOn w:val="hljs-class"/>
    <w:uiPriority w:val="1"/>
    <w:unhideWhenUsed/>
    <w:rsid w:val="000317B6"/>
    <w:rPr>
      <w:b/>
      <w:bCs/>
      <w:sz w:val="20"/>
      <w:shd w:val="clear" w:color="auto" w:fill="D4D4D4"/>
    </w:rPr>
  </w:style>
  <w:style w:type="character" w:customStyle="1" w:styleId="hljs-code">
    <w:name w:val="hljs-code"/>
    <w:basedOn w:val="DefaultParagraphFont"/>
    <w:uiPriority w:val="1"/>
    <w:unhideWhenUsed/>
    <w:rsid w:val="000317B6"/>
  </w:style>
  <w:style w:type="character" w:customStyle="1" w:styleId="hljs-code-slc">
    <w:name w:val="hljs-code-slc"/>
    <w:basedOn w:val="hljs-code"/>
    <w:uiPriority w:val="1"/>
    <w:unhideWhenUsed/>
    <w:rsid w:val="000317B6"/>
    <w:rPr>
      <w:b/>
      <w:bCs/>
      <w:sz w:val="20"/>
      <w:shd w:val="clear" w:color="auto" w:fill="D4D4D4"/>
    </w:rPr>
  </w:style>
  <w:style w:type="character" w:customStyle="1" w:styleId="hljs-comment">
    <w:name w:val="hljs-comment"/>
    <w:basedOn w:val="DefaultParagraphFont"/>
    <w:uiPriority w:val="1"/>
    <w:unhideWhenUsed/>
    <w:rsid w:val="000317B6"/>
    <w:rPr>
      <w:i/>
      <w:iCs/>
      <w:color w:val="A0A1A7"/>
    </w:rPr>
  </w:style>
  <w:style w:type="character" w:customStyle="1" w:styleId="hljs-comment-slc">
    <w:name w:val="hljs-comment-slc"/>
    <w:basedOn w:val="hljs-comment"/>
    <w:uiPriority w:val="1"/>
    <w:unhideWhenUsed/>
    <w:rsid w:val="000317B6"/>
    <w:rPr>
      <w:b/>
      <w:bCs/>
      <w:i/>
      <w:iCs/>
      <w:color w:val="A0A1A7"/>
      <w:sz w:val="20"/>
      <w:shd w:val="clear" w:color="auto" w:fill="D4D4D4"/>
    </w:rPr>
  </w:style>
  <w:style w:type="paragraph" w:customStyle="1" w:styleId="hljs-con">
    <w:name w:val="hljs-con"/>
    <w:basedOn w:val="Normal"/>
    <w:uiPriority w:val="1"/>
    <w:unhideWhenUsed/>
    <w:rsid w:val="000317B6"/>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0317B6"/>
    <w:rPr>
      <w:color w:val="F1FA8C"/>
    </w:rPr>
  </w:style>
  <w:style w:type="character" w:customStyle="1" w:styleId="hljs-con-addition-slc">
    <w:name w:val="hljs-con-addition-slc"/>
    <w:basedOn w:val="DefaultParagraphFont"/>
    <w:uiPriority w:val="1"/>
    <w:unhideWhenUsed/>
    <w:rsid w:val="000317B6"/>
    <w:rPr>
      <w:b/>
      <w:bCs/>
      <w:color w:val="F1FA8C"/>
      <w:shd w:val="clear" w:color="auto" w:fill="44475A"/>
    </w:rPr>
  </w:style>
  <w:style w:type="character" w:customStyle="1" w:styleId="hljs-con-attr">
    <w:name w:val="hljs-con-attr"/>
    <w:basedOn w:val="DefaultParagraphFont"/>
    <w:uiPriority w:val="1"/>
    <w:unhideWhenUsed/>
    <w:rsid w:val="000317B6"/>
    <w:rPr>
      <w:color w:val="F1FA8C"/>
    </w:rPr>
  </w:style>
  <w:style w:type="character" w:customStyle="1" w:styleId="hljs-con-attribute">
    <w:name w:val="hljs-con-attribute"/>
    <w:basedOn w:val="DefaultParagraphFont"/>
    <w:uiPriority w:val="1"/>
    <w:unhideWhenUsed/>
    <w:rsid w:val="000317B6"/>
    <w:rPr>
      <w:color w:val="F8F8F2"/>
      <w:shd w:val="clear" w:color="auto" w:fill="282A36"/>
    </w:rPr>
  </w:style>
  <w:style w:type="character" w:customStyle="1" w:styleId="Heading1Char">
    <w:name w:val="Heading 1 Char"/>
    <w:basedOn w:val="DefaultParagraphFont"/>
    <w:link w:val="Heading1"/>
    <w:uiPriority w:val="9"/>
    <w:rsid w:val="000317B6"/>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0317B6"/>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0317B6"/>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0317B6"/>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0317B6"/>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0317B6"/>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ljs-con-attribute-slc">
    <w:name w:val="hljs-con-attribute-slc"/>
    <w:basedOn w:val="DefaultParagraphFont"/>
    <w:uiPriority w:val="1"/>
    <w:unhideWhenUsed/>
    <w:rsid w:val="000317B6"/>
    <w:rPr>
      <w:b/>
      <w:bCs/>
      <w:color w:val="F8F8F2"/>
      <w:shd w:val="clear" w:color="auto" w:fill="44475A"/>
    </w:rPr>
  </w:style>
  <w:style w:type="character" w:customStyle="1" w:styleId="hljs-con-attr-slc">
    <w:name w:val="hljs-con-attr-slc"/>
    <w:basedOn w:val="DefaultParagraphFont"/>
    <w:uiPriority w:val="1"/>
    <w:unhideWhenUsed/>
    <w:rsid w:val="000317B6"/>
    <w:rPr>
      <w:b/>
      <w:bCs/>
      <w:color w:val="F1FA8C"/>
      <w:shd w:val="clear" w:color="auto" w:fill="44475A"/>
    </w:rPr>
  </w:style>
  <w:style w:type="character" w:customStyle="1" w:styleId="hljs-con-builtin">
    <w:name w:val="hljs-con-built_in"/>
    <w:basedOn w:val="DefaultParagraphFont"/>
    <w:uiPriority w:val="1"/>
    <w:unhideWhenUsed/>
    <w:rsid w:val="000317B6"/>
    <w:rPr>
      <w:color w:val="8BE9FD"/>
    </w:rPr>
  </w:style>
  <w:style w:type="character" w:customStyle="1" w:styleId="hljs-con-builtin-slc">
    <w:name w:val="hljs-con-built_in-slc"/>
    <w:basedOn w:val="DefaultParagraphFont"/>
    <w:uiPriority w:val="1"/>
    <w:unhideWhenUsed/>
    <w:rsid w:val="000317B6"/>
    <w:rPr>
      <w:b/>
      <w:bCs/>
      <w:color w:val="8BE9FD"/>
      <w:shd w:val="clear" w:color="auto" w:fill="44475A"/>
    </w:rPr>
  </w:style>
  <w:style w:type="character" w:customStyle="1" w:styleId="hljs-con-builtin-name">
    <w:name w:val="hljs-con-builtin-name"/>
    <w:basedOn w:val="DefaultParagraphFont"/>
    <w:uiPriority w:val="1"/>
    <w:unhideWhenUsed/>
    <w:rsid w:val="000317B6"/>
    <w:rPr>
      <w:color w:val="F8F8F2"/>
      <w:shd w:val="clear" w:color="auto" w:fill="282A36"/>
    </w:rPr>
  </w:style>
  <w:style w:type="character" w:customStyle="1" w:styleId="hljs-con-builtin-name-slc">
    <w:name w:val="hljs-con-builtin-name-slc"/>
    <w:basedOn w:val="DefaultParagraphFont"/>
    <w:uiPriority w:val="1"/>
    <w:unhideWhenUsed/>
    <w:rsid w:val="000317B6"/>
    <w:rPr>
      <w:b/>
      <w:bCs/>
      <w:color w:val="F8F8F2"/>
      <w:shd w:val="clear" w:color="auto" w:fill="44475A"/>
    </w:rPr>
  </w:style>
  <w:style w:type="character" w:customStyle="1" w:styleId="hljs-con-bullet">
    <w:name w:val="hljs-con-bullet"/>
    <w:basedOn w:val="DefaultParagraphFont"/>
    <w:uiPriority w:val="1"/>
    <w:unhideWhenUsed/>
    <w:rsid w:val="000317B6"/>
    <w:rPr>
      <w:color w:val="F1FA8C"/>
    </w:rPr>
  </w:style>
  <w:style w:type="character" w:customStyle="1" w:styleId="hljs-con-bullet-slc">
    <w:name w:val="hljs-con-bullet-slc"/>
    <w:basedOn w:val="DefaultParagraphFont"/>
    <w:uiPriority w:val="1"/>
    <w:unhideWhenUsed/>
    <w:rsid w:val="000317B6"/>
    <w:rPr>
      <w:b/>
      <w:bCs/>
      <w:color w:val="F1FA8C"/>
      <w:shd w:val="clear" w:color="auto" w:fill="44475A"/>
    </w:rPr>
  </w:style>
  <w:style w:type="character" w:customStyle="1" w:styleId="hljs-con-class">
    <w:name w:val="hljs-con-class"/>
    <w:basedOn w:val="DefaultParagraphFont"/>
    <w:uiPriority w:val="1"/>
    <w:unhideWhenUsed/>
    <w:rsid w:val="000317B6"/>
    <w:rPr>
      <w:color w:val="F8F8F2"/>
      <w:shd w:val="clear" w:color="auto" w:fill="282A36"/>
    </w:rPr>
  </w:style>
  <w:style w:type="character" w:customStyle="1" w:styleId="hljs-con-class-slc">
    <w:name w:val="hljs-con-class-slc"/>
    <w:basedOn w:val="DefaultParagraphFont"/>
    <w:uiPriority w:val="1"/>
    <w:unhideWhenUsed/>
    <w:rsid w:val="000317B6"/>
    <w:rPr>
      <w:b/>
      <w:bCs/>
      <w:color w:val="F8F8F2"/>
      <w:shd w:val="clear" w:color="auto" w:fill="44475A"/>
    </w:rPr>
  </w:style>
  <w:style w:type="character" w:customStyle="1" w:styleId="hljs-con-code">
    <w:name w:val="hljs-con-code"/>
    <w:basedOn w:val="DefaultParagraphFont"/>
    <w:uiPriority w:val="1"/>
    <w:unhideWhenUsed/>
    <w:rsid w:val="000317B6"/>
    <w:rPr>
      <w:color w:val="F8F8F2"/>
      <w:shd w:val="clear" w:color="auto" w:fill="282A36"/>
    </w:rPr>
  </w:style>
  <w:style w:type="character" w:customStyle="1" w:styleId="hljs-con-code-slc">
    <w:name w:val="hljs-con-code-slc"/>
    <w:basedOn w:val="DefaultParagraphFont"/>
    <w:uiPriority w:val="1"/>
    <w:unhideWhenUsed/>
    <w:rsid w:val="000317B6"/>
    <w:rPr>
      <w:b/>
      <w:bCs/>
      <w:color w:val="F8F8F2"/>
      <w:shd w:val="clear" w:color="auto" w:fill="44475A"/>
    </w:rPr>
  </w:style>
  <w:style w:type="character" w:customStyle="1" w:styleId="hljs-con-comment">
    <w:name w:val="hljs-con-comment"/>
    <w:basedOn w:val="DefaultParagraphFont"/>
    <w:uiPriority w:val="1"/>
    <w:unhideWhenUsed/>
    <w:rsid w:val="000317B6"/>
    <w:rPr>
      <w:color w:val="6272A4"/>
    </w:rPr>
  </w:style>
  <w:style w:type="character" w:customStyle="1" w:styleId="hljs-con-comment-slc">
    <w:name w:val="hljs-con-comment-slc"/>
    <w:basedOn w:val="DefaultParagraphFont"/>
    <w:uiPriority w:val="1"/>
    <w:unhideWhenUsed/>
    <w:rsid w:val="000317B6"/>
    <w:rPr>
      <w:b/>
      <w:bCs/>
      <w:color w:val="6272A4"/>
      <w:shd w:val="clear" w:color="auto" w:fill="44475A"/>
    </w:rPr>
  </w:style>
  <w:style w:type="character" w:customStyle="1" w:styleId="hljs-con-constructor">
    <w:name w:val="hljs-con-constructor"/>
    <w:basedOn w:val="DefaultParagraphFont"/>
    <w:uiPriority w:val="1"/>
    <w:unhideWhenUsed/>
    <w:rsid w:val="000317B6"/>
    <w:rPr>
      <w:color w:val="F8F8F2"/>
      <w:shd w:val="clear" w:color="auto" w:fill="282A36"/>
    </w:rPr>
  </w:style>
  <w:style w:type="character" w:customStyle="1" w:styleId="hljs-con-constructor-slc">
    <w:name w:val="hljs-con-constructor-slc"/>
    <w:basedOn w:val="DefaultParagraphFont"/>
    <w:uiPriority w:val="1"/>
    <w:unhideWhenUsed/>
    <w:rsid w:val="000317B6"/>
    <w:rPr>
      <w:b/>
      <w:bCs/>
      <w:color w:val="F8F8F2"/>
      <w:shd w:val="clear" w:color="auto" w:fill="44475A"/>
    </w:rPr>
  </w:style>
  <w:style w:type="character" w:customStyle="1" w:styleId="hljs-con-deletion">
    <w:name w:val="hljs-con-deletion"/>
    <w:basedOn w:val="DefaultParagraphFont"/>
    <w:uiPriority w:val="1"/>
    <w:unhideWhenUsed/>
    <w:rsid w:val="000317B6"/>
    <w:rPr>
      <w:color w:val="6272A4"/>
    </w:rPr>
  </w:style>
  <w:style w:type="character" w:customStyle="1" w:styleId="hljs-con-deletion-slc">
    <w:name w:val="hljs-con-deletion-slc"/>
    <w:basedOn w:val="DefaultParagraphFont"/>
    <w:uiPriority w:val="1"/>
    <w:unhideWhenUsed/>
    <w:rsid w:val="000317B6"/>
    <w:rPr>
      <w:b/>
      <w:bCs/>
      <w:color w:val="6272A4"/>
      <w:shd w:val="clear" w:color="auto" w:fill="44475A"/>
    </w:rPr>
  </w:style>
  <w:style w:type="character" w:customStyle="1" w:styleId="hljs-con-doctag">
    <w:name w:val="hljs-con-doctag"/>
    <w:basedOn w:val="DefaultParagraphFont"/>
    <w:uiPriority w:val="1"/>
    <w:unhideWhenUsed/>
    <w:rsid w:val="000317B6"/>
    <w:rPr>
      <w:b/>
      <w:bCs/>
    </w:rPr>
  </w:style>
  <w:style w:type="character" w:customStyle="1" w:styleId="hljs-con-doctag-slc">
    <w:name w:val="hljs-con-doctag-slc"/>
    <w:basedOn w:val="DefaultParagraphFont"/>
    <w:uiPriority w:val="1"/>
    <w:unhideWhenUsed/>
    <w:rsid w:val="000317B6"/>
    <w:rPr>
      <w:b/>
      <w:bCs/>
      <w:shd w:val="clear" w:color="auto" w:fill="44475A"/>
    </w:rPr>
  </w:style>
  <w:style w:type="character" w:customStyle="1" w:styleId="hljs-con-emphasis">
    <w:name w:val="hljs-con-emphasis"/>
    <w:basedOn w:val="DefaultParagraphFont"/>
    <w:uiPriority w:val="1"/>
    <w:unhideWhenUsed/>
    <w:rsid w:val="000317B6"/>
    <w:rPr>
      <w:i/>
      <w:iCs/>
    </w:rPr>
  </w:style>
  <w:style w:type="character" w:customStyle="1" w:styleId="hljs-con-emphasis-slc">
    <w:name w:val="hljs-con-emphasis-slc"/>
    <w:basedOn w:val="DefaultParagraphFont"/>
    <w:uiPriority w:val="1"/>
    <w:unhideWhenUsed/>
    <w:rsid w:val="000317B6"/>
    <w:rPr>
      <w:b/>
      <w:bCs/>
      <w:i/>
      <w:iCs/>
      <w:shd w:val="clear" w:color="auto" w:fill="44475A"/>
    </w:rPr>
  </w:style>
  <w:style w:type="character" w:customStyle="1" w:styleId="hljs-con-formula">
    <w:name w:val="hljs-con-formula"/>
    <w:basedOn w:val="DefaultParagraphFont"/>
    <w:uiPriority w:val="1"/>
    <w:unhideWhenUsed/>
    <w:rsid w:val="000317B6"/>
    <w:rPr>
      <w:color w:val="F8F8F2"/>
      <w:shd w:val="clear" w:color="auto" w:fill="282A36"/>
    </w:rPr>
  </w:style>
  <w:style w:type="character" w:customStyle="1" w:styleId="hljs-con-formula-slc">
    <w:name w:val="hljs-con-formula-slc"/>
    <w:basedOn w:val="DefaultParagraphFont"/>
    <w:uiPriority w:val="1"/>
    <w:unhideWhenUsed/>
    <w:rsid w:val="000317B6"/>
    <w:rPr>
      <w:b/>
      <w:bCs/>
      <w:color w:val="F8F8F2"/>
      <w:shd w:val="clear" w:color="auto" w:fill="44475A"/>
    </w:rPr>
  </w:style>
  <w:style w:type="character" w:customStyle="1" w:styleId="hljs-con-function">
    <w:name w:val="hljs-con-function"/>
    <w:basedOn w:val="DefaultParagraphFont"/>
    <w:uiPriority w:val="1"/>
    <w:unhideWhenUsed/>
    <w:rsid w:val="000317B6"/>
    <w:rPr>
      <w:color w:val="F8F8F2"/>
      <w:shd w:val="clear" w:color="auto" w:fill="282A36"/>
    </w:rPr>
  </w:style>
  <w:style w:type="character" w:customStyle="1" w:styleId="hljs-con-function-slc">
    <w:name w:val="hljs-con-function-slc"/>
    <w:basedOn w:val="DefaultParagraphFont"/>
    <w:uiPriority w:val="1"/>
    <w:unhideWhenUsed/>
    <w:rsid w:val="000317B6"/>
    <w:rPr>
      <w:b/>
      <w:bCs/>
      <w:color w:val="F8F8F2"/>
      <w:shd w:val="clear" w:color="auto" w:fill="44475A"/>
    </w:rPr>
  </w:style>
  <w:style w:type="character" w:customStyle="1" w:styleId="hljs-con-keyword">
    <w:name w:val="hljs-con-keyword"/>
    <w:basedOn w:val="DefaultParagraphFont"/>
    <w:uiPriority w:val="1"/>
    <w:unhideWhenUsed/>
    <w:rsid w:val="000317B6"/>
    <w:rPr>
      <w:b/>
      <w:bCs/>
      <w:color w:val="FF79C6"/>
    </w:rPr>
  </w:style>
  <w:style w:type="character" w:customStyle="1" w:styleId="hljs-con-keyword-slc">
    <w:name w:val="hljs-con-keyword-slc"/>
    <w:basedOn w:val="DefaultParagraphFont"/>
    <w:uiPriority w:val="1"/>
    <w:unhideWhenUsed/>
    <w:rsid w:val="000317B6"/>
    <w:rPr>
      <w:b/>
      <w:bCs/>
      <w:color w:val="FF79C6"/>
      <w:shd w:val="clear" w:color="auto" w:fill="44475A"/>
    </w:rPr>
  </w:style>
  <w:style w:type="character" w:customStyle="1" w:styleId="hljs-con-link">
    <w:name w:val="hljs-con-link"/>
    <w:basedOn w:val="DefaultParagraphFont"/>
    <w:uiPriority w:val="1"/>
    <w:unhideWhenUsed/>
    <w:rsid w:val="000317B6"/>
    <w:rPr>
      <w:color w:val="8BE9FD"/>
    </w:rPr>
  </w:style>
  <w:style w:type="character" w:customStyle="1" w:styleId="hljs-con-link-slc">
    <w:name w:val="hljs-con-link-slc"/>
    <w:basedOn w:val="DefaultParagraphFont"/>
    <w:uiPriority w:val="1"/>
    <w:unhideWhenUsed/>
    <w:rsid w:val="000317B6"/>
    <w:rPr>
      <w:b/>
      <w:bCs/>
      <w:color w:val="8BE9FD"/>
      <w:shd w:val="clear" w:color="auto" w:fill="44475A"/>
    </w:rPr>
  </w:style>
  <w:style w:type="character" w:customStyle="1" w:styleId="hljs-con-literal">
    <w:name w:val="hljs-con-literal"/>
    <w:basedOn w:val="DefaultParagraphFont"/>
    <w:uiPriority w:val="1"/>
    <w:unhideWhenUsed/>
    <w:rsid w:val="000317B6"/>
    <w:rPr>
      <w:b/>
      <w:bCs/>
      <w:color w:val="BD93F9"/>
    </w:rPr>
  </w:style>
  <w:style w:type="character" w:customStyle="1" w:styleId="hljs-con-literal-slc">
    <w:name w:val="hljs-con-literal-slc"/>
    <w:basedOn w:val="DefaultParagraphFont"/>
    <w:uiPriority w:val="1"/>
    <w:unhideWhenUsed/>
    <w:rsid w:val="000317B6"/>
    <w:rPr>
      <w:b/>
      <w:bCs/>
      <w:color w:val="BD93F9"/>
      <w:shd w:val="clear" w:color="auto" w:fill="44475A"/>
    </w:rPr>
  </w:style>
  <w:style w:type="character" w:customStyle="1" w:styleId="hljs-con-meta">
    <w:name w:val="hljs-con-meta"/>
    <w:basedOn w:val="DefaultParagraphFont"/>
    <w:uiPriority w:val="1"/>
    <w:unhideWhenUsed/>
    <w:rsid w:val="000317B6"/>
    <w:rPr>
      <w:b/>
      <w:color w:val="50FA7B"/>
    </w:rPr>
  </w:style>
  <w:style w:type="character" w:customStyle="1" w:styleId="hljs-con-meta-keyword">
    <w:name w:val="hljs-con-meta-keyword"/>
    <w:basedOn w:val="DefaultParagraphFont"/>
    <w:uiPriority w:val="1"/>
    <w:unhideWhenUsed/>
    <w:rsid w:val="000317B6"/>
    <w:rPr>
      <w:color w:val="F8F8F2"/>
      <w:shd w:val="clear" w:color="auto" w:fill="282A36"/>
    </w:rPr>
  </w:style>
  <w:style w:type="character" w:customStyle="1" w:styleId="hljs-con-meta-keyword-slc">
    <w:name w:val="hljs-con-meta-keyword-slc"/>
    <w:basedOn w:val="DefaultParagraphFont"/>
    <w:uiPriority w:val="1"/>
    <w:unhideWhenUsed/>
    <w:rsid w:val="000317B6"/>
    <w:rPr>
      <w:b/>
      <w:bCs/>
      <w:color w:val="F8F8F2"/>
      <w:shd w:val="clear" w:color="auto" w:fill="44475A"/>
    </w:rPr>
  </w:style>
  <w:style w:type="character" w:customStyle="1" w:styleId="hljs-con-meta-slc">
    <w:name w:val="hljs-con-meta-slc"/>
    <w:basedOn w:val="DefaultParagraphFont"/>
    <w:uiPriority w:val="1"/>
    <w:unhideWhenUsed/>
    <w:rsid w:val="000317B6"/>
    <w:rPr>
      <w:b/>
      <w:bCs/>
      <w:color w:val="50FA7B"/>
      <w:shd w:val="clear" w:color="auto" w:fill="44475A"/>
    </w:rPr>
  </w:style>
  <w:style w:type="character" w:customStyle="1" w:styleId="hljs-con-meta-string">
    <w:name w:val="hljs-con-meta-string"/>
    <w:basedOn w:val="DefaultParagraphFont"/>
    <w:uiPriority w:val="1"/>
    <w:unhideWhenUsed/>
    <w:rsid w:val="000317B6"/>
    <w:rPr>
      <w:color w:val="F8F8F2"/>
      <w:shd w:val="clear" w:color="auto" w:fill="282A36"/>
    </w:rPr>
  </w:style>
  <w:style w:type="character" w:customStyle="1" w:styleId="hljs-con-meta-string-slc">
    <w:name w:val="hljs-con-meta-string-slc"/>
    <w:basedOn w:val="DefaultParagraphFont"/>
    <w:uiPriority w:val="1"/>
    <w:unhideWhenUsed/>
    <w:rsid w:val="000317B6"/>
    <w:rPr>
      <w:b/>
      <w:bCs/>
      <w:color w:val="F8F8F2"/>
      <w:shd w:val="clear" w:color="auto" w:fill="44475A"/>
    </w:rPr>
  </w:style>
  <w:style w:type="character" w:customStyle="1" w:styleId="hljs-con-module">
    <w:name w:val="hljs-con-module"/>
    <w:basedOn w:val="DefaultParagraphFont"/>
    <w:uiPriority w:val="1"/>
    <w:unhideWhenUsed/>
    <w:rsid w:val="000317B6"/>
    <w:rPr>
      <w:color w:val="F8F8F2"/>
      <w:shd w:val="clear" w:color="auto" w:fill="282A36"/>
    </w:rPr>
  </w:style>
  <w:style w:type="character" w:customStyle="1" w:styleId="hljs-con-module-access">
    <w:name w:val="hljs-con-module-access"/>
    <w:basedOn w:val="DefaultParagraphFont"/>
    <w:uiPriority w:val="1"/>
    <w:unhideWhenUsed/>
    <w:rsid w:val="000317B6"/>
    <w:rPr>
      <w:color w:val="F8F8F2"/>
      <w:shd w:val="clear" w:color="auto" w:fill="282A36"/>
    </w:rPr>
  </w:style>
  <w:style w:type="character" w:customStyle="1" w:styleId="hljs-con-module-access-slc">
    <w:name w:val="hljs-con-module-access-slc"/>
    <w:basedOn w:val="DefaultParagraphFont"/>
    <w:uiPriority w:val="1"/>
    <w:unhideWhenUsed/>
    <w:rsid w:val="000317B6"/>
    <w:rPr>
      <w:b/>
      <w:bCs/>
      <w:color w:val="F8F8F2"/>
      <w:shd w:val="clear" w:color="auto" w:fill="44475A"/>
    </w:rPr>
  </w:style>
  <w:style w:type="character" w:customStyle="1" w:styleId="hljs-con-module-slc">
    <w:name w:val="hljs-con-module-slc"/>
    <w:basedOn w:val="DefaultParagraphFont"/>
    <w:uiPriority w:val="1"/>
    <w:unhideWhenUsed/>
    <w:rsid w:val="000317B6"/>
    <w:rPr>
      <w:b/>
      <w:bCs/>
      <w:color w:val="F8F8F2"/>
      <w:shd w:val="clear" w:color="auto" w:fill="44475A"/>
    </w:rPr>
  </w:style>
  <w:style w:type="character" w:customStyle="1" w:styleId="hljs-con-name">
    <w:name w:val="hljs-con-name"/>
    <w:basedOn w:val="DefaultParagraphFont"/>
    <w:uiPriority w:val="1"/>
    <w:unhideWhenUsed/>
    <w:rsid w:val="000317B6"/>
    <w:rPr>
      <w:b/>
      <w:bCs/>
      <w:color w:val="F1FA8C"/>
    </w:rPr>
  </w:style>
  <w:style w:type="character" w:customStyle="1" w:styleId="hljs-con-name-slc">
    <w:name w:val="hljs-con-name-slc"/>
    <w:basedOn w:val="DefaultParagraphFont"/>
    <w:uiPriority w:val="1"/>
    <w:unhideWhenUsed/>
    <w:rsid w:val="000317B6"/>
    <w:rPr>
      <w:b/>
      <w:bCs/>
      <w:color w:val="F1FA8C"/>
      <w:shd w:val="clear" w:color="auto" w:fill="44475A"/>
    </w:rPr>
  </w:style>
  <w:style w:type="character" w:customStyle="1" w:styleId="hljs-con-number">
    <w:name w:val="hljs-con-number"/>
    <w:basedOn w:val="DefaultParagraphFont"/>
    <w:uiPriority w:val="1"/>
    <w:unhideWhenUsed/>
    <w:rsid w:val="000317B6"/>
    <w:rPr>
      <w:color w:val="BD93F9"/>
    </w:rPr>
  </w:style>
  <w:style w:type="character" w:customStyle="1" w:styleId="hljs-con-number-slc">
    <w:name w:val="hljs-con-number-slc"/>
    <w:basedOn w:val="DefaultParagraphFont"/>
    <w:uiPriority w:val="1"/>
    <w:unhideWhenUsed/>
    <w:rsid w:val="000317B6"/>
    <w:rPr>
      <w:b/>
      <w:bCs/>
      <w:color w:val="BD93F9"/>
      <w:shd w:val="clear" w:color="auto" w:fill="44475A"/>
    </w:rPr>
  </w:style>
  <w:style w:type="character" w:customStyle="1" w:styleId="hljs-con-operator">
    <w:name w:val="hljs-con-operator"/>
    <w:basedOn w:val="DefaultParagraphFont"/>
    <w:uiPriority w:val="1"/>
    <w:unhideWhenUsed/>
    <w:rsid w:val="000317B6"/>
    <w:rPr>
      <w:color w:val="F8F8F2"/>
      <w:shd w:val="clear" w:color="auto" w:fill="282A36"/>
    </w:rPr>
  </w:style>
  <w:style w:type="character" w:customStyle="1" w:styleId="hljs-con-operator-slc">
    <w:name w:val="hljs-con-operator-slc"/>
    <w:basedOn w:val="DefaultParagraphFont"/>
    <w:uiPriority w:val="1"/>
    <w:unhideWhenUsed/>
    <w:rsid w:val="000317B6"/>
    <w:rPr>
      <w:b/>
      <w:bCs/>
      <w:color w:val="F8F8F2"/>
      <w:shd w:val="clear" w:color="auto" w:fill="44475A"/>
    </w:rPr>
  </w:style>
  <w:style w:type="character" w:customStyle="1" w:styleId="hljs-con-params">
    <w:name w:val="hljs-con-params"/>
    <w:basedOn w:val="DefaultParagraphFont"/>
    <w:uiPriority w:val="1"/>
    <w:unhideWhenUsed/>
    <w:rsid w:val="000317B6"/>
    <w:rPr>
      <w:color w:val="F8F8F2"/>
      <w:shd w:val="clear" w:color="auto" w:fill="282A36"/>
    </w:rPr>
  </w:style>
  <w:style w:type="character" w:customStyle="1" w:styleId="hljs-con-params-slc">
    <w:name w:val="hljs-con-params-slc"/>
    <w:basedOn w:val="DefaultParagraphFont"/>
    <w:uiPriority w:val="1"/>
    <w:unhideWhenUsed/>
    <w:rsid w:val="000317B6"/>
    <w:rPr>
      <w:b/>
      <w:bCs/>
      <w:color w:val="F8F8F2"/>
      <w:shd w:val="clear" w:color="auto" w:fill="44475A"/>
    </w:rPr>
  </w:style>
  <w:style w:type="character" w:customStyle="1" w:styleId="hljs-con-pattern-match">
    <w:name w:val="hljs-con-pattern-match"/>
    <w:basedOn w:val="DefaultParagraphFont"/>
    <w:uiPriority w:val="1"/>
    <w:unhideWhenUsed/>
    <w:rsid w:val="000317B6"/>
    <w:rPr>
      <w:color w:val="F8F8F2"/>
      <w:shd w:val="clear" w:color="auto" w:fill="282A36"/>
    </w:rPr>
  </w:style>
  <w:style w:type="character" w:customStyle="1" w:styleId="hljs-con-pattern-match-slc">
    <w:name w:val="hljs-con-pattern-match-slc"/>
    <w:basedOn w:val="DefaultParagraphFont"/>
    <w:uiPriority w:val="1"/>
    <w:unhideWhenUsed/>
    <w:rsid w:val="000317B6"/>
    <w:rPr>
      <w:b/>
      <w:bCs/>
      <w:color w:val="F8F8F2"/>
      <w:shd w:val="clear" w:color="auto" w:fill="44475A"/>
    </w:rPr>
  </w:style>
  <w:style w:type="character" w:customStyle="1" w:styleId="hljs-con-quote">
    <w:name w:val="hljs-con-quote"/>
    <w:basedOn w:val="DefaultParagraphFont"/>
    <w:uiPriority w:val="1"/>
    <w:unhideWhenUsed/>
    <w:rsid w:val="000317B6"/>
    <w:rPr>
      <w:color w:val="6272A4"/>
    </w:rPr>
  </w:style>
  <w:style w:type="character" w:customStyle="1" w:styleId="hljs-con-quote-slc">
    <w:name w:val="hljs-con-quote-slc"/>
    <w:basedOn w:val="DefaultParagraphFont"/>
    <w:uiPriority w:val="1"/>
    <w:unhideWhenUsed/>
    <w:rsid w:val="000317B6"/>
    <w:rPr>
      <w:b/>
      <w:bCs/>
      <w:color w:val="6272A4"/>
      <w:shd w:val="clear" w:color="auto" w:fill="44475A"/>
    </w:rPr>
  </w:style>
  <w:style w:type="character" w:customStyle="1" w:styleId="hljs-con-regexp">
    <w:name w:val="hljs-con-regexp"/>
    <w:basedOn w:val="DefaultParagraphFont"/>
    <w:uiPriority w:val="1"/>
    <w:unhideWhenUsed/>
    <w:rsid w:val="000317B6"/>
    <w:rPr>
      <w:color w:val="F8F8F2"/>
      <w:shd w:val="clear" w:color="auto" w:fill="282A36"/>
    </w:rPr>
  </w:style>
  <w:style w:type="character" w:customStyle="1" w:styleId="hljs-con-regexp-slc">
    <w:name w:val="hljs-con-regexp-slc"/>
    <w:basedOn w:val="DefaultParagraphFont"/>
    <w:uiPriority w:val="1"/>
    <w:unhideWhenUsed/>
    <w:rsid w:val="000317B6"/>
    <w:rPr>
      <w:b/>
      <w:bCs/>
      <w:color w:val="F8F8F2"/>
      <w:shd w:val="clear" w:color="auto" w:fill="44475A"/>
    </w:rPr>
  </w:style>
  <w:style w:type="character" w:customStyle="1" w:styleId="hljs-con-section">
    <w:name w:val="hljs-con-section"/>
    <w:basedOn w:val="DefaultParagraphFont"/>
    <w:uiPriority w:val="1"/>
    <w:unhideWhenUsed/>
    <w:rsid w:val="000317B6"/>
    <w:rPr>
      <w:b/>
      <w:bCs/>
      <w:color w:val="8BE9FD"/>
    </w:rPr>
  </w:style>
  <w:style w:type="character" w:customStyle="1" w:styleId="hljs-con-section-slc">
    <w:name w:val="hljs-con-section-slc"/>
    <w:basedOn w:val="DefaultParagraphFont"/>
    <w:uiPriority w:val="1"/>
    <w:unhideWhenUsed/>
    <w:rsid w:val="000317B6"/>
    <w:rPr>
      <w:b/>
      <w:bCs/>
      <w:color w:val="8BE9FD"/>
      <w:shd w:val="clear" w:color="auto" w:fill="44475A"/>
    </w:rPr>
  </w:style>
  <w:style w:type="character" w:customStyle="1" w:styleId="hljs-con-selector-attr">
    <w:name w:val="hljs-con-selector-attr"/>
    <w:basedOn w:val="DefaultParagraphFont"/>
    <w:uiPriority w:val="1"/>
    <w:unhideWhenUsed/>
    <w:rsid w:val="000317B6"/>
    <w:rPr>
      <w:color w:val="F8F8F2"/>
      <w:shd w:val="clear" w:color="auto" w:fill="282A36"/>
    </w:rPr>
  </w:style>
  <w:style w:type="character" w:customStyle="1" w:styleId="hljs-con-selector-attr-slc">
    <w:name w:val="hljs-con-selector-attr-slc"/>
    <w:basedOn w:val="DefaultParagraphFont"/>
    <w:uiPriority w:val="1"/>
    <w:unhideWhenUsed/>
    <w:rsid w:val="000317B6"/>
    <w:rPr>
      <w:b/>
      <w:bCs/>
      <w:color w:val="F8F8F2"/>
      <w:shd w:val="clear" w:color="auto" w:fill="44475A"/>
    </w:rPr>
  </w:style>
  <w:style w:type="character" w:customStyle="1" w:styleId="hljs-con-selector-class">
    <w:name w:val="hljs-con-selector-class"/>
    <w:basedOn w:val="DefaultParagraphFont"/>
    <w:uiPriority w:val="1"/>
    <w:unhideWhenUsed/>
    <w:rsid w:val="000317B6"/>
    <w:rPr>
      <w:color w:val="F8F8F2"/>
      <w:shd w:val="clear" w:color="auto" w:fill="282A36"/>
    </w:rPr>
  </w:style>
  <w:style w:type="character" w:customStyle="1" w:styleId="hljs-con-selector-class-slc">
    <w:name w:val="hljs-con-selector-class-slc"/>
    <w:basedOn w:val="DefaultParagraphFont"/>
    <w:uiPriority w:val="1"/>
    <w:unhideWhenUsed/>
    <w:rsid w:val="000317B6"/>
    <w:rPr>
      <w:b/>
      <w:bCs/>
      <w:color w:val="F8F8F2"/>
      <w:shd w:val="clear" w:color="auto" w:fill="44475A"/>
    </w:rPr>
  </w:style>
  <w:style w:type="character" w:customStyle="1" w:styleId="hljs-con-selector-id">
    <w:name w:val="hljs-con-selector-id"/>
    <w:basedOn w:val="DefaultParagraphFont"/>
    <w:uiPriority w:val="1"/>
    <w:unhideWhenUsed/>
    <w:rsid w:val="000317B6"/>
    <w:rPr>
      <w:color w:val="F8F8F2"/>
      <w:shd w:val="clear" w:color="auto" w:fill="282A36"/>
    </w:rPr>
  </w:style>
  <w:style w:type="character" w:customStyle="1" w:styleId="hljs-con-selector-id-slc">
    <w:name w:val="hljs-con-selector-id-slc"/>
    <w:basedOn w:val="DefaultParagraphFont"/>
    <w:uiPriority w:val="1"/>
    <w:unhideWhenUsed/>
    <w:rsid w:val="000317B6"/>
    <w:rPr>
      <w:b/>
      <w:bCs/>
      <w:color w:val="F8F8F2"/>
      <w:shd w:val="clear" w:color="auto" w:fill="44475A"/>
    </w:rPr>
  </w:style>
  <w:style w:type="character" w:customStyle="1" w:styleId="hljs-con-selector-pseudo">
    <w:name w:val="hljs-con-selector-pseudo"/>
    <w:basedOn w:val="DefaultParagraphFont"/>
    <w:uiPriority w:val="1"/>
    <w:unhideWhenUsed/>
    <w:rsid w:val="000317B6"/>
    <w:rPr>
      <w:color w:val="F8F8F2"/>
      <w:shd w:val="clear" w:color="auto" w:fill="282A36"/>
    </w:rPr>
  </w:style>
  <w:style w:type="character" w:customStyle="1" w:styleId="hljs-con-selector-pseudo-slc">
    <w:name w:val="hljs-con-selector-pseudo-slc"/>
    <w:basedOn w:val="DefaultParagraphFont"/>
    <w:uiPriority w:val="1"/>
    <w:unhideWhenUsed/>
    <w:rsid w:val="000317B6"/>
    <w:rPr>
      <w:b/>
      <w:bCs/>
      <w:color w:val="F8F8F2"/>
      <w:shd w:val="clear" w:color="auto" w:fill="44475A"/>
    </w:rPr>
  </w:style>
  <w:style w:type="character" w:customStyle="1" w:styleId="hljs-con-selector-tag">
    <w:name w:val="hljs-con-selector-tag"/>
    <w:basedOn w:val="DefaultParagraphFont"/>
    <w:uiPriority w:val="1"/>
    <w:unhideWhenUsed/>
    <w:rsid w:val="000317B6"/>
    <w:rPr>
      <w:b/>
      <w:bCs/>
      <w:color w:val="8BE9FD"/>
    </w:rPr>
  </w:style>
  <w:style w:type="character" w:customStyle="1" w:styleId="hljs-con-selector-tag-slc">
    <w:name w:val="hljs-con-selector-tag-slc"/>
    <w:basedOn w:val="DefaultParagraphFont"/>
    <w:uiPriority w:val="1"/>
    <w:unhideWhenUsed/>
    <w:rsid w:val="000317B6"/>
    <w:rPr>
      <w:b/>
      <w:bCs/>
      <w:color w:val="8BE9FD"/>
      <w:shd w:val="clear" w:color="auto" w:fill="44475A"/>
    </w:rPr>
  </w:style>
  <w:style w:type="character" w:customStyle="1" w:styleId="hljs-con-slc">
    <w:name w:val="hljs-con-slc"/>
    <w:basedOn w:val="DefaultParagraphFont"/>
    <w:uiPriority w:val="1"/>
    <w:unhideWhenUsed/>
    <w:rsid w:val="000317B6"/>
    <w:rPr>
      <w:b/>
      <w:color w:val="F8F8F2"/>
      <w:bdr w:val="none" w:sz="0" w:space="0" w:color="auto"/>
      <w:shd w:val="clear" w:color="auto" w:fill="44475A"/>
    </w:rPr>
  </w:style>
  <w:style w:type="character" w:customStyle="1" w:styleId="hljs-con-string">
    <w:name w:val="hljs-con-string"/>
    <w:basedOn w:val="DefaultParagraphFont"/>
    <w:uiPriority w:val="1"/>
    <w:unhideWhenUsed/>
    <w:rsid w:val="000317B6"/>
    <w:rPr>
      <w:color w:val="F1FA8C"/>
    </w:rPr>
  </w:style>
  <w:style w:type="character" w:customStyle="1" w:styleId="hljs-con-string-slc">
    <w:name w:val="hljs-con-string-slc"/>
    <w:basedOn w:val="DefaultParagraphFont"/>
    <w:uiPriority w:val="1"/>
    <w:unhideWhenUsed/>
    <w:rsid w:val="000317B6"/>
    <w:rPr>
      <w:b/>
      <w:bCs/>
      <w:color w:val="F1FA8C"/>
      <w:shd w:val="clear" w:color="auto" w:fill="44475A"/>
    </w:rPr>
  </w:style>
  <w:style w:type="character" w:customStyle="1" w:styleId="hljs-con-strong">
    <w:name w:val="hljs-con-strong"/>
    <w:basedOn w:val="DefaultParagraphFont"/>
    <w:uiPriority w:val="1"/>
    <w:unhideWhenUsed/>
    <w:rsid w:val="000317B6"/>
    <w:rPr>
      <w:b/>
      <w:bCs/>
    </w:rPr>
  </w:style>
  <w:style w:type="character" w:customStyle="1" w:styleId="hljs-con-strong-slc">
    <w:name w:val="hljs-con-strong-slc"/>
    <w:basedOn w:val="DefaultParagraphFont"/>
    <w:uiPriority w:val="1"/>
    <w:unhideWhenUsed/>
    <w:rsid w:val="000317B6"/>
    <w:rPr>
      <w:b/>
      <w:bCs/>
      <w:shd w:val="clear" w:color="auto" w:fill="44475A"/>
    </w:rPr>
  </w:style>
  <w:style w:type="character" w:customStyle="1" w:styleId="hljs-constructor">
    <w:name w:val="hljs-constructor"/>
    <w:basedOn w:val="DefaultParagraphFont"/>
    <w:uiPriority w:val="1"/>
    <w:unhideWhenUsed/>
    <w:rsid w:val="000317B6"/>
  </w:style>
  <w:style w:type="character" w:customStyle="1" w:styleId="hljs-constructor-slc">
    <w:name w:val="hljs-constructor-slc"/>
    <w:basedOn w:val="hljs-constructor"/>
    <w:uiPriority w:val="1"/>
    <w:unhideWhenUsed/>
    <w:rsid w:val="000317B6"/>
    <w:rPr>
      <w:b/>
      <w:bCs/>
      <w:sz w:val="20"/>
      <w:shd w:val="clear" w:color="auto" w:fill="D4D4D4"/>
    </w:rPr>
  </w:style>
  <w:style w:type="character" w:customStyle="1" w:styleId="hljs-con-subst">
    <w:name w:val="hljs-con-subst"/>
    <w:basedOn w:val="DefaultParagraphFont"/>
    <w:uiPriority w:val="1"/>
    <w:unhideWhenUsed/>
    <w:rsid w:val="000317B6"/>
    <w:rPr>
      <w:color w:val="F8F8F2"/>
    </w:rPr>
  </w:style>
  <w:style w:type="character" w:customStyle="1" w:styleId="hljs-con-subst-slc">
    <w:name w:val="hljs-con-subst-slc"/>
    <w:basedOn w:val="DefaultParagraphFont"/>
    <w:uiPriority w:val="1"/>
    <w:unhideWhenUsed/>
    <w:rsid w:val="000317B6"/>
    <w:rPr>
      <w:b/>
      <w:bCs/>
      <w:color w:val="F8F8F2"/>
      <w:shd w:val="clear" w:color="auto" w:fill="44475A"/>
    </w:rPr>
  </w:style>
  <w:style w:type="character" w:customStyle="1" w:styleId="hljs-con-symbol">
    <w:name w:val="hljs-con-symbol"/>
    <w:basedOn w:val="DefaultParagraphFont"/>
    <w:uiPriority w:val="1"/>
    <w:unhideWhenUsed/>
    <w:rsid w:val="000317B6"/>
    <w:rPr>
      <w:color w:val="F1FA8C"/>
    </w:rPr>
  </w:style>
  <w:style w:type="character" w:customStyle="1" w:styleId="hljs-con-symbol-slc">
    <w:name w:val="hljs-con-symbol-slc"/>
    <w:basedOn w:val="DefaultParagraphFont"/>
    <w:uiPriority w:val="1"/>
    <w:unhideWhenUsed/>
    <w:rsid w:val="000317B6"/>
    <w:rPr>
      <w:b/>
      <w:bCs/>
      <w:color w:val="F1FA8C"/>
      <w:shd w:val="clear" w:color="auto" w:fill="44475A"/>
    </w:rPr>
  </w:style>
  <w:style w:type="character" w:customStyle="1" w:styleId="hljs-con-tag">
    <w:name w:val="hljs-con-tag"/>
    <w:basedOn w:val="DefaultParagraphFont"/>
    <w:uiPriority w:val="1"/>
    <w:unhideWhenUsed/>
    <w:rsid w:val="000317B6"/>
    <w:rPr>
      <w:color w:val="F8F8F2"/>
      <w:shd w:val="clear" w:color="auto" w:fill="282A36"/>
    </w:rPr>
  </w:style>
  <w:style w:type="character" w:customStyle="1" w:styleId="hljs-con-tag-slc">
    <w:name w:val="hljs-con-tag-slc"/>
    <w:basedOn w:val="DefaultParagraphFont"/>
    <w:uiPriority w:val="1"/>
    <w:unhideWhenUsed/>
    <w:rsid w:val="000317B6"/>
    <w:rPr>
      <w:b/>
      <w:bCs/>
      <w:color w:val="F8F8F2"/>
      <w:shd w:val="clear" w:color="auto" w:fill="44475A"/>
    </w:rPr>
  </w:style>
  <w:style w:type="character" w:customStyle="1" w:styleId="hljs-con-template-tag">
    <w:name w:val="hljs-con-template-tag"/>
    <w:basedOn w:val="DefaultParagraphFont"/>
    <w:uiPriority w:val="1"/>
    <w:unhideWhenUsed/>
    <w:rsid w:val="000317B6"/>
    <w:rPr>
      <w:color w:val="F1FA8C"/>
    </w:rPr>
  </w:style>
  <w:style w:type="character" w:customStyle="1" w:styleId="hljs-con-template-tag-slc">
    <w:name w:val="hljs-con-template-tag-slc"/>
    <w:basedOn w:val="DefaultParagraphFont"/>
    <w:uiPriority w:val="1"/>
    <w:unhideWhenUsed/>
    <w:rsid w:val="000317B6"/>
    <w:rPr>
      <w:b/>
      <w:bCs/>
      <w:color w:val="F1FA8C"/>
      <w:shd w:val="clear" w:color="auto" w:fill="44475A"/>
    </w:rPr>
  </w:style>
  <w:style w:type="character" w:customStyle="1" w:styleId="hljs-con-template-variable">
    <w:name w:val="hljs-con-template-variable"/>
    <w:basedOn w:val="DefaultParagraphFont"/>
    <w:uiPriority w:val="1"/>
    <w:unhideWhenUsed/>
    <w:rsid w:val="000317B6"/>
    <w:rPr>
      <w:color w:val="F1FA8C"/>
    </w:rPr>
  </w:style>
  <w:style w:type="character" w:customStyle="1" w:styleId="hljs-con-template-variable-slc">
    <w:name w:val="hljs-con-template-variable-slc"/>
    <w:basedOn w:val="DefaultParagraphFont"/>
    <w:uiPriority w:val="1"/>
    <w:unhideWhenUsed/>
    <w:rsid w:val="000317B6"/>
    <w:rPr>
      <w:b/>
      <w:bCs/>
      <w:color w:val="F1FA8C"/>
      <w:shd w:val="clear" w:color="auto" w:fill="44475A"/>
    </w:rPr>
  </w:style>
  <w:style w:type="character" w:customStyle="1" w:styleId="hljs-con-title">
    <w:name w:val="hljs-con-title"/>
    <w:basedOn w:val="DefaultParagraphFont"/>
    <w:uiPriority w:val="1"/>
    <w:unhideWhenUsed/>
    <w:rsid w:val="000317B6"/>
    <w:rPr>
      <w:b/>
      <w:bCs/>
      <w:color w:val="50FA7B"/>
    </w:rPr>
  </w:style>
  <w:style w:type="character" w:customStyle="1" w:styleId="hljs-con-title-slc">
    <w:name w:val="hljs-con-title-slc"/>
    <w:basedOn w:val="DefaultParagraphFont"/>
    <w:uiPriority w:val="1"/>
    <w:unhideWhenUsed/>
    <w:rsid w:val="000317B6"/>
    <w:rPr>
      <w:b/>
      <w:bCs/>
      <w:color w:val="50FA7B"/>
      <w:shd w:val="clear" w:color="auto" w:fill="44475A"/>
    </w:rPr>
  </w:style>
  <w:style w:type="character" w:customStyle="1" w:styleId="hljs-con-type">
    <w:name w:val="hljs-con-type"/>
    <w:basedOn w:val="DefaultParagraphFont"/>
    <w:uiPriority w:val="1"/>
    <w:unhideWhenUsed/>
    <w:rsid w:val="000317B6"/>
    <w:rPr>
      <w:b/>
      <w:bCs/>
      <w:color w:val="F1FA8C"/>
    </w:rPr>
  </w:style>
  <w:style w:type="character" w:customStyle="1" w:styleId="hljs-con-type-slc">
    <w:name w:val="hljs-con-type-slc"/>
    <w:basedOn w:val="DefaultParagraphFont"/>
    <w:uiPriority w:val="1"/>
    <w:unhideWhenUsed/>
    <w:rsid w:val="000317B6"/>
    <w:rPr>
      <w:b/>
      <w:bCs/>
      <w:color w:val="F1FA8C"/>
      <w:shd w:val="clear" w:color="auto" w:fill="44475A"/>
    </w:rPr>
  </w:style>
  <w:style w:type="character" w:customStyle="1" w:styleId="hljs-con-typing">
    <w:name w:val="hljs-con-typing"/>
    <w:basedOn w:val="DefaultParagraphFont"/>
    <w:uiPriority w:val="1"/>
    <w:unhideWhenUsed/>
    <w:rsid w:val="000317B6"/>
    <w:rPr>
      <w:color w:val="F8F8F2"/>
      <w:shd w:val="clear" w:color="auto" w:fill="282A36"/>
    </w:rPr>
  </w:style>
  <w:style w:type="character" w:customStyle="1" w:styleId="hljs-con-typing-slc">
    <w:name w:val="hljs-con-typing-slc"/>
    <w:basedOn w:val="DefaultParagraphFont"/>
    <w:uiPriority w:val="1"/>
    <w:unhideWhenUsed/>
    <w:rsid w:val="000317B6"/>
    <w:rPr>
      <w:b/>
      <w:bCs/>
      <w:color w:val="F8F8F2"/>
      <w:shd w:val="clear" w:color="auto" w:fill="44475A"/>
    </w:rPr>
  </w:style>
  <w:style w:type="character" w:customStyle="1" w:styleId="hljs-con-variable">
    <w:name w:val="hljs-con-variable"/>
    <w:basedOn w:val="DefaultParagraphFont"/>
    <w:uiPriority w:val="1"/>
    <w:unhideWhenUsed/>
    <w:rsid w:val="000317B6"/>
    <w:rPr>
      <w:color w:val="F1FA8C"/>
    </w:rPr>
  </w:style>
  <w:style w:type="character" w:customStyle="1" w:styleId="hljs-con-variable-slc">
    <w:name w:val="hljs-con-variable-slc"/>
    <w:basedOn w:val="DefaultParagraphFont"/>
    <w:uiPriority w:val="1"/>
    <w:unhideWhenUsed/>
    <w:rsid w:val="000317B6"/>
    <w:rPr>
      <w:b/>
      <w:bCs/>
      <w:color w:val="F1FA8C"/>
      <w:shd w:val="clear" w:color="auto" w:fill="44475A"/>
    </w:rPr>
  </w:style>
  <w:style w:type="character" w:customStyle="1" w:styleId="hljs-deletion">
    <w:name w:val="hljs-deletion"/>
    <w:basedOn w:val="DefaultParagraphFont"/>
    <w:uiPriority w:val="1"/>
    <w:unhideWhenUsed/>
    <w:rsid w:val="000317B6"/>
    <w:rPr>
      <w:color w:val="E45649"/>
    </w:rPr>
  </w:style>
  <w:style w:type="character" w:customStyle="1" w:styleId="hljs-deletion-slc">
    <w:name w:val="hljs-deletion-slc"/>
    <w:basedOn w:val="hljs-deletion"/>
    <w:uiPriority w:val="1"/>
    <w:unhideWhenUsed/>
    <w:rsid w:val="000317B6"/>
    <w:rPr>
      <w:b/>
      <w:bCs/>
      <w:color w:val="E45649"/>
      <w:sz w:val="20"/>
      <w:shd w:val="clear" w:color="auto" w:fill="D4D4D4"/>
    </w:rPr>
  </w:style>
  <w:style w:type="character" w:customStyle="1" w:styleId="hljs-doctag">
    <w:name w:val="hljs-doctag"/>
    <w:basedOn w:val="DefaultParagraphFont"/>
    <w:uiPriority w:val="1"/>
    <w:unhideWhenUsed/>
    <w:rsid w:val="000317B6"/>
    <w:rPr>
      <w:color w:val="A626A4"/>
    </w:rPr>
  </w:style>
  <w:style w:type="character" w:customStyle="1" w:styleId="hljs-doctag-slc">
    <w:name w:val="hljs-doctag-slc"/>
    <w:basedOn w:val="hljs-doctag"/>
    <w:uiPriority w:val="1"/>
    <w:unhideWhenUsed/>
    <w:rsid w:val="000317B6"/>
    <w:rPr>
      <w:b/>
      <w:bCs/>
      <w:color w:val="A626A4"/>
      <w:sz w:val="20"/>
      <w:shd w:val="clear" w:color="auto" w:fill="D4D4D4"/>
    </w:rPr>
  </w:style>
  <w:style w:type="character" w:customStyle="1" w:styleId="hljs-emphasis">
    <w:name w:val="hljs-emphasis"/>
    <w:basedOn w:val="DefaultParagraphFont"/>
    <w:uiPriority w:val="1"/>
    <w:unhideWhenUsed/>
    <w:rsid w:val="000317B6"/>
    <w:rPr>
      <w:i/>
      <w:iCs/>
    </w:rPr>
  </w:style>
  <w:style w:type="character" w:customStyle="1" w:styleId="hljs-emphasis-slc">
    <w:name w:val="hljs-emphasis-slc"/>
    <w:basedOn w:val="hljs-emphasis"/>
    <w:uiPriority w:val="1"/>
    <w:unhideWhenUsed/>
    <w:rsid w:val="000317B6"/>
    <w:rPr>
      <w:b/>
      <w:bCs/>
      <w:i/>
      <w:iCs/>
      <w:sz w:val="20"/>
      <w:shd w:val="clear" w:color="auto" w:fill="D4D4D4"/>
    </w:rPr>
  </w:style>
  <w:style w:type="character" w:customStyle="1" w:styleId="hljs-formula">
    <w:name w:val="hljs-formula"/>
    <w:basedOn w:val="DefaultParagraphFont"/>
    <w:uiPriority w:val="1"/>
    <w:unhideWhenUsed/>
    <w:rsid w:val="000317B6"/>
    <w:rPr>
      <w:color w:val="A626A4"/>
    </w:rPr>
  </w:style>
  <w:style w:type="character" w:customStyle="1" w:styleId="hljs-formula-slc">
    <w:name w:val="hljs-formula-slc"/>
    <w:basedOn w:val="hljs-formula"/>
    <w:uiPriority w:val="1"/>
    <w:unhideWhenUsed/>
    <w:rsid w:val="000317B6"/>
    <w:rPr>
      <w:b/>
      <w:bCs/>
      <w:color w:val="A626A4"/>
      <w:sz w:val="20"/>
      <w:shd w:val="clear" w:color="auto" w:fill="D4D4D4"/>
    </w:rPr>
  </w:style>
  <w:style w:type="character" w:customStyle="1" w:styleId="hljs-function">
    <w:name w:val="hljs-function"/>
    <w:basedOn w:val="DefaultParagraphFont"/>
    <w:uiPriority w:val="1"/>
    <w:unhideWhenUsed/>
    <w:rsid w:val="000317B6"/>
  </w:style>
  <w:style w:type="character" w:customStyle="1" w:styleId="hljs-function-slc">
    <w:name w:val="hljs-function-slc"/>
    <w:basedOn w:val="hljs-function"/>
    <w:uiPriority w:val="1"/>
    <w:unhideWhenUsed/>
    <w:rsid w:val="000317B6"/>
    <w:rPr>
      <w:b/>
      <w:bCs/>
      <w:sz w:val="20"/>
      <w:shd w:val="clear" w:color="auto" w:fill="D4D4D4"/>
    </w:rPr>
  </w:style>
  <w:style w:type="character" w:customStyle="1" w:styleId="hljs-keyword">
    <w:name w:val="hljs-keyword"/>
    <w:basedOn w:val="DefaultParagraphFont"/>
    <w:uiPriority w:val="1"/>
    <w:unhideWhenUsed/>
    <w:rsid w:val="000317B6"/>
    <w:rPr>
      <w:color w:val="A626A4"/>
    </w:rPr>
  </w:style>
  <w:style w:type="character" w:customStyle="1" w:styleId="hljs-keyword-slc">
    <w:name w:val="hljs-keyword-slc"/>
    <w:basedOn w:val="hljs-keyword"/>
    <w:uiPriority w:val="1"/>
    <w:unhideWhenUsed/>
    <w:rsid w:val="000317B6"/>
    <w:rPr>
      <w:b/>
      <w:bCs/>
      <w:color w:val="A626A4"/>
      <w:sz w:val="20"/>
      <w:shd w:val="clear" w:color="auto" w:fill="D4D4D4"/>
    </w:rPr>
  </w:style>
  <w:style w:type="character" w:customStyle="1" w:styleId="hljs-link">
    <w:name w:val="hljs-link"/>
    <w:basedOn w:val="DefaultParagraphFont"/>
    <w:uiPriority w:val="1"/>
    <w:unhideWhenUsed/>
    <w:rsid w:val="000317B6"/>
    <w:rPr>
      <w:color w:val="4078F2"/>
      <w:u w:val="single"/>
    </w:rPr>
  </w:style>
  <w:style w:type="character" w:customStyle="1" w:styleId="hljs-link-slc">
    <w:name w:val="hljs-link-slc"/>
    <w:basedOn w:val="hljs-link"/>
    <w:uiPriority w:val="1"/>
    <w:unhideWhenUsed/>
    <w:rsid w:val="000317B6"/>
    <w:rPr>
      <w:b/>
      <w:bCs/>
      <w:color w:val="4078F2"/>
      <w:sz w:val="20"/>
      <w:u w:val="single"/>
      <w:shd w:val="clear" w:color="auto" w:fill="D4D4D4"/>
    </w:rPr>
  </w:style>
  <w:style w:type="character" w:customStyle="1" w:styleId="hljs-literal">
    <w:name w:val="hljs-literal"/>
    <w:basedOn w:val="DefaultParagraphFont"/>
    <w:uiPriority w:val="1"/>
    <w:unhideWhenUsed/>
    <w:rsid w:val="000317B6"/>
    <w:rPr>
      <w:color w:val="0184BB"/>
    </w:rPr>
  </w:style>
  <w:style w:type="character" w:customStyle="1" w:styleId="hljs-literal-slc">
    <w:name w:val="hljs-literal-slc"/>
    <w:basedOn w:val="hljs-literal"/>
    <w:uiPriority w:val="1"/>
    <w:unhideWhenUsed/>
    <w:rsid w:val="000317B6"/>
    <w:rPr>
      <w:b/>
      <w:bCs/>
      <w:color w:val="0184BB"/>
      <w:sz w:val="20"/>
      <w:shd w:val="clear" w:color="auto" w:fill="D4D4D4"/>
    </w:rPr>
  </w:style>
  <w:style w:type="character" w:customStyle="1" w:styleId="hljs-meta">
    <w:name w:val="hljs-meta"/>
    <w:basedOn w:val="DefaultParagraphFont"/>
    <w:uiPriority w:val="1"/>
    <w:unhideWhenUsed/>
    <w:rsid w:val="000317B6"/>
    <w:rPr>
      <w:color w:val="4078F2"/>
    </w:rPr>
  </w:style>
  <w:style w:type="character" w:customStyle="1" w:styleId="hljs-meta-keyword">
    <w:name w:val="hljs-meta-keyword"/>
    <w:basedOn w:val="DefaultParagraphFont"/>
    <w:uiPriority w:val="1"/>
    <w:unhideWhenUsed/>
    <w:rsid w:val="000317B6"/>
  </w:style>
  <w:style w:type="character" w:customStyle="1" w:styleId="hljs-meta-keyword-slc">
    <w:name w:val="hljs-meta-keyword-slc"/>
    <w:basedOn w:val="hljs-meta-keyword"/>
    <w:uiPriority w:val="1"/>
    <w:unhideWhenUsed/>
    <w:rsid w:val="000317B6"/>
    <w:rPr>
      <w:b/>
      <w:bCs/>
      <w:sz w:val="20"/>
      <w:shd w:val="clear" w:color="auto" w:fill="D4D4D4"/>
    </w:rPr>
  </w:style>
  <w:style w:type="character" w:customStyle="1" w:styleId="hljs-meta-slc">
    <w:name w:val="hljs-meta-slc"/>
    <w:basedOn w:val="hljs-meta"/>
    <w:uiPriority w:val="1"/>
    <w:unhideWhenUsed/>
    <w:rsid w:val="000317B6"/>
    <w:rPr>
      <w:b/>
      <w:bCs/>
      <w:color w:val="4078F2"/>
      <w:sz w:val="20"/>
      <w:shd w:val="clear" w:color="auto" w:fill="D4D4D4"/>
    </w:rPr>
  </w:style>
  <w:style w:type="character" w:customStyle="1" w:styleId="hljs-meta-string">
    <w:name w:val="hljs-meta-string"/>
    <w:basedOn w:val="DefaultParagraphFont"/>
    <w:uiPriority w:val="1"/>
    <w:unhideWhenUsed/>
    <w:rsid w:val="000317B6"/>
    <w:rPr>
      <w:color w:val="50A14F"/>
    </w:rPr>
  </w:style>
  <w:style w:type="character" w:customStyle="1" w:styleId="hljs-meta-string-slc">
    <w:name w:val="hljs-meta-string-slc"/>
    <w:basedOn w:val="hljs-meta-string"/>
    <w:uiPriority w:val="1"/>
    <w:unhideWhenUsed/>
    <w:rsid w:val="000317B6"/>
    <w:rPr>
      <w:b/>
      <w:bCs/>
      <w:color w:val="50A14F"/>
      <w:sz w:val="20"/>
      <w:shd w:val="clear" w:color="auto" w:fill="D4D4D4"/>
    </w:rPr>
  </w:style>
  <w:style w:type="character" w:customStyle="1" w:styleId="hljs-module">
    <w:name w:val="hljs-module"/>
    <w:basedOn w:val="DefaultParagraphFont"/>
    <w:uiPriority w:val="1"/>
    <w:unhideWhenUsed/>
    <w:rsid w:val="000317B6"/>
  </w:style>
  <w:style w:type="character" w:customStyle="1" w:styleId="hljs-module-access">
    <w:name w:val="hljs-module-access"/>
    <w:basedOn w:val="DefaultParagraphFont"/>
    <w:uiPriority w:val="1"/>
    <w:unhideWhenUsed/>
    <w:rsid w:val="000317B6"/>
  </w:style>
  <w:style w:type="character" w:customStyle="1" w:styleId="hljs-module-access-slc">
    <w:name w:val="hljs-module-access-slc"/>
    <w:basedOn w:val="hljs-module-access"/>
    <w:uiPriority w:val="1"/>
    <w:unhideWhenUsed/>
    <w:rsid w:val="000317B6"/>
    <w:rPr>
      <w:b/>
      <w:bCs/>
      <w:sz w:val="20"/>
      <w:shd w:val="clear" w:color="auto" w:fill="D4D4D4"/>
    </w:rPr>
  </w:style>
  <w:style w:type="character" w:customStyle="1" w:styleId="hljs-module-slc">
    <w:name w:val="hljs-module-slc"/>
    <w:basedOn w:val="hljs-module"/>
    <w:uiPriority w:val="1"/>
    <w:unhideWhenUsed/>
    <w:rsid w:val="000317B6"/>
    <w:rPr>
      <w:b/>
      <w:bCs/>
      <w:sz w:val="20"/>
      <w:shd w:val="clear" w:color="auto" w:fill="D4D4D4"/>
    </w:rPr>
  </w:style>
  <w:style w:type="character" w:customStyle="1" w:styleId="hljs-name">
    <w:name w:val="hljs-name"/>
    <w:basedOn w:val="DefaultParagraphFont"/>
    <w:uiPriority w:val="1"/>
    <w:unhideWhenUsed/>
    <w:rsid w:val="000317B6"/>
    <w:rPr>
      <w:color w:val="E45649"/>
    </w:rPr>
  </w:style>
  <w:style w:type="character" w:customStyle="1" w:styleId="hljs-name-slc">
    <w:name w:val="hljs-name-slc"/>
    <w:basedOn w:val="hljs-name"/>
    <w:uiPriority w:val="1"/>
    <w:unhideWhenUsed/>
    <w:rsid w:val="000317B6"/>
    <w:rPr>
      <w:b/>
      <w:bCs/>
      <w:color w:val="E45649"/>
      <w:sz w:val="20"/>
      <w:shd w:val="clear" w:color="auto" w:fill="D4D4D4"/>
    </w:rPr>
  </w:style>
  <w:style w:type="character" w:customStyle="1" w:styleId="hljs-number">
    <w:name w:val="hljs-number"/>
    <w:basedOn w:val="DefaultParagraphFont"/>
    <w:unhideWhenUsed/>
    <w:rsid w:val="000317B6"/>
    <w:rPr>
      <w:color w:val="986801"/>
    </w:rPr>
  </w:style>
  <w:style w:type="character" w:customStyle="1" w:styleId="hljs-number-slc">
    <w:name w:val="hljs-number-slc"/>
    <w:basedOn w:val="hljs-number"/>
    <w:uiPriority w:val="1"/>
    <w:unhideWhenUsed/>
    <w:rsid w:val="000317B6"/>
    <w:rPr>
      <w:b/>
      <w:bCs/>
      <w:color w:val="986801"/>
      <w:sz w:val="20"/>
      <w:shd w:val="clear" w:color="auto" w:fill="D4D4D4"/>
    </w:rPr>
  </w:style>
  <w:style w:type="character" w:customStyle="1" w:styleId="hljs-operator">
    <w:name w:val="hljs-operator"/>
    <w:basedOn w:val="DefaultParagraphFont"/>
    <w:unhideWhenUsed/>
    <w:rsid w:val="000317B6"/>
  </w:style>
  <w:style w:type="character" w:customStyle="1" w:styleId="hljs-operator-slc">
    <w:name w:val="hljs-operator-slc"/>
    <w:basedOn w:val="hljs-operator"/>
    <w:uiPriority w:val="1"/>
    <w:unhideWhenUsed/>
    <w:rsid w:val="000317B6"/>
    <w:rPr>
      <w:b/>
      <w:bCs/>
      <w:sz w:val="20"/>
      <w:shd w:val="clear" w:color="auto" w:fill="D4D4D4"/>
    </w:rPr>
  </w:style>
  <w:style w:type="character" w:customStyle="1" w:styleId="hljs-params">
    <w:name w:val="hljs-params"/>
    <w:basedOn w:val="DefaultParagraphFont"/>
    <w:uiPriority w:val="1"/>
    <w:unhideWhenUsed/>
    <w:rsid w:val="000317B6"/>
  </w:style>
  <w:style w:type="character" w:customStyle="1" w:styleId="hljs-params-slc">
    <w:name w:val="hljs-params-slc"/>
    <w:basedOn w:val="hljs-params"/>
    <w:uiPriority w:val="1"/>
    <w:unhideWhenUsed/>
    <w:rsid w:val="000317B6"/>
    <w:rPr>
      <w:b/>
      <w:bCs/>
      <w:sz w:val="20"/>
      <w:shd w:val="clear" w:color="auto" w:fill="D4D4D4"/>
    </w:rPr>
  </w:style>
  <w:style w:type="character" w:customStyle="1" w:styleId="hljs-pattern-match">
    <w:name w:val="hljs-pattern-match"/>
    <w:basedOn w:val="DefaultParagraphFont"/>
    <w:uiPriority w:val="1"/>
    <w:unhideWhenUsed/>
    <w:rsid w:val="000317B6"/>
  </w:style>
  <w:style w:type="character" w:customStyle="1" w:styleId="hljs-pattern-match-slc">
    <w:name w:val="hljs-pattern-match-slc"/>
    <w:basedOn w:val="hljs-pattern-match"/>
    <w:uiPriority w:val="1"/>
    <w:unhideWhenUsed/>
    <w:rsid w:val="000317B6"/>
    <w:rPr>
      <w:b/>
      <w:bCs/>
      <w:sz w:val="20"/>
      <w:shd w:val="clear" w:color="auto" w:fill="D4D4D4"/>
    </w:rPr>
  </w:style>
  <w:style w:type="character" w:customStyle="1" w:styleId="hljs-quote">
    <w:name w:val="hljs-quote"/>
    <w:basedOn w:val="DefaultParagraphFont"/>
    <w:uiPriority w:val="1"/>
    <w:unhideWhenUsed/>
    <w:rsid w:val="000317B6"/>
    <w:rPr>
      <w:i/>
      <w:iCs/>
      <w:color w:val="A0A1A7"/>
    </w:rPr>
  </w:style>
  <w:style w:type="character" w:customStyle="1" w:styleId="hljs-quote-slc">
    <w:name w:val="hljs-quote-slc"/>
    <w:basedOn w:val="hljs-quote"/>
    <w:uiPriority w:val="1"/>
    <w:unhideWhenUsed/>
    <w:rsid w:val="000317B6"/>
    <w:rPr>
      <w:b/>
      <w:bCs/>
      <w:i/>
      <w:iCs/>
      <w:color w:val="A0A1A7"/>
      <w:sz w:val="20"/>
      <w:shd w:val="clear" w:color="auto" w:fill="D4D4D4"/>
    </w:rPr>
  </w:style>
  <w:style w:type="character" w:customStyle="1" w:styleId="hljs-regexp">
    <w:name w:val="hljs-regexp"/>
    <w:basedOn w:val="DefaultParagraphFont"/>
    <w:uiPriority w:val="1"/>
    <w:unhideWhenUsed/>
    <w:rsid w:val="000317B6"/>
    <w:rPr>
      <w:color w:val="50A14F"/>
    </w:rPr>
  </w:style>
  <w:style w:type="character" w:customStyle="1" w:styleId="hljs-regexp-slc">
    <w:name w:val="hljs-regexp-slc"/>
    <w:basedOn w:val="hljs-regexp"/>
    <w:uiPriority w:val="1"/>
    <w:unhideWhenUsed/>
    <w:rsid w:val="000317B6"/>
    <w:rPr>
      <w:b/>
      <w:bCs/>
      <w:color w:val="50A14F"/>
      <w:sz w:val="20"/>
      <w:shd w:val="clear" w:color="auto" w:fill="D4D4D4"/>
    </w:rPr>
  </w:style>
  <w:style w:type="character" w:customStyle="1" w:styleId="hljs-section">
    <w:name w:val="hljs-section"/>
    <w:basedOn w:val="DefaultParagraphFont"/>
    <w:uiPriority w:val="1"/>
    <w:unhideWhenUsed/>
    <w:rsid w:val="000317B6"/>
    <w:rPr>
      <w:color w:val="E45649"/>
    </w:rPr>
  </w:style>
  <w:style w:type="character" w:customStyle="1" w:styleId="hljs-section-slc">
    <w:name w:val="hljs-section-slc"/>
    <w:basedOn w:val="hljs-section"/>
    <w:uiPriority w:val="1"/>
    <w:unhideWhenUsed/>
    <w:rsid w:val="000317B6"/>
    <w:rPr>
      <w:b/>
      <w:bCs/>
      <w:color w:val="E45649"/>
      <w:sz w:val="20"/>
      <w:shd w:val="clear" w:color="auto" w:fill="D4D4D4"/>
    </w:rPr>
  </w:style>
  <w:style w:type="character" w:customStyle="1" w:styleId="hljs-selector-attr">
    <w:name w:val="hljs-selector-attr"/>
    <w:basedOn w:val="DefaultParagraphFont"/>
    <w:uiPriority w:val="1"/>
    <w:unhideWhenUsed/>
    <w:rsid w:val="000317B6"/>
    <w:rPr>
      <w:color w:val="986801"/>
    </w:rPr>
  </w:style>
  <w:style w:type="character" w:customStyle="1" w:styleId="hljs-selector-attr-slc">
    <w:name w:val="hljs-selector-attr-slc"/>
    <w:basedOn w:val="hljs-selector-attr"/>
    <w:uiPriority w:val="1"/>
    <w:unhideWhenUsed/>
    <w:rsid w:val="000317B6"/>
    <w:rPr>
      <w:b/>
      <w:bCs/>
      <w:color w:val="986801"/>
      <w:sz w:val="20"/>
      <w:shd w:val="clear" w:color="auto" w:fill="D4D4D4"/>
    </w:rPr>
  </w:style>
  <w:style w:type="character" w:customStyle="1" w:styleId="hljs-selector-class">
    <w:name w:val="hljs-selector-class"/>
    <w:basedOn w:val="DefaultParagraphFont"/>
    <w:uiPriority w:val="1"/>
    <w:unhideWhenUsed/>
    <w:rsid w:val="000317B6"/>
    <w:rPr>
      <w:color w:val="986801"/>
    </w:rPr>
  </w:style>
  <w:style w:type="character" w:customStyle="1" w:styleId="hljs-selector-class-slc">
    <w:name w:val="hljs-selector-class-slc"/>
    <w:basedOn w:val="hljs-selector-class"/>
    <w:uiPriority w:val="1"/>
    <w:unhideWhenUsed/>
    <w:rsid w:val="000317B6"/>
    <w:rPr>
      <w:b/>
      <w:bCs/>
      <w:color w:val="986801"/>
      <w:sz w:val="20"/>
      <w:shd w:val="clear" w:color="auto" w:fill="D4D4D4"/>
    </w:rPr>
  </w:style>
  <w:style w:type="character" w:customStyle="1" w:styleId="hljs-selector-id">
    <w:name w:val="hljs-selector-id"/>
    <w:basedOn w:val="DefaultParagraphFont"/>
    <w:uiPriority w:val="1"/>
    <w:unhideWhenUsed/>
    <w:rsid w:val="000317B6"/>
    <w:rPr>
      <w:color w:val="4078F2"/>
    </w:rPr>
  </w:style>
  <w:style w:type="character" w:customStyle="1" w:styleId="hljs-selector-id-slc">
    <w:name w:val="hljs-selector-id-slc"/>
    <w:basedOn w:val="hljs-selector-id"/>
    <w:uiPriority w:val="1"/>
    <w:unhideWhenUsed/>
    <w:rsid w:val="000317B6"/>
    <w:rPr>
      <w:b/>
      <w:bCs/>
      <w:color w:val="4078F2"/>
      <w:sz w:val="20"/>
      <w:shd w:val="clear" w:color="auto" w:fill="D4D4D4"/>
    </w:rPr>
  </w:style>
  <w:style w:type="character" w:customStyle="1" w:styleId="hljs-selector-pseudo">
    <w:name w:val="hljs-selector-pseudo"/>
    <w:basedOn w:val="DefaultParagraphFont"/>
    <w:uiPriority w:val="1"/>
    <w:unhideWhenUsed/>
    <w:rsid w:val="000317B6"/>
    <w:rPr>
      <w:color w:val="986801"/>
    </w:rPr>
  </w:style>
  <w:style w:type="character" w:customStyle="1" w:styleId="hljs-selector-pseudo-slc">
    <w:name w:val="hljs-selector-pseudo-slc"/>
    <w:basedOn w:val="hljs-selector-pseudo"/>
    <w:uiPriority w:val="1"/>
    <w:unhideWhenUsed/>
    <w:rsid w:val="000317B6"/>
    <w:rPr>
      <w:b/>
      <w:bCs/>
      <w:color w:val="986801"/>
      <w:sz w:val="20"/>
      <w:shd w:val="clear" w:color="auto" w:fill="D4D4D4"/>
    </w:rPr>
  </w:style>
  <w:style w:type="character" w:customStyle="1" w:styleId="hljs-selector-tag">
    <w:name w:val="hljs-selector-tag"/>
    <w:basedOn w:val="DefaultParagraphFont"/>
    <w:uiPriority w:val="1"/>
    <w:unhideWhenUsed/>
    <w:rsid w:val="000317B6"/>
    <w:rPr>
      <w:color w:val="E45649"/>
    </w:rPr>
  </w:style>
  <w:style w:type="character" w:customStyle="1" w:styleId="hljs-selector-tag-slc">
    <w:name w:val="hljs-selector-tag-slc"/>
    <w:basedOn w:val="hljs-selector-tag"/>
    <w:uiPriority w:val="1"/>
    <w:unhideWhenUsed/>
    <w:rsid w:val="000317B6"/>
    <w:rPr>
      <w:b/>
      <w:bCs/>
      <w:color w:val="E45649"/>
      <w:sz w:val="20"/>
      <w:shd w:val="clear" w:color="auto" w:fill="D4D4D4"/>
    </w:rPr>
  </w:style>
  <w:style w:type="character" w:customStyle="1" w:styleId="hljs-slc">
    <w:name w:val="hljs-slc"/>
    <w:basedOn w:val="DefaultParagraphFont"/>
    <w:uiPriority w:val="1"/>
    <w:unhideWhenUsed/>
    <w:rsid w:val="000317B6"/>
    <w:rPr>
      <w:b/>
      <w:bCs/>
      <w:shd w:val="clear" w:color="auto" w:fill="D4D4D4"/>
      <w:lang w:val="en-IN"/>
    </w:rPr>
  </w:style>
  <w:style w:type="character" w:customStyle="1" w:styleId="hljs-string">
    <w:name w:val="hljs-string"/>
    <w:basedOn w:val="DefaultParagraphFont"/>
    <w:uiPriority w:val="1"/>
    <w:unhideWhenUsed/>
    <w:rsid w:val="000317B6"/>
    <w:rPr>
      <w:color w:val="50A14F"/>
    </w:rPr>
  </w:style>
  <w:style w:type="character" w:customStyle="1" w:styleId="hljs-string-slc">
    <w:name w:val="hljs-string-slc"/>
    <w:basedOn w:val="hljs-string"/>
    <w:uiPriority w:val="1"/>
    <w:unhideWhenUsed/>
    <w:rsid w:val="000317B6"/>
    <w:rPr>
      <w:b/>
      <w:bCs/>
      <w:color w:val="50A14F"/>
      <w:sz w:val="20"/>
      <w:shd w:val="clear" w:color="auto" w:fill="D4D4D4"/>
    </w:rPr>
  </w:style>
  <w:style w:type="character" w:customStyle="1" w:styleId="hljs-strong">
    <w:name w:val="hljs-strong"/>
    <w:basedOn w:val="DefaultParagraphFont"/>
    <w:uiPriority w:val="1"/>
    <w:unhideWhenUsed/>
    <w:rsid w:val="000317B6"/>
    <w:rPr>
      <w:b/>
      <w:bCs/>
    </w:rPr>
  </w:style>
  <w:style w:type="character" w:customStyle="1" w:styleId="hljs-strong-slc">
    <w:name w:val="hljs-strong-slc"/>
    <w:basedOn w:val="hljs-strong"/>
    <w:uiPriority w:val="1"/>
    <w:unhideWhenUsed/>
    <w:rsid w:val="000317B6"/>
    <w:rPr>
      <w:b/>
      <w:bCs/>
      <w:sz w:val="20"/>
      <w:shd w:val="clear" w:color="auto" w:fill="D4D4D4"/>
    </w:rPr>
  </w:style>
  <w:style w:type="character" w:customStyle="1" w:styleId="hljs-subst">
    <w:name w:val="hljs-subst"/>
    <w:basedOn w:val="DefaultParagraphFont"/>
    <w:uiPriority w:val="1"/>
    <w:unhideWhenUsed/>
    <w:rsid w:val="000317B6"/>
    <w:rPr>
      <w:color w:val="E45649"/>
    </w:rPr>
  </w:style>
  <w:style w:type="character" w:customStyle="1" w:styleId="hljs-subst-slc">
    <w:name w:val="hljs-subst-slc"/>
    <w:basedOn w:val="hljs-subst"/>
    <w:uiPriority w:val="1"/>
    <w:unhideWhenUsed/>
    <w:rsid w:val="000317B6"/>
    <w:rPr>
      <w:b/>
      <w:bCs/>
      <w:color w:val="E45649"/>
      <w:sz w:val="20"/>
      <w:shd w:val="clear" w:color="auto" w:fill="D4D4D4"/>
    </w:rPr>
  </w:style>
  <w:style w:type="character" w:customStyle="1" w:styleId="hljs-symbol">
    <w:name w:val="hljs-symbol"/>
    <w:basedOn w:val="DefaultParagraphFont"/>
    <w:uiPriority w:val="1"/>
    <w:unhideWhenUsed/>
    <w:rsid w:val="000317B6"/>
    <w:rPr>
      <w:color w:val="4078F2"/>
    </w:rPr>
  </w:style>
  <w:style w:type="character" w:customStyle="1" w:styleId="hljs-symbol-slc">
    <w:name w:val="hljs-symbol-slc"/>
    <w:basedOn w:val="hljs-symbol"/>
    <w:uiPriority w:val="1"/>
    <w:unhideWhenUsed/>
    <w:rsid w:val="000317B6"/>
    <w:rPr>
      <w:b/>
      <w:bCs/>
      <w:color w:val="4078F2"/>
      <w:sz w:val="20"/>
      <w:shd w:val="clear" w:color="auto" w:fill="D4D4D4"/>
    </w:rPr>
  </w:style>
  <w:style w:type="character" w:customStyle="1" w:styleId="hljs-tag">
    <w:name w:val="hljs-tag"/>
    <w:basedOn w:val="DefaultParagraphFont"/>
    <w:uiPriority w:val="1"/>
    <w:unhideWhenUsed/>
    <w:rsid w:val="000317B6"/>
  </w:style>
  <w:style w:type="character" w:customStyle="1" w:styleId="hljs-tag-slc">
    <w:name w:val="hljs-tag-slc"/>
    <w:basedOn w:val="hljs-tag"/>
    <w:uiPriority w:val="1"/>
    <w:unhideWhenUsed/>
    <w:rsid w:val="000317B6"/>
    <w:rPr>
      <w:b/>
      <w:bCs/>
      <w:sz w:val="20"/>
      <w:shd w:val="clear" w:color="auto" w:fill="D4D4D4"/>
    </w:rPr>
  </w:style>
  <w:style w:type="character" w:customStyle="1" w:styleId="hljs-template-tag">
    <w:name w:val="hljs-template-tag"/>
    <w:basedOn w:val="DefaultParagraphFont"/>
    <w:uiPriority w:val="1"/>
    <w:unhideWhenUsed/>
    <w:rsid w:val="000317B6"/>
  </w:style>
  <w:style w:type="character" w:customStyle="1" w:styleId="hljs-template-tag-slc">
    <w:name w:val="hljs-template-tag-slc"/>
    <w:basedOn w:val="hljs-template-tag"/>
    <w:uiPriority w:val="1"/>
    <w:unhideWhenUsed/>
    <w:rsid w:val="000317B6"/>
    <w:rPr>
      <w:b/>
      <w:bCs/>
      <w:sz w:val="20"/>
      <w:shd w:val="clear" w:color="auto" w:fill="D4D4D4"/>
    </w:rPr>
  </w:style>
  <w:style w:type="character" w:customStyle="1" w:styleId="hljs-template-variable">
    <w:name w:val="hljs-template-variable"/>
    <w:basedOn w:val="DefaultParagraphFont"/>
    <w:uiPriority w:val="1"/>
    <w:unhideWhenUsed/>
    <w:rsid w:val="000317B6"/>
    <w:rPr>
      <w:color w:val="986801"/>
    </w:rPr>
  </w:style>
  <w:style w:type="character" w:customStyle="1" w:styleId="hljs-template-variable-slc">
    <w:name w:val="hljs-template-variable-slc"/>
    <w:basedOn w:val="hljs-template-variable"/>
    <w:uiPriority w:val="1"/>
    <w:unhideWhenUsed/>
    <w:rsid w:val="000317B6"/>
    <w:rPr>
      <w:b/>
      <w:bCs/>
      <w:color w:val="986801"/>
      <w:sz w:val="20"/>
      <w:shd w:val="clear" w:color="auto" w:fill="D4D4D4"/>
    </w:rPr>
  </w:style>
  <w:style w:type="character" w:customStyle="1" w:styleId="hljs-title">
    <w:name w:val="hljs-title"/>
    <w:basedOn w:val="DefaultParagraphFont"/>
    <w:uiPriority w:val="1"/>
    <w:unhideWhenUsed/>
    <w:rsid w:val="000317B6"/>
    <w:rPr>
      <w:color w:val="4078F2"/>
    </w:rPr>
  </w:style>
  <w:style w:type="character" w:customStyle="1" w:styleId="hljs-title-slc">
    <w:name w:val="hljs-title-slc"/>
    <w:basedOn w:val="hljs-title"/>
    <w:uiPriority w:val="1"/>
    <w:unhideWhenUsed/>
    <w:rsid w:val="000317B6"/>
    <w:rPr>
      <w:b/>
      <w:bCs/>
      <w:color w:val="4078F2"/>
      <w:sz w:val="20"/>
      <w:shd w:val="clear" w:color="auto" w:fill="D4D4D4"/>
    </w:rPr>
  </w:style>
  <w:style w:type="character" w:customStyle="1" w:styleId="hljs-type">
    <w:name w:val="hljs-type"/>
    <w:basedOn w:val="DefaultParagraphFont"/>
    <w:uiPriority w:val="1"/>
    <w:unhideWhenUsed/>
    <w:rsid w:val="000317B6"/>
    <w:rPr>
      <w:color w:val="986801"/>
    </w:rPr>
  </w:style>
  <w:style w:type="character" w:customStyle="1" w:styleId="hljs-type-slc">
    <w:name w:val="hljs-type-slc"/>
    <w:basedOn w:val="hljs-type"/>
    <w:uiPriority w:val="1"/>
    <w:unhideWhenUsed/>
    <w:rsid w:val="000317B6"/>
    <w:rPr>
      <w:b/>
      <w:bCs/>
      <w:color w:val="986801"/>
      <w:sz w:val="20"/>
      <w:shd w:val="clear" w:color="auto" w:fill="D4D4D4"/>
    </w:rPr>
  </w:style>
  <w:style w:type="character" w:customStyle="1" w:styleId="hljs-typing">
    <w:name w:val="hljs-typing"/>
    <w:basedOn w:val="DefaultParagraphFont"/>
    <w:uiPriority w:val="1"/>
    <w:unhideWhenUsed/>
    <w:rsid w:val="000317B6"/>
  </w:style>
  <w:style w:type="character" w:customStyle="1" w:styleId="hljs-typing-slc">
    <w:name w:val="hljs-typing-slc"/>
    <w:basedOn w:val="hljs-typing"/>
    <w:uiPriority w:val="1"/>
    <w:unhideWhenUsed/>
    <w:rsid w:val="000317B6"/>
    <w:rPr>
      <w:b/>
      <w:bCs/>
      <w:sz w:val="20"/>
      <w:shd w:val="clear" w:color="auto" w:fill="D4D4D4"/>
    </w:rPr>
  </w:style>
  <w:style w:type="character" w:customStyle="1" w:styleId="hljs-variable">
    <w:name w:val="hljs-variable"/>
    <w:basedOn w:val="DefaultParagraphFont"/>
    <w:unhideWhenUsed/>
    <w:rsid w:val="000317B6"/>
    <w:rPr>
      <w:color w:val="986801"/>
    </w:rPr>
  </w:style>
  <w:style w:type="character" w:customStyle="1" w:styleId="hljs-variable-slc">
    <w:name w:val="hljs-variable-slc"/>
    <w:basedOn w:val="hljs-variable"/>
    <w:uiPriority w:val="1"/>
    <w:unhideWhenUsed/>
    <w:rsid w:val="000317B6"/>
    <w:rPr>
      <w:b/>
      <w:bCs/>
      <w:color w:val="986801"/>
      <w:sz w:val="20"/>
      <w:shd w:val="clear" w:color="auto" w:fill="D4D4D4"/>
    </w:rPr>
  </w:style>
  <w:style w:type="paragraph" w:customStyle="1" w:styleId="HS-ChapterNumber">
    <w:name w:val="HS - ChapterNumber"/>
    <w:next w:val="Normal"/>
    <w:rsid w:val="000317B6"/>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0317B6"/>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0317B6"/>
    <w:pPr>
      <w:keepNext/>
      <w:spacing w:before="90" w:after="50"/>
      <w:outlineLvl w:val="0"/>
    </w:pPr>
    <w:rPr>
      <w:rFonts w:ascii="Jost*" w:eastAsia="Times New Roman" w:hAnsi="Jost*" w:cs="Times New Roman"/>
      <w:b/>
      <w:sz w:val="32"/>
      <w:szCs w:val="24"/>
    </w:rPr>
  </w:style>
  <w:style w:type="character" w:customStyle="1" w:styleId="HS-Heading1Char">
    <w:name w:val="HS - Heading 1 Char"/>
    <w:basedOn w:val="DefaultParagraphFont"/>
    <w:link w:val="HS-Heading1"/>
    <w:rsid w:val="000317B6"/>
    <w:rPr>
      <w:rFonts w:ascii="Jost*" w:eastAsia="Times New Roman" w:hAnsi="Jost*" w:cs="Times New Roman"/>
      <w:b/>
      <w:sz w:val="32"/>
      <w:szCs w:val="24"/>
    </w:rPr>
  </w:style>
  <w:style w:type="paragraph" w:customStyle="1" w:styleId="HS-Heading2">
    <w:name w:val="HS - Heading 2"/>
    <w:basedOn w:val="HS-Heading1"/>
    <w:next w:val="P0-Paragraph"/>
    <w:rsid w:val="000317B6"/>
    <w:pPr>
      <w:outlineLvl w:val="1"/>
    </w:pPr>
    <w:rPr>
      <w:sz w:val="28"/>
    </w:rPr>
  </w:style>
  <w:style w:type="paragraph" w:customStyle="1" w:styleId="HS-Heading3">
    <w:name w:val="HS - Heading 3"/>
    <w:basedOn w:val="HS-Heading1"/>
    <w:next w:val="P0-Paragraph"/>
    <w:rsid w:val="000317B6"/>
    <w:pPr>
      <w:spacing w:before="72"/>
      <w:outlineLvl w:val="2"/>
    </w:pPr>
    <w:rPr>
      <w:sz w:val="26"/>
    </w:rPr>
  </w:style>
  <w:style w:type="paragraph" w:customStyle="1" w:styleId="HS-Heading4">
    <w:name w:val="HS - Heading 4"/>
    <w:basedOn w:val="HS-Heading1"/>
    <w:next w:val="P0-Paragraph"/>
    <w:rsid w:val="000317B6"/>
    <w:pPr>
      <w:spacing w:before="72"/>
      <w:outlineLvl w:val="3"/>
    </w:pPr>
    <w:rPr>
      <w:sz w:val="24"/>
    </w:rPr>
  </w:style>
  <w:style w:type="paragraph" w:customStyle="1" w:styleId="HS-Heading5">
    <w:name w:val="HS - Heading 5"/>
    <w:basedOn w:val="HS-Heading1"/>
    <w:next w:val="P0-Paragraph"/>
    <w:rsid w:val="000317B6"/>
    <w:pPr>
      <w:spacing w:before="50"/>
      <w:outlineLvl w:val="4"/>
    </w:pPr>
    <w:rPr>
      <w:rFonts w:ascii="Jost* Semi" w:hAnsi="Jost* Semi"/>
      <w:b w:val="0"/>
      <w:sz w:val="24"/>
    </w:rPr>
  </w:style>
  <w:style w:type="paragraph" w:customStyle="1" w:styleId="HS-Heading6">
    <w:name w:val="HS - Heading 6"/>
    <w:basedOn w:val="HS-Heading1"/>
    <w:next w:val="P0-Paragraph"/>
    <w:rsid w:val="000317B6"/>
    <w:pPr>
      <w:spacing w:before="50"/>
      <w:outlineLvl w:val="5"/>
    </w:pPr>
    <w:rPr>
      <w:rFonts w:ascii="Jost* Semi" w:hAnsi="Jost* Semi"/>
      <w:b w:val="0"/>
      <w:sz w:val="24"/>
    </w:rPr>
  </w:style>
  <w:style w:type="paragraph" w:customStyle="1" w:styleId="HS-MainHeading">
    <w:name w:val="HS - MainHeading"/>
    <w:basedOn w:val="HS-ChapterTitle"/>
    <w:rsid w:val="000317B6"/>
    <w:pPr>
      <w:spacing w:before="900"/>
      <w:jc w:val="right"/>
    </w:pPr>
    <w:rPr>
      <w:rFonts w:ascii="Jost* Semi" w:hAnsi="Jost* Semi"/>
    </w:rPr>
  </w:style>
  <w:style w:type="paragraph" w:customStyle="1" w:styleId="HS-PartNumber">
    <w:name w:val="HS - PartNumber"/>
    <w:basedOn w:val="HS-ChapterTitle"/>
    <w:next w:val="Normal"/>
    <w:rsid w:val="000317B6"/>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0317B6"/>
    <w:rPr>
      <w:rFonts w:ascii="Jost*" w:hAnsi="Jost*"/>
      <w:sz w:val="72"/>
    </w:rPr>
  </w:style>
  <w:style w:type="paragraph" w:customStyle="1" w:styleId="I0-InfoBox">
    <w:name w:val="I0 - InfoBox"/>
    <w:basedOn w:val="P0-Paragraph"/>
    <w:link w:val="I0-InfoBoxChar"/>
    <w:qFormat/>
    <w:rsid w:val="000317B6"/>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0317B6"/>
    <w:rPr>
      <w:rFonts w:ascii="Crimson Pro" w:eastAsia="Times New Roman" w:hAnsi="Crimson Pro" w:cs="Times New Roman"/>
      <w:sz w:val="20"/>
      <w:szCs w:val="24"/>
      <w:shd w:val="clear" w:color="auto" w:fill="FFFFFF"/>
    </w:rPr>
  </w:style>
  <w:style w:type="paragraph" w:customStyle="1" w:styleId="I0-InfoBoxBullet">
    <w:name w:val="I0 - InfoBoxBullet"/>
    <w:basedOn w:val="I0-InfoBox"/>
    <w:qFormat/>
    <w:rsid w:val="000317B6"/>
    <w:pPr>
      <w:numPr>
        <w:numId w:val="13"/>
      </w:numPr>
      <w:spacing w:after="0"/>
      <w:ind w:left="360"/>
      <w:contextualSpacing/>
    </w:pPr>
  </w:style>
  <w:style w:type="paragraph" w:customStyle="1" w:styleId="I0-InfoBoxFigure">
    <w:name w:val="I0 - InfoBoxFigure"/>
    <w:basedOn w:val="I0-InfoBox"/>
    <w:qFormat/>
    <w:rsid w:val="000317B6"/>
    <w:pPr>
      <w:jc w:val="center"/>
    </w:pPr>
    <w:rPr>
      <w:sz w:val="16"/>
    </w:rPr>
  </w:style>
  <w:style w:type="paragraph" w:customStyle="1" w:styleId="I0-InfoBoxCaption">
    <w:name w:val="I0 - InfoBoxCaption"/>
    <w:basedOn w:val="I0-InfoBoxFigure"/>
    <w:rsid w:val="000317B6"/>
  </w:style>
  <w:style w:type="paragraph" w:customStyle="1" w:styleId="I0-InfoBoxCenter">
    <w:name w:val="I0 - InfoBoxCenter"/>
    <w:basedOn w:val="I0-InfoBox"/>
    <w:rsid w:val="000317B6"/>
    <w:pPr>
      <w:jc w:val="center"/>
    </w:pPr>
  </w:style>
  <w:style w:type="paragraph" w:customStyle="1" w:styleId="I0-InfoBoxCode">
    <w:name w:val="I0 - InfoBoxCode"/>
    <w:basedOn w:val="I0-InfoBox"/>
    <w:rsid w:val="000317B6"/>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0317B6"/>
    <w:pPr>
      <w:shd w:val="clear" w:color="auto" w:fill="282A36"/>
    </w:pPr>
    <w:rPr>
      <w:color w:val="F8F8F2"/>
    </w:rPr>
  </w:style>
  <w:style w:type="paragraph" w:customStyle="1" w:styleId="I0-InfoBoxNumberedList">
    <w:name w:val="I0 - InfoBoxNumberedList"/>
    <w:basedOn w:val="I0-InfoBoxBullet"/>
    <w:rsid w:val="000317B6"/>
    <w:pPr>
      <w:numPr>
        <w:numId w:val="3"/>
      </w:numPr>
      <w:ind w:left="360"/>
    </w:pPr>
  </w:style>
  <w:style w:type="paragraph" w:customStyle="1" w:styleId="L1-Bullet">
    <w:name w:val="L1 - Bullet"/>
    <w:basedOn w:val="P0-Paragraph"/>
    <w:autoRedefine/>
    <w:rsid w:val="000317B6"/>
    <w:pPr>
      <w:numPr>
        <w:numId w:val="15"/>
      </w:numPr>
      <w:tabs>
        <w:tab w:val="left" w:pos="360"/>
      </w:tabs>
      <w:suppressAutoHyphens/>
      <w:spacing w:after="126"/>
      <w:ind w:left="990"/>
      <w:contextualSpacing/>
    </w:pPr>
  </w:style>
  <w:style w:type="paragraph" w:customStyle="1" w:styleId="L1-Alphabet">
    <w:name w:val="L1 - Alphabet"/>
    <w:basedOn w:val="L1-Bullet"/>
    <w:rsid w:val="000317B6"/>
    <w:pPr>
      <w:numPr>
        <w:numId w:val="4"/>
      </w:numPr>
      <w:spacing w:after="2"/>
      <w:ind w:left="990"/>
    </w:pPr>
  </w:style>
  <w:style w:type="paragraph" w:customStyle="1" w:styleId="L1-Numbered">
    <w:name w:val="L1 - Numbered"/>
    <w:basedOn w:val="L1-Bullet"/>
    <w:rsid w:val="000317B6"/>
    <w:pPr>
      <w:numPr>
        <w:numId w:val="5"/>
      </w:numPr>
      <w:ind w:left="990" w:hanging="360"/>
    </w:pPr>
  </w:style>
  <w:style w:type="paragraph" w:customStyle="1" w:styleId="L2-Bullet">
    <w:name w:val="L2 - Bullet"/>
    <w:basedOn w:val="L1-Bullet"/>
    <w:rsid w:val="000317B6"/>
    <w:pPr>
      <w:ind w:left="1620"/>
    </w:pPr>
  </w:style>
  <w:style w:type="paragraph" w:customStyle="1" w:styleId="L2-Alphabet">
    <w:name w:val="L2 - Alphabet"/>
    <w:basedOn w:val="L2-Bullet"/>
    <w:qFormat/>
    <w:rsid w:val="000317B6"/>
    <w:pPr>
      <w:numPr>
        <w:numId w:val="7"/>
      </w:numPr>
      <w:ind w:left="1620"/>
    </w:pPr>
    <w:rPr>
      <w:bCs/>
    </w:rPr>
  </w:style>
  <w:style w:type="paragraph" w:customStyle="1" w:styleId="L2-Numbered">
    <w:name w:val="L2 - Numbered"/>
    <w:basedOn w:val="L2-Bullet"/>
    <w:rsid w:val="000317B6"/>
    <w:pPr>
      <w:numPr>
        <w:numId w:val="8"/>
      </w:numPr>
      <w:ind w:left="1620"/>
    </w:pPr>
  </w:style>
  <w:style w:type="paragraph" w:customStyle="1" w:styleId="L3-Bullet">
    <w:name w:val="L3 - Bullet"/>
    <w:basedOn w:val="L2-Bullet"/>
    <w:rsid w:val="000317B6"/>
    <w:pPr>
      <w:ind w:left="2250"/>
    </w:pPr>
  </w:style>
  <w:style w:type="paragraph" w:customStyle="1" w:styleId="L3-Alphabet">
    <w:name w:val="L3 - Alphabet"/>
    <w:basedOn w:val="L3-Bullet"/>
    <w:rsid w:val="000317B6"/>
    <w:pPr>
      <w:numPr>
        <w:numId w:val="10"/>
      </w:numPr>
      <w:ind w:left="2250"/>
    </w:pPr>
  </w:style>
  <w:style w:type="paragraph" w:customStyle="1" w:styleId="L3-Numbered">
    <w:name w:val="L3 - Numbered"/>
    <w:basedOn w:val="L3-Bullet"/>
    <w:rsid w:val="000317B6"/>
    <w:pPr>
      <w:numPr>
        <w:numId w:val="11"/>
      </w:numPr>
      <w:ind w:left="2250"/>
    </w:pPr>
  </w:style>
  <w:style w:type="paragraph" w:customStyle="1" w:styleId="P0-ParagraphCenter">
    <w:name w:val="P0 - ParagraphCenter"/>
    <w:basedOn w:val="P0-Paragraph"/>
    <w:rsid w:val="000317B6"/>
    <w:pPr>
      <w:jc w:val="center"/>
    </w:pPr>
  </w:style>
  <w:style w:type="paragraph" w:customStyle="1" w:styleId="P1-Paragraph">
    <w:name w:val="P1 - Paragraph"/>
    <w:basedOn w:val="L1-Bullet"/>
    <w:rsid w:val="000317B6"/>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0317B6"/>
    <w:pPr>
      <w:ind w:left="634"/>
      <w:jc w:val="center"/>
    </w:pPr>
  </w:style>
  <w:style w:type="paragraph" w:customStyle="1" w:styleId="P2-Paragraph">
    <w:name w:val="P2 - Paragraph"/>
    <w:basedOn w:val="P1-Paragraph"/>
    <w:rsid w:val="000317B6"/>
    <w:pPr>
      <w:ind w:left="1260"/>
    </w:pPr>
  </w:style>
  <w:style w:type="paragraph" w:customStyle="1" w:styleId="P2-ParagraphCenter">
    <w:name w:val="P2 - ParagraphCenter"/>
    <w:basedOn w:val="P2-Paragraph"/>
    <w:rsid w:val="000317B6"/>
    <w:pPr>
      <w:ind w:left="1267"/>
      <w:jc w:val="center"/>
    </w:pPr>
  </w:style>
  <w:style w:type="paragraph" w:customStyle="1" w:styleId="QS-Quote">
    <w:name w:val="QS - Quote"/>
    <w:basedOn w:val="P0-Paragraph"/>
    <w:rsid w:val="000317B6"/>
    <w:pPr>
      <w:shd w:val="clear" w:color="auto" w:fill="FFFF00"/>
      <w:spacing w:after="126"/>
      <w:ind w:left="540"/>
    </w:pPr>
    <w:rPr>
      <w:i/>
      <w:sz w:val="22"/>
    </w:rPr>
  </w:style>
  <w:style w:type="paragraph" w:customStyle="1" w:styleId="QS-Cite">
    <w:name w:val="QS - Cite"/>
    <w:basedOn w:val="QS-Quote"/>
    <w:next w:val="P0-Paragraph"/>
    <w:rsid w:val="000317B6"/>
    <w:pPr>
      <w:ind w:left="547"/>
      <w:jc w:val="right"/>
    </w:pPr>
  </w:style>
  <w:style w:type="paragraph" w:customStyle="1" w:styleId="T0-TipBox">
    <w:name w:val="T0 - TipBox"/>
    <w:basedOn w:val="I0-InfoBox"/>
    <w:qFormat/>
    <w:rsid w:val="000317B6"/>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0317B6"/>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0317B6"/>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0317B6"/>
  </w:style>
  <w:style w:type="paragraph" w:customStyle="1" w:styleId="T0-TipBoxCenter">
    <w:name w:val="T0 - TipBoxCenter"/>
    <w:basedOn w:val="T0-TipBox"/>
    <w:rsid w:val="000317B6"/>
    <w:pPr>
      <w:jc w:val="center"/>
    </w:pPr>
  </w:style>
  <w:style w:type="paragraph" w:customStyle="1" w:styleId="T0-TipBoxCode">
    <w:name w:val="T0 - TipBoxCode"/>
    <w:basedOn w:val="I0-InfoBoxCode"/>
    <w:rsid w:val="000317B6"/>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0317B6"/>
    <w:pPr>
      <w:shd w:val="clear" w:color="auto" w:fill="282A36"/>
    </w:pPr>
    <w:rPr>
      <w:color w:val="F8F8F2"/>
    </w:rPr>
  </w:style>
  <w:style w:type="paragraph" w:customStyle="1" w:styleId="T0-TipBoxNumberedList">
    <w:name w:val="T0 - TipBoxNumberedList"/>
    <w:basedOn w:val="T0-TipBoxBullet"/>
    <w:rsid w:val="000317B6"/>
    <w:pPr>
      <w:numPr>
        <w:numId w:val="14"/>
      </w:numPr>
      <w:ind w:left="360"/>
    </w:pPr>
  </w:style>
  <w:style w:type="paragraph" w:customStyle="1" w:styleId="T0-Table">
    <w:name w:val="T0 - Table"/>
    <w:basedOn w:val="Normal"/>
    <w:rsid w:val="000317B6"/>
    <w:pPr>
      <w:spacing w:after="126"/>
    </w:pPr>
    <w:rPr>
      <w:rFonts w:ascii="Crimson Pro" w:hAnsi="Crimson Pro" w:cs="Arial"/>
      <w:bCs/>
      <w:kern w:val="0"/>
      <w:sz w:val="20"/>
      <w14:ligatures w14:val="none"/>
    </w:rPr>
  </w:style>
  <w:style w:type="paragraph" w:customStyle="1" w:styleId="T0-TableBullet">
    <w:name w:val="T0 - TableBullet"/>
    <w:basedOn w:val="L1-Bullet"/>
    <w:qFormat/>
    <w:rsid w:val="000317B6"/>
    <w:pPr>
      <w:spacing w:before="60" w:after="60"/>
      <w:ind w:left="432" w:right="72"/>
    </w:pPr>
    <w:rPr>
      <w:sz w:val="20"/>
      <w:lang w:eastAsia="ar-SA"/>
    </w:rPr>
  </w:style>
  <w:style w:type="paragraph" w:customStyle="1" w:styleId="T0-TableFigure">
    <w:name w:val="T0 - TableFigure"/>
    <w:basedOn w:val="T0-Table"/>
    <w:next w:val="Normal"/>
    <w:qFormat/>
    <w:rsid w:val="000317B6"/>
    <w:pPr>
      <w:spacing w:before="120" w:after="120"/>
      <w:jc w:val="center"/>
    </w:pPr>
    <w:rPr>
      <w:sz w:val="16"/>
    </w:rPr>
  </w:style>
  <w:style w:type="paragraph" w:customStyle="1" w:styleId="T0-TableCaption">
    <w:name w:val="T0 - TableCaption"/>
    <w:basedOn w:val="T0-TableFigure"/>
    <w:next w:val="T0-Table"/>
    <w:rsid w:val="000317B6"/>
  </w:style>
  <w:style w:type="paragraph" w:customStyle="1" w:styleId="T0-TableCenter">
    <w:name w:val="T0 - TableCenter"/>
    <w:basedOn w:val="T0-Table"/>
    <w:rsid w:val="000317B6"/>
    <w:pPr>
      <w:jc w:val="center"/>
    </w:pPr>
  </w:style>
  <w:style w:type="paragraph" w:customStyle="1" w:styleId="T0-TableCode">
    <w:name w:val="T0 - TableCode"/>
    <w:basedOn w:val="T0-Table"/>
    <w:rsid w:val="000317B6"/>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0317B6"/>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0317B6"/>
    <w:pPr>
      <w:numPr>
        <w:numId w:val="16"/>
      </w:numPr>
    </w:pPr>
  </w:style>
  <w:style w:type="paragraph" w:styleId="HTMLPreformatted">
    <w:name w:val="HTML Preformatted"/>
    <w:basedOn w:val="Normal"/>
    <w:link w:val="HTMLPreformattedChar"/>
    <w:uiPriority w:val="99"/>
    <w:semiHidden/>
    <w:unhideWhenUsed/>
    <w:rsid w:val="000317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317B6"/>
    <w:rPr>
      <w:rFonts w:ascii="Consolas" w:eastAsiaTheme="minorHAnsi" w:hAnsi="Consolas" w:cstheme="minorBidi"/>
      <w:kern w:val="2"/>
      <w:sz w:val="20"/>
      <w:szCs w:val="20"/>
      <w14:ligatures w14:val="standardContextual"/>
    </w:rPr>
  </w:style>
  <w:style w:type="character" w:customStyle="1" w:styleId="TitleChar">
    <w:name w:val="Title Char"/>
    <w:basedOn w:val="DefaultParagraphFont"/>
    <w:link w:val="Title"/>
    <w:uiPriority w:val="10"/>
    <w:rsid w:val="000317B6"/>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0317B6"/>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0317B6"/>
    <w:pPr>
      <w:ind w:left="720"/>
      <w:contextualSpacing/>
    </w:pPr>
  </w:style>
  <w:style w:type="paragraph" w:styleId="Quote">
    <w:name w:val="Quote"/>
    <w:basedOn w:val="Normal"/>
    <w:next w:val="Normal"/>
    <w:link w:val="QuoteChar"/>
    <w:uiPriority w:val="29"/>
    <w:qFormat/>
    <w:rsid w:val="000317B6"/>
    <w:pPr>
      <w:spacing w:before="160"/>
      <w:jc w:val="center"/>
    </w:pPr>
    <w:rPr>
      <w:i/>
      <w:iCs/>
      <w:color w:val="404040" w:themeColor="text1" w:themeTint="BF"/>
    </w:rPr>
  </w:style>
  <w:style w:type="character" w:customStyle="1" w:styleId="QuoteChar">
    <w:name w:val="Quote Char"/>
    <w:basedOn w:val="DefaultParagraphFont"/>
    <w:link w:val="Quote"/>
    <w:uiPriority w:val="29"/>
    <w:rsid w:val="000317B6"/>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0317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17B6"/>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Emphasis">
    <w:name w:val="Intense Emphasis"/>
    <w:basedOn w:val="DefaultParagraphFont"/>
    <w:uiPriority w:val="21"/>
    <w:qFormat/>
    <w:rsid w:val="000317B6"/>
    <w:rPr>
      <w:i/>
      <w:iCs/>
      <w:color w:val="365F91" w:themeColor="accent1" w:themeShade="BF"/>
    </w:rPr>
  </w:style>
  <w:style w:type="character" w:styleId="IntenseReference">
    <w:name w:val="Intense Reference"/>
    <w:basedOn w:val="DefaultParagraphFont"/>
    <w:uiPriority w:val="32"/>
    <w:qFormat/>
    <w:rsid w:val="000317B6"/>
    <w:rPr>
      <w:b/>
      <w:bCs/>
      <w:smallCaps/>
      <w:color w:val="365F91" w:themeColor="accent1" w:themeShade="BF"/>
      <w:spacing w:val="5"/>
    </w:rPr>
  </w:style>
  <w:style w:type="paragraph" w:styleId="NoSpacing">
    <w:name w:val="No Spacing"/>
    <w:uiPriority w:val="1"/>
    <w:qFormat/>
    <w:rsid w:val="000317B6"/>
    <w:rPr>
      <w:rFonts w:asciiTheme="minorHAnsi" w:eastAsiaTheme="minorHAnsi" w:hAnsiTheme="minorHAnsi" w:cstheme="minorBidi"/>
      <w:kern w:val="2"/>
      <w:sz w:val="24"/>
      <w:szCs w:val="24"/>
      <w14:ligatures w14:val="standardContextual"/>
    </w:rPr>
  </w:style>
  <w:style w:type="paragraph" w:customStyle="1" w:styleId="EQ-Normal">
    <w:name w:val="EQ - Normal"/>
    <w:rsid w:val="000317B6"/>
    <w:pPr>
      <w:spacing w:line="278" w:lineRule="auto"/>
    </w:pPr>
    <w:rPr>
      <w:rFonts w:ascii="Book Antiqua" w:eastAsia="Times New Roman" w:hAnsi="Book Antiqua" w:cs="Times New Roman"/>
      <w:sz w:val="19"/>
      <w:szCs w:val="24"/>
    </w:rPr>
  </w:style>
  <w:style w:type="character" w:customStyle="1" w:styleId="EQ-Ruler">
    <w:name w:val="EQ - Ruler"/>
    <w:basedOn w:val="DefaultParagraphFont"/>
    <w:uiPriority w:val="1"/>
    <w:rsid w:val="000317B6"/>
    <w:rPr>
      <w:rFonts w:ascii="Book Antiqua" w:hAnsi="Book Antiqua"/>
      <w:position w:val="490"/>
      <w:sz w:val="10"/>
    </w:rPr>
  </w:style>
  <w:style w:type="paragraph" w:customStyle="1" w:styleId="EQ-Small">
    <w:name w:val="EQ - Small"/>
    <w:rsid w:val="000317B6"/>
    <w:pPr>
      <w:spacing w:line="278" w:lineRule="auto"/>
    </w:pPr>
    <w:rPr>
      <w:rFonts w:ascii="Book Antiqua" w:eastAsia="Times New Roman" w:hAnsi="Book Antiqua" w:cs="Times New Roman"/>
      <w:sz w:val="18"/>
      <w:szCs w:val="24"/>
    </w:rPr>
  </w:style>
  <w:style w:type="character" w:styleId="PlaceholderText">
    <w:name w:val="Placeholder Text"/>
    <w:basedOn w:val="DefaultParagraphFont"/>
    <w:uiPriority w:val="99"/>
    <w:semiHidden/>
    <w:rsid w:val="000317B6"/>
    <w:rPr>
      <w:color w:val="666666"/>
    </w:rPr>
  </w:style>
  <w:style w:type="character" w:styleId="CommentReference">
    <w:name w:val="annotation reference"/>
    <w:basedOn w:val="DefaultParagraphFont"/>
    <w:uiPriority w:val="99"/>
    <w:semiHidden/>
    <w:unhideWhenUsed/>
    <w:rsid w:val="000317B6"/>
    <w:rPr>
      <w:sz w:val="16"/>
      <w:szCs w:val="16"/>
    </w:rPr>
  </w:style>
  <w:style w:type="paragraph" w:styleId="CommentText">
    <w:name w:val="annotation text"/>
    <w:basedOn w:val="Normal"/>
    <w:link w:val="CommentTextChar"/>
    <w:uiPriority w:val="99"/>
    <w:semiHidden/>
    <w:unhideWhenUsed/>
    <w:rsid w:val="000317B6"/>
    <w:pPr>
      <w:spacing w:line="240" w:lineRule="auto"/>
    </w:pPr>
    <w:rPr>
      <w:sz w:val="20"/>
      <w:szCs w:val="20"/>
    </w:rPr>
  </w:style>
  <w:style w:type="character" w:customStyle="1" w:styleId="CommentTextChar">
    <w:name w:val="Comment Text Char"/>
    <w:basedOn w:val="DefaultParagraphFont"/>
    <w:link w:val="CommentText"/>
    <w:uiPriority w:val="99"/>
    <w:semiHidden/>
    <w:rsid w:val="000317B6"/>
    <w:rPr>
      <w:rFonts w:asciiTheme="minorHAnsi" w:eastAsiaTheme="minorHAnsi" w:hAnsiTheme="minorHAnsi" w:cstheme="minorBidi"/>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0317B6"/>
    <w:rPr>
      <w:b/>
      <w:bCs/>
    </w:rPr>
  </w:style>
  <w:style w:type="character" w:customStyle="1" w:styleId="CommentSubjectChar">
    <w:name w:val="Comment Subject Char"/>
    <w:basedOn w:val="CommentTextChar"/>
    <w:link w:val="CommentSubject"/>
    <w:uiPriority w:val="99"/>
    <w:semiHidden/>
    <w:rsid w:val="000317B6"/>
    <w:rPr>
      <w:rFonts w:asciiTheme="minorHAnsi" w:eastAsiaTheme="minorHAnsi" w:hAnsiTheme="minorHAnsi" w:cstheme="minorBidi"/>
      <w:b/>
      <w:bCs/>
      <w:kern w:val="2"/>
      <w:sz w:val="20"/>
      <w:szCs w:val="20"/>
      <w14:ligatures w14:val="standardContextual"/>
    </w:rPr>
  </w:style>
  <w:style w:type="character" w:customStyle="1" w:styleId="IC-Icon-Packt">
    <w:name w:val="IC - Icon-Packt"/>
    <w:basedOn w:val="CS-Italic"/>
    <w:uiPriority w:val="1"/>
    <w:qFormat/>
    <w:rsid w:val="000317B6"/>
    <w:rPr>
      <w:i w:val="0"/>
      <w:color w:val="000000" w:themeColor="text1"/>
    </w:rPr>
  </w:style>
  <w:style w:type="paragraph" w:customStyle="1" w:styleId="I1-InfoBox">
    <w:name w:val="I1 - InfoBox"/>
    <w:basedOn w:val="I0-InfoBox"/>
    <w:qFormat/>
    <w:rsid w:val="000317B6"/>
    <w:pPr>
      <w:ind w:left="454"/>
    </w:pPr>
  </w:style>
  <w:style w:type="paragraph" w:customStyle="1" w:styleId="I1-InfoBoxBullet">
    <w:name w:val="I1 - InfoBoxBullet"/>
    <w:basedOn w:val="I0-InfoBoxBullet"/>
    <w:qFormat/>
    <w:rsid w:val="000317B6"/>
    <w:pPr>
      <w:ind w:left="811" w:hanging="357"/>
    </w:pPr>
  </w:style>
  <w:style w:type="paragraph" w:customStyle="1" w:styleId="I1-InfoBoxCaption">
    <w:name w:val="I1 - InfoBoxCaption"/>
    <w:basedOn w:val="I0-InfoBoxCaption"/>
    <w:qFormat/>
    <w:rsid w:val="000317B6"/>
    <w:pPr>
      <w:ind w:left="454"/>
    </w:pPr>
  </w:style>
  <w:style w:type="paragraph" w:customStyle="1" w:styleId="I1-InfoBoxCenter">
    <w:name w:val="I1 - InfoBoxCenter"/>
    <w:basedOn w:val="I0-InfoBoxCenter"/>
    <w:qFormat/>
    <w:rsid w:val="000317B6"/>
    <w:pPr>
      <w:ind w:left="454"/>
    </w:pPr>
  </w:style>
  <w:style w:type="paragraph" w:customStyle="1" w:styleId="I1-InfoBoxCode">
    <w:name w:val="I1 - InfoBoxCode"/>
    <w:basedOn w:val="I0-InfoBoxCode"/>
    <w:qFormat/>
    <w:rsid w:val="000317B6"/>
    <w:pPr>
      <w:ind w:left="454"/>
    </w:pPr>
  </w:style>
  <w:style w:type="paragraph" w:customStyle="1" w:styleId="I1-InfoBoxConsole">
    <w:name w:val="I1 - InfoBoxConsole"/>
    <w:basedOn w:val="I0-InfoBoxConsole"/>
    <w:qFormat/>
    <w:rsid w:val="000317B6"/>
    <w:pPr>
      <w:ind w:left="454"/>
    </w:pPr>
  </w:style>
  <w:style w:type="paragraph" w:customStyle="1" w:styleId="I1-InfoBoxFigure">
    <w:name w:val="I1 - InfoBoxFigure"/>
    <w:basedOn w:val="I0-InfoBoxFigure"/>
    <w:qFormat/>
    <w:rsid w:val="000317B6"/>
    <w:pPr>
      <w:ind w:left="454"/>
    </w:pPr>
  </w:style>
  <w:style w:type="paragraph" w:customStyle="1" w:styleId="I1-InfoBoxNumberedList">
    <w:name w:val="I1 - InfoBoxNumberedList"/>
    <w:basedOn w:val="I0-InfoBoxNumberedList"/>
    <w:qFormat/>
    <w:rsid w:val="000317B6"/>
    <w:pPr>
      <w:ind w:left="811" w:hanging="357"/>
    </w:pPr>
  </w:style>
  <w:style w:type="paragraph" w:customStyle="1" w:styleId="I2-InfoBox">
    <w:name w:val="I2 - InfoBox"/>
    <w:basedOn w:val="I1-InfoBox"/>
    <w:qFormat/>
    <w:rsid w:val="000317B6"/>
    <w:pPr>
      <w:ind w:left="794"/>
    </w:pPr>
  </w:style>
  <w:style w:type="paragraph" w:customStyle="1" w:styleId="I2-InfoBoxBullet">
    <w:name w:val="I2 - InfoBoxBullet"/>
    <w:basedOn w:val="I1-InfoBoxBullet"/>
    <w:qFormat/>
    <w:rsid w:val="000317B6"/>
    <w:pPr>
      <w:ind w:left="1151"/>
    </w:pPr>
  </w:style>
  <w:style w:type="paragraph" w:customStyle="1" w:styleId="I2-InfoBoxCaption">
    <w:name w:val="I2 - InfoBoxCaption"/>
    <w:basedOn w:val="I1-InfoBoxCaption"/>
    <w:qFormat/>
    <w:rsid w:val="000317B6"/>
    <w:pPr>
      <w:ind w:left="794"/>
    </w:pPr>
  </w:style>
  <w:style w:type="paragraph" w:customStyle="1" w:styleId="I2-InfoBoxCenter">
    <w:name w:val="I2 - InfoBoxCenter"/>
    <w:basedOn w:val="I1-InfoBoxCenter"/>
    <w:qFormat/>
    <w:rsid w:val="000317B6"/>
    <w:pPr>
      <w:ind w:left="794"/>
    </w:pPr>
  </w:style>
  <w:style w:type="paragraph" w:customStyle="1" w:styleId="I2-InfoBoxCode">
    <w:name w:val="I2 - InfoBoxCode"/>
    <w:basedOn w:val="I1-InfoBoxCode"/>
    <w:qFormat/>
    <w:rsid w:val="000317B6"/>
    <w:pPr>
      <w:ind w:left="794"/>
    </w:pPr>
  </w:style>
  <w:style w:type="paragraph" w:customStyle="1" w:styleId="I2-InfoBoxConsole">
    <w:name w:val="I2 - InfoBoxConsole"/>
    <w:basedOn w:val="I1-InfoBoxConsole"/>
    <w:qFormat/>
    <w:rsid w:val="000317B6"/>
    <w:pPr>
      <w:ind w:left="794"/>
    </w:pPr>
  </w:style>
  <w:style w:type="paragraph" w:customStyle="1" w:styleId="I2-InfoBoxFigure">
    <w:name w:val="I2 - InfoBoxFigure"/>
    <w:basedOn w:val="I1-InfoBoxFigure"/>
    <w:qFormat/>
    <w:rsid w:val="000317B6"/>
    <w:pPr>
      <w:ind w:left="794"/>
    </w:pPr>
  </w:style>
  <w:style w:type="paragraph" w:customStyle="1" w:styleId="I2-InfoBoxNumberedList">
    <w:name w:val="I2 - InfoBoxNumberedList"/>
    <w:basedOn w:val="I1-InfoBoxNumberedList"/>
    <w:qFormat/>
    <w:rsid w:val="000317B6"/>
    <w:pPr>
      <w:ind w:left="1151"/>
    </w:pPr>
  </w:style>
  <w:style w:type="paragraph" w:customStyle="1" w:styleId="T1-TipBox">
    <w:name w:val="T1 - TipBox"/>
    <w:basedOn w:val="T0-TipBox"/>
    <w:qFormat/>
    <w:rsid w:val="000317B6"/>
    <w:pPr>
      <w:ind w:left="454"/>
    </w:pPr>
  </w:style>
  <w:style w:type="paragraph" w:customStyle="1" w:styleId="T1-TipBoxBullet">
    <w:name w:val="T1 - TipBoxBullet"/>
    <w:basedOn w:val="T0-TipBoxBullet"/>
    <w:qFormat/>
    <w:rsid w:val="000317B6"/>
    <w:pPr>
      <w:ind w:left="811" w:hanging="357"/>
    </w:pPr>
  </w:style>
  <w:style w:type="paragraph" w:customStyle="1" w:styleId="T1-TipBoxCaption">
    <w:name w:val="T1 - TipBoxCaption"/>
    <w:basedOn w:val="T0-TipBoxCaption"/>
    <w:qFormat/>
    <w:rsid w:val="000317B6"/>
    <w:pPr>
      <w:ind w:left="454"/>
    </w:pPr>
  </w:style>
  <w:style w:type="paragraph" w:customStyle="1" w:styleId="T1-TipBoxCenter">
    <w:name w:val="T1 - TipBoxCenter"/>
    <w:basedOn w:val="T0-TipBoxCenter"/>
    <w:qFormat/>
    <w:rsid w:val="000317B6"/>
    <w:pPr>
      <w:ind w:left="454"/>
    </w:pPr>
  </w:style>
  <w:style w:type="paragraph" w:customStyle="1" w:styleId="T1-TipBoxCode">
    <w:name w:val="T1 - TipBoxCode"/>
    <w:basedOn w:val="T0-TipBoxCode"/>
    <w:qFormat/>
    <w:rsid w:val="000317B6"/>
    <w:pPr>
      <w:ind w:left="454"/>
    </w:pPr>
  </w:style>
  <w:style w:type="paragraph" w:customStyle="1" w:styleId="T1-TipBoxConsole">
    <w:name w:val="T1 - TipBoxConsole"/>
    <w:basedOn w:val="T0-TipBoxConsole"/>
    <w:qFormat/>
    <w:rsid w:val="000317B6"/>
    <w:pPr>
      <w:ind w:left="454"/>
    </w:pPr>
  </w:style>
  <w:style w:type="paragraph" w:customStyle="1" w:styleId="T1-TipBoxFigure">
    <w:name w:val="T1 - TipBoxFigure"/>
    <w:basedOn w:val="T0-TipBoxFigure"/>
    <w:qFormat/>
    <w:rsid w:val="000317B6"/>
    <w:pPr>
      <w:ind w:left="454"/>
    </w:pPr>
  </w:style>
  <w:style w:type="paragraph" w:customStyle="1" w:styleId="T1-TipBoxNumberedList">
    <w:name w:val="T1 - TipBoxNumberedList"/>
    <w:basedOn w:val="T0-TipBoxNumberedList"/>
    <w:qFormat/>
    <w:rsid w:val="000317B6"/>
  </w:style>
  <w:style w:type="paragraph" w:customStyle="1" w:styleId="T2-TipBox">
    <w:name w:val="T2 - TipBox"/>
    <w:basedOn w:val="T1-TipBox"/>
    <w:qFormat/>
    <w:rsid w:val="000317B6"/>
    <w:pPr>
      <w:ind w:left="794"/>
    </w:pPr>
  </w:style>
  <w:style w:type="paragraph" w:customStyle="1" w:styleId="T2-TipBoxBullet">
    <w:name w:val="T2 - TipBoxBullet"/>
    <w:basedOn w:val="T1-TipBoxBullet"/>
    <w:qFormat/>
    <w:rsid w:val="000317B6"/>
    <w:pPr>
      <w:ind w:left="1151"/>
    </w:pPr>
  </w:style>
  <w:style w:type="paragraph" w:customStyle="1" w:styleId="T2-TipBoxCaption">
    <w:name w:val="T2 - TipBoxCaption"/>
    <w:basedOn w:val="T1-TipBoxCaption"/>
    <w:qFormat/>
    <w:rsid w:val="000317B6"/>
    <w:pPr>
      <w:ind w:left="794"/>
    </w:pPr>
  </w:style>
  <w:style w:type="paragraph" w:customStyle="1" w:styleId="T2-TipBoxCenter">
    <w:name w:val="T2 - TipBoxCenter"/>
    <w:basedOn w:val="T1-TipBoxCenter"/>
    <w:qFormat/>
    <w:rsid w:val="000317B6"/>
    <w:pPr>
      <w:ind w:left="794"/>
    </w:pPr>
  </w:style>
  <w:style w:type="paragraph" w:customStyle="1" w:styleId="T2-TipBoxCode">
    <w:name w:val="T2 - TipBoxCode"/>
    <w:basedOn w:val="T1-TipBoxCode"/>
    <w:qFormat/>
    <w:rsid w:val="000317B6"/>
    <w:pPr>
      <w:ind w:left="794"/>
    </w:pPr>
  </w:style>
  <w:style w:type="paragraph" w:customStyle="1" w:styleId="T2-TipBoxConsole">
    <w:name w:val="T2 - TipBoxConsole"/>
    <w:basedOn w:val="T1-TipBoxConsole"/>
    <w:qFormat/>
    <w:rsid w:val="000317B6"/>
    <w:pPr>
      <w:ind w:left="794"/>
    </w:pPr>
  </w:style>
  <w:style w:type="paragraph" w:customStyle="1" w:styleId="T2-TipBoxFigure">
    <w:name w:val="T2 - TipBoxFigure"/>
    <w:basedOn w:val="T1-TipBoxFigure"/>
    <w:qFormat/>
    <w:rsid w:val="000317B6"/>
    <w:pPr>
      <w:ind w:left="794"/>
    </w:pPr>
  </w:style>
  <w:style w:type="paragraph" w:customStyle="1" w:styleId="T2-TipBoxNumberedList">
    <w:name w:val="T2 - TipBoxNumberedList"/>
    <w:basedOn w:val="T1-TipBoxNumberedList"/>
    <w:qFormat/>
    <w:rsid w:val="000317B6"/>
    <w:pPr>
      <w:ind w:left="1151" w:hanging="357"/>
    </w:pPr>
  </w:style>
  <w:style w:type="paragraph" w:customStyle="1" w:styleId="T1-Table">
    <w:name w:val="T1 - Table"/>
    <w:basedOn w:val="T0-Table"/>
    <w:qFormat/>
    <w:rsid w:val="000317B6"/>
    <w:pPr>
      <w:ind w:left="454"/>
    </w:pPr>
  </w:style>
  <w:style w:type="paragraph" w:customStyle="1" w:styleId="T1-TableBullet">
    <w:name w:val="T1 - TableBullet"/>
    <w:basedOn w:val="T0-TableBullet"/>
    <w:qFormat/>
    <w:rsid w:val="000317B6"/>
    <w:pPr>
      <w:ind w:left="476" w:right="74" w:hanging="357"/>
    </w:pPr>
  </w:style>
  <w:style w:type="paragraph" w:customStyle="1" w:styleId="T1-TableCaption">
    <w:name w:val="T1 - TableCaption"/>
    <w:basedOn w:val="T0-TableCaption"/>
    <w:qFormat/>
    <w:rsid w:val="000317B6"/>
    <w:pPr>
      <w:ind w:left="454"/>
    </w:pPr>
  </w:style>
  <w:style w:type="paragraph" w:customStyle="1" w:styleId="T1-TableCenter">
    <w:name w:val="T1 - TableCenter"/>
    <w:basedOn w:val="T0-TableCenter"/>
    <w:qFormat/>
    <w:rsid w:val="000317B6"/>
    <w:pPr>
      <w:ind w:left="454"/>
    </w:pPr>
  </w:style>
  <w:style w:type="paragraph" w:customStyle="1" w:styleId="T1-TableFigure">
    <w:name w:val="T1 - TableFigure"/>
    <w:basedOn w:val="T0-TableFigure"/>
    <w:qFormat/>
    <w:rsid w:val="000317B6"/>
    <w:pPr>
      <w:ind w:left="454"/>
    </w:pPr>
  </w:style>
  <w:style w:type="paragraph" w:customStyle="1" w:styleId="T1-TableNumberedList">
    <w:name w:val="T1 - TableNumberedList"/>
    <w:basedOn w:val="T0-TableNumberedList"/>
    <w:qFormat/>
    <w:rsid w:val="000317B6"/>
    <w:pPr>
      <w:ind w:left="1242" w:right="74" w:hanging="357"/>
    </w:pPr>
  </w:style>
  <w:style w:type="paragraph" w:customStyle="1" w:styleId="T1-TableCode">
    <w:name w:val="T1 - TableCode"/>
    <w:basedOn w:val="T0-TableCode"/>
    <w:qFormat/>
    <w:rsid w:val="000317B6"/>
    <w:pPr>
      <w:ind w:left="278" w:right="232"/>
    </w:pPr>
  </w:style>
  <w:style w:type="paragraph" w:customStyle="1" w:styleId="T1-TableConsole">
    <w:name w:val="T1 - TableConsole"/>
    <w:basedOn w:val="T0-TableConsole"/>
    <w:qFormat/>
    <w:rsid w:val="000317B6"/>
    <w:pPr>
      <w:ind w:left="278" w:right="232"/>
    </w:pPr>
  </w:style>
  <w:style w:type="paragraph" w:customStyle="1" w:styleId="T2-Table">
    <w:name w:val="T2 - Table"/>
    <w:basedOn w:val="T0-Table"/>
    <w:qFormat/>
    <w:rsid w:val="000317B6"/>
    <w:pPr>
      <w:ind w:left="794"/>
    </w:pPr>
  </w:style>
  <w:style w:type="paragraph" w:customStyle="1" w:styleId="T2-TableBullet">
    <w:name w:val="T2 - TableBullet"/>
    <w:basedOn w:val="T0-TableBullet"/>
    <w:qFormat/>
    <w:rsid w:val="000317B6"/>
    <w:pPr>
      <w:ind w:left="1225" w:right="74" w:hanging="357"/>
    </w:pPr>
  </w:style>
  <w:style w:type="paragraph" w:customStyle="1" w:styleId="T2-TableCaption">
    <w:name w:val="T2 - TableCaption"/>
    <w:basedOn w:val="T0-TableCaption"/>
    <w:qFormat/>
    <w:rsid w:val="000317B6"/>
    <w:pPr>
      <w:ind w:left="794"/>
    </w:pPr>
  </w:style>
  <w:style w:type="paragraph" w:customStyle="1" w:styleId="T2-TableCenter">
    <w:name w:val="T2 - TableCenter"/>
    <w:basedOn w:val="T0-TableCenter"/>
    <w:qFormat/>
    <w:rsid w:val="000317B6"/>
    <w:pPr>
      <w:ind w:left="794"/>
    </w:pPr>
  </w:style>
  <w:style w:type="paragraph" w:customStyle="1" w:styleId="T2-TableCode">
    <w:name w:val="T2 - TableCode"/>
    <w:basedOn w:val="T0-TableCode"/>
    <w:qFormat/>
    <w:rsid w:val="000317B6"/>
    <w:pPr>
      <w:ind w:left="856" w:right="232"/>
    </w:pPr>
  </w:style>
  <w:style w:type="paragraph" w:customStyle="1" w:styleId="T2-TableConsole">
    <w:name w:val="T2 - TableConsole"/>
    <w:basedOn w:val="T0-TableConsole"/>
    <w:qFormat/>
    <w:rsid w:val="000317B6"/>
    <w:pPr>
      <w:ind w:left="856" w:right="232"/>
    </w:pPr>
  </w:style>
  <w:style w:type="paragraph" w:customStyle="1" w:styleId="T2-TableFigure">
    <w:name w:val="T2 - TableFigure"/>
    <w:basedOn w:val="T0-TipBoxFigure"/>
    <w:qFormat/>
    <w:rsid w:val="000317B6"/>
    <w:pPr>
      <w:ind w:left="794"/>
    </w:pPr>
  </w:style>
  <w:style w:type="paragraph" w:customStyle="1" w:styleId="T2-TableNumberedList">
    <w:name w:val="T2 - TableNumberedList"/>
    <w:basedOn w:val="T0-TableNumberedList"/>
    <w:qFormat/>
    <w:rsid w:val="000317B6"/>
    <w:pPr>
      <w:ind w:left="2149" w:right="74" w:hanging="357"/>
    </w:pPr>
  </w:style>
  <w:style w:type="paragraph" w:customStyle="1" w:styleId="FM-Dedication">
    <w:name w:val="FM - Dedication"/>
    <w:basedOn w:val="FM-CopyrightText"/>
    <w:qFormat/>
    <w:rsid w:val="000317B6"/>
    <w:pPr>
      <w:jc w:val="center"/>
    </w:pPr>
    <w:rPr>
      <w:i/>
    </w:rPr>
  </w:style>
  <w:style w:type="character" w:customStyle="1" w:styleId="CS-ColumnHeader">
    <w:name w:val="CS - ColumnHeader"/>
    <w:basedOn w:val="CS-Keyword"/>
    <w:uiPriority w:val="1"/>
    <w:qFormat/>
    <w:rsid w:val="000317B6"/>
    <w:rPr>
      <w:b/>
    </w:rPr>
  </w:style>
  <w:style w:type="character" w:customStyle="1" w:styleId="CS-RowHeader">
    <w:name w:val="CS - RowHeader"/>
    <w:basedOn w:val="CS-ColumnHeader"/>
    <w:uiPriority w:val="1"/>
    <w:qFormat/>
    <w:rsid w:val="000317B6"/>
    <w:rPr>
      <w:b/>
    </w:rPr>
  </w:style>
  <w:style w:type="paragraph" w:customStyle="1" w:styleId="Important0-ImportantBoxBullet">
    <w:name w:val="Important0 - ImportantBoxBullet"/>
    <w:basedOn w:val="I0-InfoBoxBullet"/>
    <w:link w:val="Important0-ImportantBoxBulletChar"/>
    <w:rsid w:val="000317B6"/>
  </w:style>
  <w:style w:type="character" w:customStyle="1" w:styleId="P0-ParagraphChar">
    <w:name w:val="P0 - Paragraph Char"/>
    <w:basedOn w:val="DefaultParagraphFont"/>
    <w:link w:val="P0-Paragraph"/>
    <w:rsid w:val="000317B6"/>
    <w:rPr>
      <w:rFonts w:ascii="Crimson Pro" w:eastAsia="Times New Roman" w:hAnsi="Crimson Pro" w:cs="Times New Roman"/>
      <w:szCs w:val="24"/>
    </w:rPr>
  </w:style>
  <w:style w:type="character" w:customStyle="1" w:styleId="Important0-ImportantBoxBulletChar">
    <w:name w:val="Important0 - ImportantBoxBullet Char"/>
    <w:basedOn w:val="P0-ParagraphChar"/>
    <w:link w:val="Important0-ImportantBoxBullet"/>
    <w:rsid w:val="000317B6"/>
    <w:rPr>
      <w:rFonts w:ascii="Crimson Pro" w:eastAsia="Times New Roman" w:hAnsi="Crimson Pro" w:cs="Times New Roman"/>
      <w:sz w:val="20"/>
      <w:szCs w:val="24"/>
      <w:shd w:val="clear" w:color="auto" w:fill="FFFFFF"/>
    </w:rPr>
  </w:style>
  <w:style w:type="paragraph" w:customStyle="1" w:styleId="Important0-ImportantBoxCenter">
    <w:name w:val="Important0 - ImportantBoxCenter"/>
    <w:basedOn w:val="I0-InfoBoxCenter"/>
    <w:link w:val="Important0-ImportantBoxCenterChar"/>
    <w:rsid w:val="000317B6"/>
  </w:style>
  <w:style w:type="character" w:customStyle="1" w:styleId="Important0-ImportantBoxCenterChar">
    <w:name w:val="Important0 - ImportantBoxCenter Char"/>
    <w:basedOn w:val="P0-ParagraphChar"/>
    <w:link w:val="Important0-ImportantBoxCenter"/>
    <w:rsid w:val="000317B6"/>
    <w:rPr>
      <w:rFonts w:ascii="Crimson Pro" w:eastAsia="Times New Roman" w:hAnsi="Crimson Pro" w:cs="Times New Roman"/>
      <w:sz w:val="20"/>
      <w:szCs w:val="24"/>
      <w:shd w:val="clear" w:color="auto" w:fill="FFFFFF"/>
    </w:rPr>
  </w:style>
  <w:style w:type="paragraph" w:customStyle="1" w:styleId="Important0-ImportantBoxFigure">
    <w:name w:val="Important0 - ImportantBoxFigure"/>
    <w:basedOn w:val="I0-InfoBoxFigure"/>
    <w:link w:val="Important0-ImportantBoxFigureChar"/>
    <w:rsid w:val="000317B6"/>
  </w:style>
  <w:style w:type="character" w:customStyle="1" w:styleId="Important0-ImportantBoxFigureChar">
    <w:name w:val="Important0 - ImportantBoxFigure Char"/>
    <w:basedOn w:val="P0-ParagraphChar"/>
    <w:link w:val="Important0-ImportantBoxFigure"/>
    <w:rsid w:val="000317B6"/>
    <w:rPr>
      <w:rFonts w:ascii="Crimson Pro" w:eastAsia="Times New Roman" w:hAnsi="Crimson Pro" w:cs="Times New Roman"/>
      <w:sz w:val="16"/>
      <w:szCs w:val="24"/>
      <w:shd w:val="clear" w:color="auto" w:fill="FFFFFF"/>
    </w:rPr>
  </w:style>
  <w:style w:type="paragraph" w:customStyle="1" w:styleId="Important0-ImportantBoxCaption">
    <w:name w:val="Important0 - ImportantBoxCaption"/>
    <w:basedOn w:val="I0-InfoBoxCaption"/>
    <w:link w:val="Important0-ImportantBoxCaptionChar"/>
    <w:rsid w:val="000317B6"/>
  </w:style>
  <w:style w:type="character" w:customStyle="1" w:styleId="Important0-ImportantBoxCaptionChar">
    <w:name w:val="Important0 - ImportantBoxCaption Char"/>
    <w:basedOn w:val="P0-ParagraphChar"/>
    <w:link w:val="Important0-ImportantBoxCaption"/>
    <w:rsid w:val="000317B6"/>
    <w:rPr>
      <w:rFonts w:ascii="Crimson Pro" w:eastAsia="Times New Roman" w:hAnsi="Crimson Pro" w:cs="Times New Roman"/>
      <w:sz w:val="16"/>
      <w:szCs w:val="24"/>
      <w:shd w:val="clear" w:color="auto" w:fill="FFFFFF"/>
    </w:rPr>
  </w:style>
  <w:style w:type="paragraph" w:customStyle="1" w:styleId="Important0-ImportantBox">
    <w:name w:val="Important0 - ImportantBox"/>
    <w:basedOn w:val="I0-InfoBox"/>
    <w:link w:val="Important0-ImportantBoxChar"/>
    <w:rsid w:val="000317B6"/>
  </w:style>
  <w:style w:type="character" w:customStyle="1" w:styleId="Important0-ImportantBoxChar">
    <w:name w:val="Important0 - ImportantBox Char"/>
    <w:basedOn w:val="P0-ParagraphChar"/>
    <w:link w:val="Important0-ImportantBox"/>
    <w:rsid w:val="000317B6"/>
    <w:rPr>
      <w:rFonts w:ascii="Crimson Pro" w:eastAsia="Times New Roman" w:hAnsi="Crimson Pro" w:cs="Times New Roman"/>
      <w:sz w:val="20"/>
      <w:szCs w:val="24"/>
      <w:shd w:val="clear" w:color="auto" w:fill="FFFFFF"/>
    </w:rPr>
  </w:style>
  <w:style w:type="paragraph" w:customStyle="1" w:styleId="Important0-ImportantBoxNumberedList">
    <w:name w:val="Important0 - ImportantBoxNumberedList"/>
    <w:basedOn w:val="I0-InfoBoxNumberedList"/>
    <w:link w:val="Important0-ImportantBoxNumberedListChar"/>
    <w:rsid w:val="000317B6"/>
  </w:style>
  <w:style w:type="character" w:customStyle="1" w:styleId="Important0-ImportantBoxNumberedListChar">
    <w:name w:val="Important0 - ImportantBoxNumberedList Char"/>
    <w:basedOn w:val="P0-ParagraphChar"/>
    <w:link w:val="Important0-ImportantBoxNumberedList"/>
    <w:rsid w:val="000317B6"/>
    <w:rPr>
      <w:rFonts w:ascii="Crimson Pro" w:eastAsia="Times New Roman" w:hAnsi="Crimson Pro" w:cs="Times New Roman"/>
      <w:sz w:val="20"/>
      <w:szCs w:val="24"/>
      <w:shd w:val="clear" w:color="auto" w:fill="FFFFFF"/>
    </w:rPr>
  </w:style>
  <w:style w:type="paragraph" w:customStyle="1" w:styleId="Important0-ImportantBoxCode">
    <w:name w:val="Important0 - ImportantBoxCode"/>
    <w:basedOn w:val="I0-InfoBoxCode"/>
    <w:link w:val="Important0-ImportantBoxCodeChar"/>
    <w:rsid w:val="000317B6"/>
  </w:style>
  <w:style w:type="character" w:customStyle="1" w:styleId="Important0-ImportantBoxCodeChar">
    <w:name w:val="Important0 - ImportantBoxCode Char"/>
    <w:basedOn w:val="P0-ParagraphChar"/>
    <w:link w:val="Important0-ImportantBoxCode"/>
    <w:rsid w:val="000317B6"/>
    <w:rPr>
      <w:rFonts w:ascii="Consolas" w:eastAsia="Times New Roman" w:hAnsi="Consolas" w:cs="Times New Roman"/>
      <w:color w:val="383A42"/>
      <w:sz w:val="18"/>
      <w:szCs w:val="24"/>
      <w:shd w:val="clear" w:color="auto" w:fill="FAFAFA"/>
    </w:rPr>
  </w:style>
  <w:style w:type="paragraph" w:customStyle="1" w:styleId="Important0-ImportantBoxConsole">
    <w:name w:val="Important0 - ImportantBoxConsole"/>
    <w:basedOn w:val="I0-InfoBoxConsole"/>
    <w:link w:val="Important0-ImportantBoxConsoleChar"/>
    <w:rsid w:val="000317B6"/>
  </w:style>
  <w:style w:type="character" w:customStyle="1" w:styleId="Important0-ImportantBoxConsoleChar">
    <w:name w:val="Important0 - ImportantBoxConsole Char"/>
    <w:basedOn w:val="P0-ParagraphChar"/>
    <w:link w:val="Important0-ImportantBoxConsole"/>
    <w:rsid w:val="000317B6"/>
    <w:rPr>
      <w:rFonts w:ascii="Consolas" w:eastAsia="Times New Roman" w:hAnsi="Consolas" w:cs="Times New Roman"/>
      <w:color w:val="F8F8F2"/>
      <w:sz w:val="18"/>
      <w:szCs w:val="24"/>
      <w:shd w:val="clear" w:color="auto" w:fill="282A36"/>
    </w:rPr>
  </w:style>
  <w:style w:type="paragraph" w:customStyle="1" w:styleId="Important1-ImportantBoxBullet">
    <w:name w:val="Important1 - ImportantBoxBullet"/>
    <w:basedOn w:val="I1-InfoBoxBullet"/>
    <w:link w:val="Important1-ImportantBoxBulletChar"/>
    <w:rsid w:val="000317B6"/>
  </w:style>
  <w:style w:type="character" w:customStyle="1" w:styleId="Important1-ImportantBoxBulletChar">
    <w:name w:val="Important1 - ImportantBoxBullet Char"/>
    <w:basedOn w:val="P0-ParagraphChar"/>
    <w:link w:val="Important1-ImportantBoxBullet"/>
    <w:rsid w:val="000317B6"/>
    <w:rPr>
      <w:rFonts w:ascii="Crimson Pro" w:eastAsia="Times New Roman" w:hAnsi="Crimson Pro" w:cs="Times New Roman"/>
      <w:sz w:val="20"/>
      <w:szCs w:val="24"/>
      <w:shd w:val="clear" w:color="auto" w:fill="FFFFFF"/>
    </w:rPr>
  </w:style>
  <w:style w:type="paragraph" w:customStyle="1" w:styleId="Important1-ImportantBoxCenter">
    <w:name w:val="Important1 - ImportantBoxCenter"/>
    <w:basedOn w:val="I1-InfoBoxCenter"/>
    <w:link w:val="Important1-ImportantBoxCenterChar"/>
    <w:rsid w:val="000317B6"/>
  </w:style>
  <w:style w:type="character" w:customStyle="1" w:styleId="Important1-ImportantBoxCenterChar">
    <w:name w:val="Important1 - ImportantBoxCenter Char"/>
    <w:basedOn w:val="P0-ParagraphChar"/>
    <w:link w:val="Important1-ImportantBoxCenter"/>
    <w:rsid w:val="000317B6"/>
    <w:rPr>
      <w:rFonts w:ascii="Crimson Pro" w:eastAsia="Times New Roman" w:hAnsi="Crimson Pro" w:cs="Times New Roman"/>
      <w:sz w:val="20"/>
      <w:szCs w:val="24"/>
      <w:shd w:val="clear" w:color="auto" w:fill="FFFFFF"/>
    </w:rPr>
  </w:style>
  <w:style w:type="paragraph" w:customStyle="1" w:styleId="Important1-ImportantBoxFigure">
    <w:name w:val="Important1 - ImportantBoxFigure"/>
    <w:basedOn w:val="I1-InfoBoxFigure"/>
    <w:link w:val="Important1-ImportantBoxFigureChar"/>
    <w:rsid w:val="000317B6"/>
  </w:style>
  <w:style w:type="character" w:customStyle="1" w:styleId="Important1-ImportantBoxFigureChar">
    <w:name w:val="Important1 - ImportantBoxFigure Char"/>
    <w:basedOn w:val="P0-ParagraphChar"/>
    <w:link w:val="Important1-ImportantBoxFigure"/>
    <w:rsid w:val="000317B6"/>
    <w:rPr>
      <w:rFonts w:ascii="Crimson Pro" w:eastAsia="Times New Roman" w:hAnsi="Crimson Pro" w:cs="Times New Roman"/>
      <w:sz w:val="16"/>
      <w:szCs w:val="24"/>
      <w:shd w:val="clear" w:color="auto" w:fill="FFFFFF"/>
    </w:rPr>
  </w:style>
  <w:style w:type="paragraph" w:customStyle="1" w:styleId="Important1-ImportantBoxCaption">
    <w:name w:val="Important1 - ImportantBoxCaption"/>
    <w:basedOn w:val="I1-InfoBoxCaption"/>
    <w:link w:val="Important1-ImportantBoxCaptionChar"/>
    <w:rsid w:val="000317B6"/>
  </w:style>
  <w:style w:type="character" w:customStyle="1" w:styleId="Important1-ImportantBoxCaptionChar">
    <w:name w:val="Important1 - ImportantBoxCaption Char"/>
    <w:basedOn w:val="P0-ParagraphChar"/>
    <w:link w:val="Important1-ImportantBoxCaption"/>
    <w:rsid w:val="000317B6"/>
    <w:rPr>
      <w:rFonts w:ascii="Crimson Pro" w:eastAsia="Times New Roman" w:hAnsi="Crimson Pro" w:cs="Times New Roman"/>
      <w:sz w:val="16"/>
      <w:szCs w:val="24"/>
      <w:shd w:val="clear" w:color="auto" w:fill="FFFFFF"/>
    </w:rPr>
  </w:style>
  <w:style w:type="paragraph" w:customStyle="1" w:styleId="Important1-ImportantBox">
    <w:name w:val="Important1 - ImportantBox"/>
    <w:basedOn w:val="I1-InfoBox"/>
    <w:link w:val="Important1-ImportantBoxChar"/>
    <w:rsid w:val="000317B6"/>
  </w:style>
  <w:style w:type="character" w:customStyle="1" w:styleId="Important1-ImportantBoxChar">
    <w:name w:val="Important1 - ImportantBox Char"/>
    <w:basedOn w:val="P0-ParagraphChar"/>
    <w:link w:val="Important1-ImportantBox"/>
    <w:rsid w:val="000317B6"/>
    <w:rPr>
      <w:rFonts w:ascii="Crimson Pro" w:eastAsia="Times New Roman" w:hAnsi="Crimson Pro" w:cs="Times New Roman"/>
      <w:sz w:val="20"/>
      <w:szCs w:val="24"/>
      <w:shd w:val="clear" w:color="auto" w:fill="FFFFFF"/>
    </w:rPr>
  </w:style>
  <w:style w:type="paragraph" w:customStyle="1" w:styleId="Important1-ImportantBoxNumberedList">
    <w:name w:val="Important1 - ImportantBoxNumberedList"/>
    <w:basedOn w:val="I1-InfoBoxNumberedList"/>
    <w:link w:val="Important1-ImportantBoxNumberedListChar"/>
    <w:rsid w:val="000317B6"/>
  </w:style>
  <w:style w:type="character" w:customStyle="1" w:styleId="Important1-ImportantBoxNumberedListChar">
    <w:name w:val="Important1 - ImportantBoxNumberedList Char"/>
    <w:basedOn w:val="P0-ParagraphChar"/>
    <w:link w:val="Important1-ImportantBoxNumberedList"/>
    <w:rsid w:val="000317B6"/>
    <w:rPr>
      <w:rFonts w:ascii="Crimson Pro" w:eastAsia="Times New Roman" w:hAnsi="Crimson Pro" w:cs="Times New Roman"/>
      <w:sz w:val="20"/>
      <w:szCs w:val="24"/>
      <w:shd w:val="clear" w:color="auto" w:fill="FFFFFF"/>
    </w:rPr>
  </w:style>
  <w:style w:type="paragraph" w:customStyle="1" w:styleId="Important1-ImportantBoxCode">
    <w:name w:val="Important1 - ImportantBoxCode"/>
    <w:basedOn w:val="I1-InfoBoxCode"/>
    <w:link w:val="Important1-ImportantBoxCodeChar"/>
    <w:rsid w:val="000317B6"/>
  </w:style>
  <w:style w:type="character" w:customStyle="1" w:styleId="Important1-ImportantBoxCodeChar">
    <w:name w:val="Important1 - ImportantBoxCode Char"/>
    <w:basedOn w:val="P0-ParagraphChar"/>
    <w:link w:val="Important1-ImportantBoxCode"/>
    <w:rsid w:val="000317B6"/>
    <w:rPr>
      <w:rFonts w:ascii="Consolas" w:eastAsia="Times New Roman" w:hAnsi="Consolas" w:cs="Times New Roman"/>
      <w:color w:val="383A42"/>
      <w:sz w:val="18"/>
      <w:szCs w:val="24"/>
      <w:shd w:val="clear" w:color="auto" w:fill="FAFAFA"/>
    </w:rPr>
  </w:style>
  <w:style w:type="paragraph" w:customStyle="1" w:styleId="Important1-ImportantBoxConsole">
    <w:name w:val="Important1 - ImportantBoxConsole"/>
    <w:basedOn w:val="I1-InfoBoxConsole"/>
    <w:link w:val="Important1-ImportantBoxConsoleChar"/>
    <w:rsid w:val="000317B6"/>
  </w:style>
  <w:style w:type="character" w:customStyle="1" w:styleId="Important1-ImportantBoxConsoleChar">
    <w:name w:val="Important1 - ImportantBoxConsole Char"/>
    <w:basedOn w:val="P0-ParagraphChar"/>
    <w:link w:val="Important1-ImportantBoxConsole"/>
    <w:rsid w:val="000317B6"/>
    <w:rPr>
      <w:rFonts w:ascii="Consolas" w:eastAsia="Times New Roman" w:hAnsi="Consolas" w:cs="Times New Roman"/>
      <w:color w:val="F8F8F2"/>
      <w:sz w:val="18"/>
      <w:szCs w:val="24"/>
      <w:shd w:val="clear" w:color="auto" w:fill="282A36"/>
    </w:rPr>
  </w:style>
  <w:style w:type="paragraph" w:customStyle="1" w:styleId="Important2-ImportantBoxBullet">
    <w:name w:val="Important2 - ImportantBoxBullet"/>
    <w:basedOn w:val="I2-InfoBoxBullet"/>
    <w:link w:val="Important2-ImportantBoxBulletChar"/>
    <w:rsid w:val="000317B6"/>
  </w:style>
  <w:style w:type="character" w:customStyle="1" w:styleId="Important2-ImportantBoxBulletChar">
    <w:name w:val="Important2 - ImportantBoxBullet Char"/>
    <w:basedOn w:val="P0-ParagraphChar"/>
    <w:link w:val="Important2-ImportantBoxBullet"/>
    <w:rsid w:val="000317B6"/>
    <w:rPr>
      <w:rFonts w:ascii="Crimson Pro" w:eastAsia="Times New Roman" w:hAnsi="Crimson Pro" w:cs="Times New Roman"/>
      <w:sz w:val="20"/>
      <w:szCs w:val="24"/>
      <w:shd w:val="clear" w:color="auto" w:fill="FFFFFF"/>
    </w:rPr>
  </w:style>
  <w:style w:type="paragraph" w:customStyle="1" w:styleId="Important2-ImportantBoxCenter">
    <w:name w:val="Important2 - ImportantBoxCenter"/>
    <w:basedOn w:val="I2-InfoBoxCenter"/>
    <w:link w:val="Important2-ImportantBoxCenterChar"/>
    <w:rsid w:val="000317B6"/>
  </w:style>
  <w:style w:type="character" w:customStyle="1" w:styleId="Important2-ImportantBoxCenterChar">
    <w:name w:val="Important2 - ImportantBoxCenter Char"/>
    <w:basedOn w:val="P0-ParagraphChar"/>
    <w:link w:val="Important2-ImportantBoxCenter"/>
    <w:rsid w:val="000317B6"/>
    <w:rPr>
      <w:rFonts w:ascii="Crimson Pro" w:eastAsia="Times New Roman" w:hAnsi="Crimson Pro" w:cs="Times New Roman"/>
      <w:sz w:val="20"/>
      <w:szCs w:val="24"/>
      <w:shd w:val="clear" w:color="auto" w:fill="FFFFFF"/>
    </w:rPr>
  </w:style>
  <w:style w:type="paragraph" w:customStyle="1" w:styleId="Important2-ImportantBoxFigure">
    <w:name w:val="Important2 - ImportantBoxFigure"/>
    <w:basedOn w:val="I2-InfoBoxFigure"/>
    <w:link w:val="Important2-ImportantBoxFigureChar"/>
    <w:rsid w:val="000317B6"/>
  </w:style>
  <w:style w:type="character" w:customStyle="1" w:styleId="Important2-ImportantBoxFigureChar">
    <w:name w:val="Important2 - ImportantBoxFigure Char"/>
    <w:basedOn w:val="P0-ParagraphChar"/>
    <w:link w:val="Important2-ImportantBoxFigure"/>
    <w:rsid w:val="000317B6"/>
    <w:rPr>
      <w:rFonts w:ascii="Crimson Pro" w:eastAsia="Times New Roman" w:hAnsi="Crimson Pro" w:cs="Times New Roman"/>
      <w:sz w:val="16"/>
      <w:szCs w:val="24"/>
      <w:shd w:val="clear" w:color="auto" w:fill="FFFFFF"/>
    </w:rPr>
  </w:style>
  <w:style w:type="paragraph" w:customStyle="1" w:styleId="Important2-ImportantBoxCaption">
    <w:name w:val="Important2 - ImportantBoxCaption"/>
    <w:basedOn w:val="I2-InfoBoxCaption"/>
    <w:link w:val="Important2-ImportantBoxCaptionChar"/>
    <w:rsid w:val="000317B6"/>
  </w:style>
  <w:style w:type="character" w:customStyle="1" w:styleId="Important2-ImportantBoxCaptionChar">
    <w:name w:val="Important2 - ImportantBoxCaption Char"/>
    <w:basedOn w:val="P0-ParagraphChar"/>
    <w:link w:val="Important2-ImportantBoxCaption"/>
    <w:rsid w:val="000317B6"/>
    <w:rPr>
      <w:rFonts w:ascii="Crimson Pro" w:eastAsia="Times New Roman" w:hAnsi="Crimson Pro" w:cs="Times New Roman"/>
      <w:sz w:val="16"/>
      <w:szCs w:val="24"/>
      <w:shd w:val="clear" w:color="auto" w:fill="FFFFFF"/>
    </w:rPr>
  </w:style>
  <w:style w:type="paragraph" w:customStyle="1" w:styleId="Important2-ImportantBox">
    <w:name w:val="Important2 - ImportantBox"/>
    <w:basedOn w:val="I2-InfoBox"/>
    <w:link w:val="Important2-ImportantBoxChar"/>
    <w:rsid w:val="000317B6"/>
  </w:style>
  <w:style w:type="character" w:customStyle="1" w:styleId="Important2-ImportantBoxChar">
    <w:name w:val="Important2 - ImportantBox Char"/>
    <w:basedOn w:val="P0-ParagraphChar"/>
    <w:link w:val="Important2-ImportantBox"/>
    <w:rsid w:val="000317B6"/>
    <w:rPr>
      <w:rFonts w:ascii="Crimson Pro" w:eastAsia="Times New Roman" w:hAnsi="Crimson Pro" w:cs="Times New Roman"/>
      <w:sz w:val="20"/>
      <w:szCs w:val="24"/>
      <w:shd w:val="clear" w:color="auto" w:fill="FFFFFF"/>
    </w:rPr>
  </w:style>
  <w:style w:type="paragraph" w:customStyle="1" w:styleId="Important2-ImportantBoxNumberedList">
    <w:name w:val="Important2 - ImportantBoxNumberedList"/>
    <w:basedOn w:val="I2-InfoBoxNumberedList"/>
    <w:link w:val="Important2-ImportantBoxNumberedListChar"/>
    <w:rsid w:val="000317B6"/>
  </w:style>
  <w:style w:type="character" w:customStyle="1" w:styleId="Important2-ImportantBoxNumberedListChar">
    <w:name w:val="Important2 - ImportantBoxNumberedList Char"/>
    <w:basedOn w:val="P0-ParagraphChar"/>
    <w:link w:val="Important2-ImportantBoxNumberedList"/>
    <w:rsid w:val="000317B6"/>
    <w:rPr>
      <w:rFonts w:ascii="Crimson Pro" w:eastAsia="Times New Roman" w:hAnsi="Crimson Pro" w:cs="Times New Roman"/>
      <w:sz w:val="20"/>
      <w:szCs w:val="24"/>
      <w:shd w:val="clear" w:color="auto" w:fill="FFFFFF"/>
    </w:rPr>
  </w:style>
  <w:style w:type="paragraph" w:customStyle="1" w:styleId="Important2-ImportantBoxCode">
    <w:name w:val="Important2 - ImportantBoxCode"/>
    <w:basedOn w:val="I2-InfoBoxCode"/>
    <w:link w:val="Important2-ImportantBoxCodeChar"/>
    <w:rsid w:val="000317B6"/>
  </w:style>
  <w:style w:type="character" w:customStyle="1" w:styleId="Important2-ImportantBoxCodeChar">
    <w:name w:val="Important2 - ImportantBoxCode Char"/>
    <w:basedOn w:val="P0-ParagraphChar"/>
    <w:link w:val="Important2-ImportantBoxCode"/>
    <w:rsid w:val="000317B6"/>
    <w:rPr>
      <w:rFonts w:ascii="Consolas" w:eastAsia="Times New Roman" w:hAnsi="Consolas" w:cs="Times New Roman"/>
      <w:color w:val="383A42"/>
      <w:sz w:val="18"/>
      <w:szCs w:val="24"/>
      <w:shd w:val="clear" w:color="auto" w:fill="FAFAFA"/>
    </w:rPr>
  </w:style>
  <w:style w:type="paragraph" w:customStyle="1" w:styleId="Important2-ImportantBoxConsole">
    <w:name w:val="Important2 - ImportantBoxConsole"/>
    <w:basedOn w:val="I2-InfoBoxConsole"/>
    <w:link w:val="Important2-ImportantBoxConsoleChar"/>
    <w:rsid w:val="000317B6"/>
  </w:style>
  <w:style w:type="character" w:customStyle="1" w:styleId="Important2-ImportantBoxConsoleChar">
    <w:name w:val="Important2 - ImportantBoxConsole Char"/>
    <w:basedOn w:val="P0-ParagraphChar"/>
    <w:link w:val="Important2-ImportantBoxConsole"/>
    <w:rsid w:val="000317B6"/>
    <w:rPr>
      <w:rFonts w:ascii="Consolas" w:eastAsia="Times New Roman" w:hAnsi="Consolas" w:cs="Times New Roman"/>
      <w:color w:val="F8F8F2"/>
      <w:sz w:val="18"/>
      <w:szCs w:val="24"/>
      <w:shd w:val="clear" w:color="auto" w:fill="282A36"/>
    </w:rPr>
  </w:style>
  <w:style w:type="paragraph" w:customStyle="1" w:styleId="Caution0-CautionBoxBullet">
    <w:name w:val="Caution0 - CautionBoxBullet"/>
    <w:basedOn w:val="I0-InfoBoxBullet"/>
    <w:link w:val="Caution0-CautionBoxBulletChar"/>
    <w:rsid w:val="000317B6"/>
  </w:style>
  <w:style w:type="character" w:customStyle="1" w:styleId="Caution0-CautionBoxBulletChar">
    <w:name w:val="Caution0 - CautionBoxBullet Char"/>
    <w:basedOn w:val="P0-ParagraphChar"/>
    <w:link w:val="Caution0-CautionBoxBullet"/>
    <w:rsid w:val="000317B6"/>
    <w:rPr>
      <w:rFonts w:ascii="Crimson Pro" w:eastAsia="Times New Roman" w:hAnsi="Crimson Pro" w:cs="Times New Roman"/>
      <w:sz w:val="20"/>
      <w:szCs w:val="24"/>
      <w:shd w:val="clear" w:color="auto" w:fill="FFFFFF"/>
    </w:rPr>
  </w:style>
  <w:style w:type="paragraph" w:customStyle="1" w:styleId="Caution0-CautionBoxCenter">
    <w:name w:val="Caution0 - CautionBoxCenter"/>
    <w:basedOn w:val="I0-InfoBoxCenter"/>
    <w:link w:val="Caution0-CautionBoxCenterChar"/>
    <w:rsid w:val="000317B6"/>
  </w:style>
  <w:style w:type="character" w:customStyle="1" w:styleId="Caution0-CautionBoxCenterChar">
    <w:name w:val="Caution0 - CautionBoxCenter Char"/>
    <w:basedOn w:val="P0-ParagraphChar"/>
    <w:link w:val="Caution0-CautionBoxCenter"/>
    <w:rsid w:val="000317B6"/>
    <w:rPr>
      <w:rFonts w:ascii="Crimson Pro" w:eastAsia="Times New Roman" w:hAnsi="Crimson Pro" w:cs="Times New Roman"/>
      <w:sz w:val="20"/>
      <w:szCs w:val="24"/>
      <w:shd w:val="clear" w:color="auto" w:fill="FFFFFF"/>
    </w:rPr>
  </w:style>
  <w:style w:type="paragraph" w:customStyle="1" w:styleId="Caution0-CautionBoxFigure">
    <w:name w:val="Caution0 - CautionBoxFigure"/>
    <w:basedOn w:val="I0-InfoBoxFigure"/>
    <w:link w:val="Caution0-CautionBoxFigureChar"/>
    <w:rsid w:val="000317B6"/>
  </w:style>
  <w:style w:type="character" w:customStyle="1" w:styleId="Caution0-CautionBoxFigureChar">
    <w:name w:val="Caution0 - CautionBoxFigure Char"/>
    <w:basedOn w:val="P0-ParagraphChar"/>
    <w:link w:val="Caution0-CautionBoxFigure"/>
    <w:rsid w:val="000317B6"/>
    <w:rPr>
      <w:rFonts w:ascii="Crimson Pro" w:eastAsia="Times New Roman" w:hAnsi="Crimson Pro" w:cs="Times New Roman"/>
      <w:sz w:val="16"/>
      <w:szCs w:val="24"/>
      <w:shd w:val="clear" w:color="auto" w:fill="FFFFFF"/>
    </w:rPr>
  </w:style>
  <w:style w:type="paragraph" w:customStyle="1" w:styleId="Caution0-CautionBoxCaption">
    <w:name w:val="Caution0 - CautionBoxCaption"/>
    <w:basedOn w:val="I0-InfoBoxCaption"/>
    <w:link w:val="Caution0-CautionBoxCaptionChar"/>
    <w:rsid w:val="000317B6"/>
  </w:style>
  <w:style w:type="character" w:customStyle="1" w:styleId="Caution0-CautionBoxCaptionChar">
    <w:name w:val="Caution0 - CautionBoxCaption Char"/>
    <w:basedOn w:val="P0-ParagraphChar"/>
    <w:link w:val="Caution0-CautionBoxCaption"/>
    <w:rsid w:val="000317B6"/>
    <w:rPr>
      <w:rFonts w:ascii="Crimson Pro" w:eastAsia="Times New Roman" w:hAnsi="Crimson Pro" w:cs="Times New Roman"/>
      <w:sz w:val="16"/>
      <w:szCs w:val="24"/>
      <w:shd w:val="clear" w:color="auto" w:fill="FFFFFF"/>
    </w:rPr>
  </w:style>
  <w:style w:type="paragraph" w:customStyle="1" w:styleId="Caution0-CautionBox">
    <w:name w:val="Caution0 - CautionBox"/>
    <w:basedOn w:val="I0-InfoBox"/>
    <w:link w:val="Caution0-CautionBoxChar"/>
    <w:rsid w:val="000317B6"/>
  </w:style>
  <w:style w:type="character" w:customStyle="1" w:styleId="Caution0-CautionBoxChar">
    <w:name w:val="Caution0 - CautionBox Char"/>
    <w:basedOn w:val="P0-ParagraphChar"/>
    <w:link w:val="Caution0-CautionBox"/>
    <w:rsid w:val="000317B6"/>
    <w:rPr>
      <w:rFonts w:ascii="Crimson Pro" w:eastAsia="Times New Roman" w:hAnsi="Crimson Pro" w:cs="Times New Roman"/>
      <w:sz w:val="20"/>
      <w:szCs w:val="24"/>
      <w:shd w:val="clear" w:color="auto" w:fill="FFFFFF"/>
    </w:rPr>
  </w:style>
  <w:style w:type="paragraph" w:customStyle="1" w:styleId="Caution0-CautionBoxNumberedList">
    <w:name w:val="Caution0 - CautionBoxNumberedList"/>
    <w:basedOn w:val="I0-InfoBoxNumberedList"/>
    <w:link w:val="Caution0-CautionBoxNumberedListChar"/>
    <w:rsid w:val="000317B6"/>
  </w:style>
  <w:style w:type="character" w:customStyle="1" w:styleId="Caution0-CautionBoxNumberedListChar">
    <w:name w:val="Caution0 - CautionBoxNumberedList Char"/>
    <w:basedOn w:val="P0-ParagraphChar"/>
    <w:link w:val="Caution0-CautionBoxNumberedList"/>
    <w:rsid w:val="000317B6"/>
    <w:rPr>
      <w:rFonts w:ascii="Crimson Pro" w:eastAsia="Times New Roman" w:hAnsi="Crimson Pro" w:cs="Times New Roman"/>
      <w:sz w:val="20"/>
      <w:szCs w:val="24"/>
      <w:shd w:val="clear" w:color="auto" w:fill="FFFFFF"/>
    </w:rPr>
  </w:style>
  <w:style w:type="paragraph" w:customStyle="1" w:styleId="Caution0-CautionBoxCode">
    <w:name w:val="Caution0 - CautionBoxCode"/>
    <w:basedOn w:val="I0-InfoBoxCode"/>
    <w:link w:val="Caution0-CautionBoxCodeChar"/>
    <w:rsid w:val="000317B6"/>
  </w:style>
  <w:style w:type="character" w:customStyle="1" w:styleId="Caution0-CautionBoxCodeChar">
    <w:name w:val="Caution0 - CautionBoxCode Char"/>
    <w:basedOn w:val="P0-ParagraphChar"/>
    <w:link w:val="Caution0-CautionBoxCode"/>
    <w:rsid w:val="000317B6"/>
    <w:rPr>
      <w:rFonts w:ascii="Consolas" w:eastAsia="Times New Roman" w:hAnsi="Consolas" w:cs="Times New Roman"/>
      <w:color w:val="383A42"/>
      <w:sz w:val="18"/>
      <w:szCs w:val="24"/>
      <w:shd w:val="clear" w:color="auto" w:fill="FAFAFA"/>
    </w:rPr>
  </w:style>
  <w:style w:type="paragraph" w:customStyle="1" w:styleId="Caution0-CautionBoxConsole">
    <w:name w:val="Caution0 - CautionBoxConsole"/>
    <w:basedOn w:val="I0-InfoBoxConsole"/>
    <w:link w:val="Caution0-CautionBoxConsoleChar"/>
    <w:rsid w:val="000317B6"/>
  </w:style>
  <w:style w:type="character" w:customStyle="1" w:styleId="Caution0-CautionBoxConsoleChar">
    <w:name w:val="Caution0 - CautionBoxConsole Char"/>
    <w:basedOn w:val="P0-ParagraphChar"/>
    <w:link w:val="Caution0-CautionBoxConsole"/>
    <w:rsid w:val="000317B6"/>
    <w:rPr>
      <w:rFonts w:ascii="Consolas" w:eastAsia="Times New Roman" w:hAnsi="Consolas" w:cs="Times New Roman"/>
      <w:color w:val="F8F8F2"/>
      <w:sz w:val="18"/>
      <w:szCs w:val="24"/>
      <w:shd w:val="clear" w:color="auto" w:fill="282A36"/>
    </w:rPr>
  </w:style>
  <w:style w:type="paragraph" w:customStyle="1" w:styleId="Caution1-CautionBoxBullet">
    <w:name w:val="Caution1 - CautionBoxBullet"/>
    <w:basedOn w:val="I1-InfoBoxBullet"/>
    <w:link w:val="Caution1-CautionBoxBulletChar"/>
    <w:rsid w:val="000317B6"/>
  </w:style>
  <w:style w:type="character" w:customStyle="1" w:styleId="Caution1-CautionBoxBulletChar">
    <w:name w:val="Caution1 - CautionBoxBullet Char"/>
    <w:basedOn w:val="P0-ParagraphChar"/>
    <w:link w:val="Caution1-CautionBoxBullet"/>
    <w:rsid w:val="000317B6"/>
    <w:rPr>
      <w:rFonts w:ascii="Crimson Pro" w:eastAsia="Times New Roman" w:hAnsi="Crimson Pro" w:cs="Times New Roman"/>
      <w:sz w:val="20"/>
      <w:szCs w:val="24"/>
      <w:shd w:val="clear" w:color="auto" w:fill="FFFFFF"/>
    </w:rPr>
  </w:style>
  <w:style w:type="paragraph" w:customStyle="1" w:styleId="Caution1-CautionBoxCenter">
    <w:name w:val="Caution1 - CautionBoxCenter"/>
    <w:basedOn w:val="I1-InfoBoxCenter"/>
    <w:link w:val="Caution1-CautionBoxCenterChar"/>
    <w:rsid w:val="000317B6"/>
  </w:style>
  <w:style w:type="character" w:customStyle="1" w:styleId="Caution1-CautionBoxCenterChar">
    <w:name w:val="Caution1 - CautionBoxCenter Char"/>
    <w:basedOn w:val="P0-ParagraphChar"/>
    <w:link w:val="Caution1-CautionBoxCenter"/>
    <w:rsid w:val="000317B6"/>
    <w:rPr>
      <w:rFonts w:ascii="Crimson Pro" w:eastAsia="Times New Roman" w:hAnsi="Crimson Pro" w:cs="Times New Roman"/>
      <w:sz w:val="20"/>
      <w:szCs w:val="24"/>
      <w:shd w:val="clear" w:color="auto" w:fill="FFFFFF"/>
    </w:rPr>
  </w:style>
  <w:style w:type="paragraph" w:customStyle="1" w:styleId="Caution1-CautionBoxFigure">
    <w:name w:val="Caution1 - CautionBoxFigure"/>
    <w:basedOn w:val="I1-InfoBoxFigure"/>
    <w:link w:val="Caution1-CautionBoxFigureChar"/>
    <w:rsid w:val="000317B6"/>
  </w:style>
  <w:style w:type="character" w:customStyle="1" w:styleId="Caution1-CautionBoxFigureChar">
    <w:name w:val="Caution1 - CautionBoxFigure Char"/>
    <w:basedOn w:val="P0-ParagraphChar"/>
    <w:link w:val="Caution1-CautionBoxFigure"/>
    <w:rsid w:val="000317B6"/>
    <w:rPr>
      <w:rFonts w:ascii="Crimson Pro" w:eastAsia="Times New Roman" w:hAnsi="Crimson Pro" w:cs="Times New Roman"/>
      <w:sz w:val="16"/>
      <w:szCs w:val="24"/>
      <w:shd w:val="clear" w:color="auto" w:fill="FFFFFF"/>
    </w:rPr>
  </w:style>
  <w:style w:type="paragraph" w:customStyle="1" w:styleId="Caution1-CautionBoxCaption">
    <w:name w:val="Caution1 - CautionBoxCaption"/>
    <w:basedOn w:val="I1-InfoBoxCaption"/>
    <w:link w:val="Caution1-CautionBoxCaptionChar"/>
    <w:rsid w:val="000317B6"/>
  </w:style>
  <w:style w:type="character" w:customStyle="1" w:styleId="Caution1-CautionBoxCaptionChar">
    <w:name w:val="Caution1 - CautionBoxCaption Char"/>
    <w:basedOn w:val="P0-ParagraphChar"/>
    <w:link w:val="Caution1-CautionBoxCaption"/>
    <w:rsid w:val="000317B6"/>
    <w:rPr>
      <w:rFonts w:ascii="Crimson Pro" w:eastAsia="Times New Roman" w:hAnsi="Crimson Pro" w:cs="Times New Roman"/>
      <w:sz w:val="16"/>
      <w:szCs w:val="24"/>
      <w:shd w:val="clear" w:color="auto" w:fill="FFFFFF"/>
    </w:rPr>
  </w:style>
  <w:style w:type="paragraph" w:customStyle="1" w:styleId="Caution1-CautionBox">
    <w:name w:val="Caution1 - CautionBox"/>
    <w:basedOn w:val="I1-InfoBox"/>
    <w:link w:val="Caution1-CautionBoxChar"/>
    <w:rsid w:val="000317B6"/>
  </w:style>
  <w:style w:type="character" w:customStyle="1" w:styleId="Caution1-CautionBoxChar">
    <w:name w:val="Caution1 - CautionBox Char"/>
    <w:basedOn w:val="P0-ParagraphChar"/>
    <w:link w:val="Caution1-CautionBox"/>
    <w:rsid w:val="000317B6"/>
    <w:rPr>
      <w:rFonts w:ascii="Crimson Pro" w:eastAsia="Times New Roman" w:hAnsi="Crimson Pro" w:cs="Times New Roman"/>
      <w:sz w:val="20"/>
      <w:szCs w:val="24"/>
      <w:shd w:val="clear" w:color="auto" w:fill="FFFFFF"/>
    </w:rPr>
  </w:style>
  <w:style w:type="paragraph" w:customStyle="1" w:styleId="Caution1-CautionBoxNumberedList">
    <w:name w:val="Caution1 - CautionBoxNumberedList"/>
    <w:basedOn w:val="I1-InfoBoxNumberedList"/>
    <w:link w:val="Caution1-CautionBoxNumberedListChar"/>
    <w:rsid w:val="000317B6"/>
  </w:style>
  <w:style w:type="character" w:customStyle="1" w:styleId="Caution1-CautionBoxNumberedListChar">
    <w:name w:val="Caution1 - CautionBoxNumberedList Char"/>
    <w:basedOn w:val="P0-ParagraphChar"/>
    <w:link w:val="Caution1-CautionBoxNumberedList"/>
    <w:rsid w:val="000317B6"/>
    <w:rPr>
      <w:rFonts w:ascii="Crimson Pro" w:eastAsia="Times New Roman" w:hAnsi="Crimson Pro" w:cs="Times New Roman"/>
      <w:sz w:val="20"/>
      <w:szCs w:val="24"/>
      <w:shd w:val="clear" w:color="auto" w:fill="FFFFFF"/>
    </w:rPr>
  </w:style>
  <w:style w:type="paragraph" w:customStyle="1" w:styleId="Caution1-CautionBoxCode">
    <w:name w:val="Caution1 - CautionBoxCode"/>
    <w:basedOn w:val="I1-InfoBoxCode"/>
    <w:link w:val="Caution1-CautionBoxCodeChar"/>
    <w:rsid w:val="000317B6"/>
  </w:style>
  <w:style w:type="character" w:customStyle="1" w:styleId="Caution1-CautionBoxCodeChar">
    <w:name w:val="Caution1 - CautionBoxCode Char"/>
    <w:basedOn w:val="P0-ParagraphChar"/>
    <w:link w:val="Caution1-CautionBoxCode"/>
    <w:rsid w:val="000317B6"/>
    <w:rPr>
      <w:rFonts w:ascii="Consolas" w:eastAsia="Times New Roman" w:hAnsi="Consolas" w:cs="Times New Roman"/>
      <w:color w:val="383A42"/>
      <w:sz w:val="18"/>
      <w:szCs w:val="24"/>
      <w:shd w:val="clear" w:color="auto" w:fill="FAFAFA"/>
    </w:rPr>
  </w:style>
  <w:style w:type="paragraph" w:customStyle="1" w:styleId="Caution1-CautionBoxConsole">
    <w:name w:val="Caution1 - CautionBoxConsole"/>
    <w:basedOn w:val="I1-InfoBoxConsole"/>
    <w:link w:val="Caution1-CautionBoxConsoleChar"/>
    <w:rsid w:val="000317B6"/>
  </w:style>
  <w:style w:type="character" w:customStyle="1" w:styleId="Caution1-CautionBoxConsoleChar">
    <w:name w:val="Caution1 - CautionBoxConsole Char"/>
    <w:basedOn w:val="P0-ParagraphChar"/>
    <w:link w:val="Caution1-CautionBoxConsole"/>
    <w:rsid w:val="000317B6"/>
    <w:rPr>
      <w:rFonts w:ascii="Consolas" w:eastAsia="Times New Roman" w:hAnsi="Consolas" w:cs="Times New Roman"/>
      <w:color w:val="F8F8F2"/>
      <w:sz w:val="18"/>
      <w:szCs w:val="24"/>
      <w:shd w:val="clear" w:color="auto" w:fill="282A36"/>
    </w:rPr>
  </w:style>
  <w:style w:type="paragraph" w:customStyle="1" w:styleId="Caution2-CautionBoxBullet">
    <w:name w:val="Caution2 - CautionBoxBullet"/>
    <w:basedOn w:val="I2-InfoBoxBullet"/>
    <w:link w:val="Caution2-CautionBoxBulletChar"/>
    <w:rsid w:val="000317B6"/>
  </w:style>
  <w:style w:type="character" w:customStyle="1" w:styleId="Caution2-CautionBoxBulletChar">
    <w:name w:val="Caution2 - CautionBoxBullet Char"/>
    <w:basedOn w:val="P0-ParagraphChar"/>
    <w:link w:val="Caution2-CautionBoxBullet"/>
    <w:rsid w:val="000317B6"/>
    <w:rPr>
      <w:rFonts w:ascii="Crimson Pro" w:eastAsia="Times New Roman" w:hAnsi="Crimson Pro" w:cs="Times New Roman"/>
      <w:sz w:val="20"/>
      <w:szCs w:val="24"/>
      <w:shd w:val="clear" w:color="auto" w:fill="FFFFFF"/>
    </w:rPr>
  </w:style>
  <w:style w:type="paragraph" w:customStyle="1" w:styleId="Caution2-CautionBoxCenter">
    <w:name w:val="Caution2 - CautionBoxCenter"/>
    <w:basedOn w:val="I2-InfoBoxCenter"/>
    <w:link w:val="Caution2-CautionBoxCenterChar"/>
    <w:rsid w:val="000317B6"/>
  </w:style>
  <w:style w:type="character" w:customStyle="1" w:styleId="Caution2-CautionBoxCenterChar">
    <w:name w:val="Caution2 - CautionBoxCenter Char"/>
    <w:basedOn w:val="P0-ParagraphChar"/>
    <w:link w:val="Caution2-CautionBoxCenter"/>
    <w:rsid w:val="000317B6"/>
    <w:rPr>
      <w:rFonts w:ascii="Crimson Pro" w:eastAsia="Times New Roman" w:hAnsi="Crimson Pro" w:cs="Times New Roman"/>
      <w:sz w:val="20"/>
      <w:szCs w:val="24"/>
      <w:shd w:val="clear" w:color="auto" w:fill="FFFFFF"/>
    </w:rPr>
  </w:style>
  <w:style w:type="paragraph" w:customStyle="1" w:styleId="Caution2-CautionBoxFigure">
    <w:name w:val="Caution2 - CautionBoxFigure"/>
    <w:basedOn w:val="I2-InfoBoxFigure"/>
    <w:link w:val="Caution2-CautionBoxFigureChar"/>
    <w:rsid w:val="000317B6"/>
  </w:style>
  <w:style w:type="character" w:customStyle="1" w:styleId="Caution2-CautionBoxFigureChar">
    <w:name w:val="Caution2 - CautionBoxFigure Char"/>
    <w:basedOn w:val="P0-ParagraphChar"/>
    <w:link w:val="Caution2-CautionBoxFigure"/>
    <w:rsid w:val="000317B6"/>
    <w:rPr>
      <w:rFonts w:ascii="Crimson Pro" w:eastAsia="Times New Roman" w:hAnsi="Crimson Pro" w:cs="Times New Roman"/>
      <w:sz w:val="16"/>
      <w:szCs w:val="24"/>
      <w:shd w:val="clear" w:color="auto" w:fill="FFFFFF"/>
    </w:rPr>
  </w:style>
  <w:style w:type="paragraph" w:customStyle="1" w:styleId="Caution2-CautionBoxCaption">
    <w:name w:val="Caution2 - CautionBoxCaption"/>
    <w:basedOn w:val="I2-InfoBoxCaption"/>
    <w:link w:val="Caution2-CautionBoxCaptionChar"/>
    <w:rsid w:val="000317B6"/>
  </w:style>
  <w:style w:type="character" w:customStyle="1" w:styleId="Caution2-CautionBoxCaptionChar">
    <w:name w:val="Caution2 - CautionBoxCaption Char"/>
    <w:basedOn w:val="P0-ParagraphChar"/>
    <w:link w:val="Caution2-CautionBoxCaption"/>
    <w:rsid w:val="000317B6"/>
    <w:rPr>
      <w:rFonts w:ascii="Crimson Pro" w:eastAsia="Times New Roman" w:hAnsi="Crimson Pro" w:cs="Times New Roman"/>
      <w:sz w:val="16"/>
      <w:szCs w:val="24"/>
      <w:shd w:val="clear" w:color="auto" w:fill="FFFFFF"/>
    </w:rPr>
  </w:style>
  <w:style w:type="paragraph" w:customStyle="1" w:styleId="Caution2-CautionBox">
    <w:name w:val="Caution2 - CautionBox"/>
    <w:basedOn w:val="I2-InfoBox"/>
    <w:link w:val="Caution2-CautionBoxChar"/>
    <w:rsid w:val="000317B6"/>
  </w:style>
  <w:style w:type="character" w:customStyle="1" w:styleId="Caution2-CautionBoxChar">
    <w:name w:val="Caution2 - CautionBox Char"/>
    <w:basedOn w:val="P0-ParagraphChar"/>
    <w:link w:val="Caution2-CautionBox"/>
    <w:rsid w:val="000317B6"/>
    <w:rPr>
      <w:rFonts w:ascii="Crimson Pro" w:eastAsia="Times New Roman" w:hAnsi="Crimson Pro" w:cs="Times New Roman"/>
      <w:sz w:val="20"/>
      <w:szCs w:val="24"/>
      <w:shd w:val="clear" w:color="auto" w:fill="FFFFFF"/>
    </w:rPr>
  </w:style>
  <w:style w:type="paragraph" w:customStyle="1" w:styleId="Caution2-CautionBoxNumberedList">
    <w:name w:val="Caution2 - CautionBoxNumberedList"/>
    <w:basedOn w:val="I2-InfoBoxNumberedList"/>
    <w:link w:val="Caution2-CautionBoxNumberedListChar"/>
    <w:rsid w:val="000317B6"/>
  </w:style>
  <w:style w:type="character" w:customStyle="1" w:styleId="Caution2-CautionBoxNumberedListChar">
    <w:name w:val="Caution2 - CautionBoxNumberedList Char"/>
    <w:basedOn w:val="P0-ParagraphChar"/>
    <w:link w:val="Caution2-CautionBoxNumberedList"/>
    <w:rsid w:val="000317B6"/>
    <w:rPr>
      <w:rFonts w:ascii="Crimson Pro" w:eastAsia="Times New Roman" w:hAnsi="Crimson Pro" w:cs="Times New Roman"/>
      <w:sz w:val="20"/>
      <w:szCs w:val="24"/>
      <w:shd w:val="clear" w:color="auto" w:fill="FFFFFF"/>
    </w:rPr>
  </w:style>
  <w:style w:type="paragraph" w:customStyle="1" w:styleId="Caution2-CautionBoxCode">
    <w:name w:val="Caution2 - CautionBoxCode"/>
    <w:basedOn w:val="I2-InfoBoxCode"/>
    <w:link w:val="Caution2-CautionBoxCodeChar"/>
    <w:rsid w:val="000317B6"/>
  </w:style>
  <w:style w:type="character" w:customStyle="1" w:styleId="Caution2-CautionBoxCodeChar">
    <w:name w:val="Caution2 - CautionBoxCode Char"/>
    <w:basedOn w:val="P0-ParagraphChar"/>
    <w:link w:val="Caution2-CautionBoxCode"/>
    <w:rsid w:val="000317B6"/>
    <w:rPr>
      <w:rFonts w:ascii="Consolas" w:eastAsia="Times New Roman" w:hAnsi="Consolas" w:cs="Times New Roman"/>
      <w:color w:val="383A42"/>
      <w:sz w:val="18"/>
      <w:szCs w:val="24"/>
      <w:shd w:val="clear" w:color="auto" w:fill="FAFAFA"/>
    </w:rPr>
  </w:style>
  <w:style w:type="paragraph" w:customStyle="1" w:styleId="Caution2-CautionBoxConsole">
    <w:name w:val="Caution2 - CautionBoxConsole"/>
    <w:basedOn w:val="I2-InfoBoxConsole"/>
    <w:link w:val="Caution2-CautionBoxConsoleChar"/>
    <w:rsid w:val="000317B6"/>
  </w:style>
  <w:style w:type="character" w:customStyle="1" w:styleId="Caution2-CautionBoxConsoleChar">
    <w:name w:val="Caution2 - CautionBoxConsole Char"/>
    <w:basedOn w:val="P0-ParagraphChar"/>
    <w:link w:val="Caution2-CautionBoxConsole"/>
    <w:rsid w:val="000317B6"/>
    <w:rPr>
      <w:rFonts w:ascii="Consolas" w:eastAsia="Times New Roman" w:hAnsi="Consolas" w:cs="Times New Roman"/>
      <w:color w:val="F8F8F2"/>
      <w:sz w:val="18"/>
      <w:szCs w:val="24"/>
      <w:shd w:val="clear" w:color="auto" w:fill="282A36"/>
    </w:rPr>
  </w:style>
  <w:style w:type="paragraph" w:customStyle="1" w:styleId="AIHelper0-AIHelperBoxBullet">
    <w:name w:val="AI Helper0 - AIHelperBoxBullet"/>
    <w:basedOn w:val="I0-InfoBoxBullet"/>
    <w:link w:val="AIHelper0-AIHelperBoxBulletChar"/>
    <w:rsid w:val="000317B6"/>
  </w:style>
  <w:style w:type="character" w:customStyle="1" w:styleId="AIHelper0-AIHelperBoxBulletChar">
    <w:name w:val="AI Helper0 - AIHelperBoxBullet Char"/>
    <w:basedOn w:val="P0-ParagraphChar"/>
    <w:link w:val="AIHelper0-AIHelperBoxBullet"/>
    <w:rsid w:val="000317B6"/>
    <w:rPr>
      <w:rFonts w:ascii="Crimson Pro" w:eastAsia="Times New Roman" w:hAnsi="Crimson Pro" w:cs="Times New Roman"/>
      <w:sz w:val="20"/>
      <w:szCs w:val="24"/>
      <w:shd w:val="clear" w:color="auto" w:fill="FFFFFF"/>
    </w:rPr>
  </w:style>
  <w:style w:type="paragraph" w:customStyle="1" w:styleId="AIHelper0-AIHelperBoxCenter">
    <w:name w:val="AI Helper0 - AIHelperBoxCenter"/>
    <w:basedOn w:val="I0-InfoBoxCenter"/>
    <w:link w:val="AIHelper0-AIHelperBoxCenterChar"/>
    <w:rsid w:val="000317B6"/>
  </w:style>
  <w:style w:type="character" w:customStyle="1" w:styleId="AIHelper0-AIHelperBoxCenterChar">
    <w:name w:val="AI Helper0 - AIHelperBoxCenter Char"/>
    <w:basedOn w:val="P0-ParagraphChar"/>
    <w:link w:val="AIHelper0-AIHelperBoxCenter"/>
    <w:rsid w:val="000317B6"/>
    <w:rPr>
      <w:rFonts w:ascii="Crimson Pro" w:eastAsia="Times New Roman" w:hAnsi="Crimson Pro" w:cs="Times New Roman"/>
      <w:sz w:val="20"/>
      <w:szCs w:val="24"/>
      <w:shd w:val="clear" w:color="auto" w:fill="FFFFFF"/>
    </w:rPr>
  </w:style>
  <w:style w:type="paragraph" w:customStyle="1" w:styleId="AIHelper0-AIHelperBoxFigure">
    <w:name w:val="AI Helper0 - AIHelperBoxFigure"/>
    <w:basedOn w:val="I0-InfoBoxFigure"/>
    <w:link w:val="AIHelper0-AIHelperBoxFigureChar"/>
    <w:rsid w:val="000317B6"/>
  </w:style>
  <w:style w:type="character" w:customStyle="1" w:styleId="AIHelper0-AIHelperBoxFigureChar">
    <w:name w:val="AI Helper0 - AIHelperBoxFigure Char"/>
    <w:basedOn w:val="P0-ParagraphChar"/>
    <w:link w:val="AIHelper0-AIHelperBoxFigure"/>
    <w:rsid w:val="000317B6"/>
    <w:rPr>
      <w:rFonts w:ascii="Crimson Pro" w:eastAsia="Times New Roman" w:hAnsi="Crimson Pro" w:cs="Times New Roman"/>
      <w:sz w:val="16"/>
      <w:szCs w:val="24"/>
      <w:shd w:val="clear" w:color="auto" w:fill="FFFFFF"/>
    </w:rPr>
  </w:style>
  <w:style w:type="paragraph" w:customStyle="1" w:styleId="AIHelper0-AIHelperBoxCaption">
    <w:name w:val="AI Helper0 - AIHelperBoxCaption"/>
    <w:basedOn w:val="I0-InfoBoxCaption"/>
    <w:link w:val="AIHelper0-AIHelperBoxCaptionChar"/>
    <w:rsid w:val="000317B6"/>
  </w:style>
  <w:style w:type="character" w:customStyle="1" w:styleId="AIHelper0-AIHelperBoxCaptionChar">
    <w:name w:val="AI Helper0 - AIHelperBoxCaption Char"/>
    <w:basedOn w:val="P0-ParagraphChar"/>
    <w:link w:val="AIHelper0-AIHelperBoxCaption"/>
    <w:rsid w:val="000317B6"/>
    <w:rPr>
      <w:rFonts w:ascii="Crimson Pro" w:eastAsia="Times New Roman" w:hAnsi="Crimson Pro" w:cs="Times New Roman"/>
      <w:sz w:val="16"/>
      <w:szCs w:val="24"/>
      <w:shd w:val="clear" w:color="auto" w:fill="FFFFFF"/>
    </w:rPr>
  </w:style>
  <w:style w:type="paragraph" w:customStyle="1" w:styleId="AIHelper0-AIHelperBox">
    <w:name w:val="AI Helper0 - AIHelperBox"/>
    <w:basedOn w:val="I0-InfoBox"/>
    <w:link w:val="AIHelper0-AIHelperBoxChar"/>
    <w:rsid w:val="000317B6"/>
  </w:style>
  <w:style w:type="character" w:customStyle="1" w:styleId="AIHelper0-AIHelperBoxChar">
    <w:name w:val="AI Helper0 - AIHelperBox Char"/>
    <w:basedOn w:val="P0-ParagraphChar"/>
    <w:link w:val="AIHelper0-AIHelperBox"/>
    <w:rsid w:val="000317B6"/>
    <w:rPr>
      <w:rFonts w:ascii="Crimson Pro" w:eastAsia="Times New Roman" w:hAnsi="Crimson Pro" w:cs="Times New Roman"/>
      <w:sz w:val="20"/>
      <w:szCs w:val="24"/>
      <w:shd w:val="clear" w:color="auto" w:fill="FFFFFF"/>
    </w:rPr>
  </w:style>
  <w:style w:type="paragraph" w:customStyle="1" w:styleId="AIHelper0-AIHelperBoxNumberedList">
    <w:name w:val="AI Helper0 - AIHelperBoxNumberedList"/>
    <w:basedOn w:val="I0-InfoBoxNumberedList"/>
    <w:link w:val="AIHelper0-AIHelperBoxNumberedListChar"/>
    <w:rsid w:val="000317B6"/>
  </w:style>
  <w:style w:type="character" w:customStyle="1" w:styleId="AIHelper0-AIHelperBoxNumberedListChar">
    <w:name w:val="AI Helper0 - AIHelperBoxNumberedList Char"/>
    <w:basedOn w:val="P0-ParagraphChar"/>
    <w:link w:val="AIHelper0-AIHelperBoxNumberedList"/>
    <w:rsid w:val="000317B6"/>
    <w:rPr>
      <w:rFonts w:ascii="Crimson Pro" w:eastAsia="Times New Roman" w:hAnsi="Crimson Pro" w:cs="Times New Roman"/>
      <w:sz w:val="20"/>
      <w:szCs w:val="24"/>
      <w:shd w:val="clear" w:color="auto" w:fill="FFFFFF"/>
    </w:rPr>
  </w:style>
  <w:style w:type="paragraph" w:customStyle="1" w:styleId="AIHelper0-AIHelperBoxCode">
    <w:name w:val="AI Helper0 - AIHelperBoxCode"/>
    <w:basedOn w:val="I0-InfoBoxCode"/>
    <w:link w:val="AIHelper0-AIHelperBoxCodeChar"/>
    <w:rsid w:val="000317B6"/>
  </w:style>
  <w:style w:type="character" w:customStyle="1" w:styleId="AIHelper0-AIHelperBoxCodeChar">
    <w:name w:val="AI Helper0 - AIHelperBoxCode Char"/>
    <w:basedOn w:val="P0-ParagraphChar"/>
    <w:link w:val="AIHelper0-AIHelperBoxCode"/>
    <w:rsid w:val="000317B6"/>
    <w:rPr>
      <w:rFonts w:ascii="Consolas" w:eastAsia="Times New Roman" w:hAnsi="Consolas" w:cs="Times New Roman"/>
      <w:color w:val="383A42"/>
      <w:sz w:val="18"/>
      <w:szCs w:val="24"/>
      <w:shd w:val="clear" w:color="auto" w:fill="FAFAFA"/>
    </w:rPr>
  </w:style>
  <w:style w:type="paragraph" w:customStyle="1" w:styleId="AIHelper0-AIHelperBoxConsole">
    <w:name w:val="AI Helper0 - AIHelperBoxConsole"/>
    <w:basedOn w:val="I0-InfoBoxConsole"/>
    <w:link w:val="AIHelper0-AIHelperBoxConsoleChar"/>
    <w:rsid w:val="000317B6"/>
  </w:style>
  <w:style w:type="character" w:customStyle="1" w:styleId="AIHelper0-AIHelperBoxConsoleChar">
    <w:name w:val="AI Helper0 - AIHelperBoxConsole Char"/>
    <w:basedOn w:val="P0-ParagraphChar"/>
    <w:link w:val="AIHelper0-AIHelperBoxConsole"/>
    <w:rsid w:val="000317B6"/>
    <w:rPr>
      <w:rFonts w:ascii="Consolas" w:eastAsia="Times New Roman" w:hAnsi="Consolas" w:cs="Times New Roman"/>
      <w:color w:val="F8F8F2"/>
      <w:sz w:val="18"/>
      <w:szCs w:val="24"/>
      <w:shd w:val="clear" w:color="auto" w:fill="282A36"/>
    </w:rPr>
  </w:style>
  <w:style w:type="paragraph" w:customStyle="1" w:styleId="AIHelper1-AIHelperBoxBullet">
    <w:name w:val="AI Helper1 - AIHelperBoxBullet"/>
    <w:basedOn w:val="I1-InfoBoxBullet"/>
    <w:link w:val="AIHelper1-AIHelperBoxBulletChar"/>
    <w:rsid w:val="000317B6"/>
  </w:style>
  <w:style w:type="character" w:customStyle="1" w:styleId="AIHelper1-AIHelperBoxBulletChar">
    <w:name w:val="AI Helper1 - AIHelperBoxBullet Char"/>
    <w:basedOn w:val="P0-ParagraphChar"/>
    <w:link w:val="AIHelper1-AIHelperBoxBullet"/>
    <w:rsid w:val="000317B6"/>
    <w:rPr>
      <w:rFonts w:ascii="Crimson Pro" w:eastAsia="Times New Roman" w:hAnsi="Crimson Pro" w:cs="Times New Roman"/>
      <w:sz w:val="20"/>
      <w:szCs w:val="24"/>
      <w:shd w:val="clear" w:color="auto" w:fill="FFFFFF"/>
    </w:rPr>
  </w:style>
  <w:style w:type="paragraph" w:customStyle="1" w:styleId="AIHelper1-AIHelperBoxCenter">
    <w:name w:val="AI Helper1 - AIHelperBoxCenter"/>
    <w:basedOn w:val="I1-InfoBoxCenter"/>
    <w:link w:val="AIHelper1-AIHelperBoxCenterChar"/>
    <w:rsid w:val="000317B6"/>
  </w:style>
  <w:style w:type="character" w:customStyle="1" w:styleId="AIHelper1-AIHelperBoxCenterChar">
    <w:name w:val="AI Helper1 - AIHelperBoxCenter Char"/>
    <w:basedOn w:val="P0-ParagraphChar"/>
    <w:link w:val="AIHelper1-AIHelperBoxCenter"/>
    <w:rsid w:val="000317B6"/>
    <w:rPr>
      <w:rFonts w:ascii="Crimson Pro" w:eastAsia="Times New Roman" w:hAnsi="Crimson Pro" w:cs="Times New Roman"/>
      <w:sz w:val="20"/>
      <w:szCs w:val="24"/>
      <w:shd w:val="clear" w:color="auto" w:fill="FFFFFF"/>
    </w:rPr>
  </w:style>
  <w:style w:type="paragraph" w:customStyle="1" w:styleId="AIHelper1-AIHelperBoxFigure">
    <w:name w:val="AI Helper1 - AIHelperBoxFigure"/>
    <w:basedOn w:val="I1-InfoBoxFigure"/>
    <w:link w:val="AIHelper1-AIHelperBoxFigureChar"/>
    <w:rsid w:val="000317B6"/>
  </w:style>
  <w:style w:type="character" w:customStyle="1" w:styleId="AIHelper1-AIHelperBoxFigureChar">
    <w:name w:val="AI Helper1 - AIHelperBoxFigure Char"/>
    <w:basedOn w:val="P0-ParagraphChar"/>
    <w:link w:val="AIHelper1-AIHelperBoxFigure"/>
    <w:rsid w:val="000317B6"/>
    <w:rPr>
      <w:rFonts w:ascii="Crimson Pro" w:eastAsia="Times New Roman" w:hAnsi="Crimson Pro" w:cs="Times New Roman"/>
      <w:sz w:val="16"/>
      <w:szCs w:val="24"/>
      <w:shd w:val="clear" w:color="auto" w:fill="FFFFFF"/>
    </w:rPr>
  </w:style>
  <w:style w:type="paragraph" w:customStyle="1" w:styleId="AIHelper1-AIHelperBoxCaption">
    <w:name w:val="AI Helper1 - AIHelperBoxCaption"/>
    <w:basedOn w:val="I1-InfoBoxCaption"/>
    <w:link w:val="AIHelper1-AIHelperBoxCaptionChar"/>
    <w:rsid w:val="000317B6"/>
  </w:style>
  <w:style w:type="character" w:customStyle="1" w:styleId="AIHelper1-AIHelperBoxCaptionChar">
    <w:name w:val="AI Helper1 - AIHelperBoxCaption Char"/>
    <w:basedOn w:val="P0-ParagraphChar"/>
    <w:link w:val="AIHelper1-AIHelperBoxCaption"/>
    <w:rsid w:val="000317B6"/>
    <w:rPr>
      <w:rFonts w:ascii="Crimson Pro" w:eastAsia="Times New Roman" w:hAnsi="Crimson Pro" w:cs="Times New Roman"/>
      <w:sz w:val="16"/>
      <w:szCs w:val="24"/>
      <w:shd w:val="clear" w:color="auto" w:fill="FFFFFF"/>
    </w:rPr>
  </w:style>
  <w:style w:type="paragraph" w:customStyle="1" w:styleId="AIHelper1-AIHelperBox">
    <w:name w:val="AI Helper1 - AIHelperBox"/>
    <w:basedOn w:val="I1-InfoBox"/>
    <w:link w:val="AIHelper1-AIHelperBoxChar"/>
    <w:rsid w:val="000317B6"/>
  </w:style>
  <w:style w:type="character" w:customStyle="1" w:styleId="AIHelper1-AIHelperBoxChar">
    <w:name w:val="AI Helper1 - AIHelperBox Char"/>
    <w:basedOn w:val="P0-ParagraphChar"/>
    <w:link w:val="AIHelper1-AIHelperBox"/>
    <w:rsid w:val="000317B6"/>
    <w:rPr>
      <w:rFonts w:ascii="Crimson Pro" w:eastAsia="Times New Roman" w:hAnsi="Crimson Pro" w:cs="Times New Roman"/>
      <w:sz w:val="20"/>
      <w:szCs w:val="24"/>
      <w:shd w:val="clear" w:color="auto" w:fill="FFFFFF"/>
    </w:rPr>
  </w:style>
  <w:style w:type="paragraph" w:customStyle="1" w:styleId="AIHelper1-AIHelperBoxNumberedList">
    <w:name w:val="AI Helper1 - AIHelperBoxNumberedList"/>
    <w:basedOn w:val="I1-InfoBoxNumberedList"/>
    <w:link w:val="AIHelper1-AIHelperBoxNumberedListChar"/>
    <w:rsid w:val="000317B6"/>
  </w:style>
  <w:style w:type="character" w:customStyle="1" w:styleId="AIHelper1-AIHelperBoxNumberedListChar">
    <w:name w:val="AI Helper1 - AIHelperBoxNumberedList Char"/>
    <w:basedOn w:val="P0-ParagraphChar"/>
    <w:link w:val="AIHelper1-AIHelperBoxNumberedList"/>
    <w:rsid w:val="000317B6"/>
    <w:rPr>
      <w:rFonts w:ascii="Crimson Pro" w:eastAsia="Times New Roman" w:hAnsi="Crimson Pro" w:cs="Times New Roman"/>
      <w:sz w:val="20"/>
      <w:szCs w:val="24"/>
      <w:shd w:val="clear" w:color="auto" w:fill="FFFFFF"/>
    </w:rPr>
  </w:style>
  <w:style w:type="paragraph" w:customStyle="1" w:styleId="AIHelper1-AIHelperBoxCode">
    <w:name w:val="AI Helper1 - AIHelperBoxCode"/>
    <w:basedOn w:val="I1-InfoBoxCode"/>
    <w:link w:val="AIHelper1-AIHelperBoxCodeChar"/>
    <w:rsid w:val="000317B6"/>
  </w:style>
  <w:style w:type="character" w:customStyle="1" w:styleId="AIHelper1-AIHelperBoxCodeChar">
    <w:name w:val="AI Helper1 - AIHelperBoxCode Char"/>
    <w:basedOn w:val="P0-ParagraphChar"/>
    <w:link w:val="AIHelper1-AIHelperBoxCode"/>
    <w:rsid w:val="000317B6"/>
    <w:rPr>
      <w:rFonts w:ascii="Consolas" w:eastAsia="Times New Roman" w:hAnsi="Consolas" w:cs="Times New Roman"/>
      <w:color w:val="383A42"/>
      <w:sz w:val="18"/>
      <w:szCs w:val="24"/>
      <w:shd w:val="clear" w:color="auto" w:fill="FAFAFA"/>
    </w:rPr>
  </w:style>
  <w:style w:type="paragraph" w:customStyle="1" w:styleId="AIHelper1-AIHelperBoxConsole">
    <w:name w:val="AI Helper1 - AIHelperBoxConsole"/>
    <w:basedOn w:val="I1-InfoBoxConsole"/>
    <w:link w:val="AIHelper1-AIHelperBoxConsoleChar"/>
    <w:rsid w:val="000317B6"/>
  </w:style>
  <w:style w:type="character" w:customStyle="1" w:styleId="AIHelper1-AIHelperBoxConsoleChar">
    <w:name w:val="AI Helper1 - AIHelperBoxConsole Char"/>
    <w:basedOn w:val="P0-ParagraphChar"/>
    <w:link w:val="AIHelper1-AIHelperBoxConsole"/>
    <w:rsid w:val="000317B6"/>
    <w:rPr>
      <w:rFonts w:ascii="Consolas" w:eastAsia="Times New Roman" w:hAnsi="Consolas" w:cs="Times New Roman"/>
      <w:color w:val="F8F8F2"/>
      <w:sz w:val="18"/>
      <w:szCs w:val="24"/>
      <w:shd w:val="clear" w:color="auto" w:fill="282A36"/>
    </w:rPr>
  </w:style>
  <w:style w:type="paragraph" w:customStyle="1" w:styleId="AIHelper2-AIHelperBoxBullet">
    <w:name w:val="AI Helper2 - AIHelperBoxBullet"/>
    <w:basedOn w:val="I2-InfoBoxBullet"/>
    <w:link w:val="AIHelper2-AIHelperBoxBulletChar"/>
    <w:rsid w:val="000317B6"/>
  </w:style>
  <w:style w:type="character" w:customStyle="1" w:styleId="AIHelper2-AIHelperBoxBulletChar">
    <w:name w:val="AI Helper2 - AIHelperBoxBullet Char"/>
    <w:basedOn w:val="P0-ParagraphChar"/>
    <w:link w:val="AIHelper2-AIHelperBoxBullet"/>
    <w:rsid w:val="000317B6"/>
    <w:rPr>
      <w:rFonts w:ascii="Crimson Pro" w:eastAsia="Times New Roman" w:hAnsi="Crimson Pro" w:cs="Times New Roman"/>
      <w:sz w:val="20"/>
      <w:szCs w:val="24"/>
      <w:shd w:val="clear" w:color="auto" w:fill="FFFFFF"/>
    </w:rPr>
  </w:style>
  <w:style w:type="paragraph" w:customStyle="1" w:styleId="AIHelper2-AIHelperBoxCenter">
    <w:name w:val="AI Helper2 - AIHelperBoxCenter"/>
    <w:basedOn w:val="I2-InfoBoxCenter"/>
    <w:link w:val="AIHelper2-AIHelperBoxCenterChar"/>
    <w:rsid w:val="000317B6"/>
  </w:style>
  <w:style w:type="character" w:customStyle="1" w:styleId="AIHelper2-AIHelperBoxCenterChar">
    <w:name w:val="AI Helper2 - AIHelperBoxCenter Char"/>
    <w:basedOn w:val="P0-ParagraphChar"/>
    <w:link w:val="AIHelper2-AIHelperBoxCenter"/>
    <w:rsid w:val="000317B6"/>
    <w:rPr>
      <w:rFonts w:ascii="Crimson Pro" w:eastAsia="Times New Roman" w:hAnsi="Crimson Pro" w:cs="Times New Roman"/>
      <w:sz w:val="20"/>
      <w:szCs w:val="24"/>
      <w:shd w:val="clear" w:color="auto" w:fill="FFFFFF"/>
    </w:rPr>
  </w:style>
  <w:style w:type="paragraph" w:customStyle="1" w:styleId="AIHelper2-AIHelperBoxFigure">
    <w:name w:val="AI Helper2 - AIHelperBoxFigure"/>
    <w:basedOn w:val="I2-InfoBoxFigure"/>
    <w:link w:val="AIHelper2-AIHelperBoxFigureChar"/>
    <w:rsid w:val="000317B6"/>
  </w:style>
  <w:style w:type="character" w:customStyle="1" w:styleId="AIHelper2-AIHelperBoxFigureChar">
    <w:name w:val="AI Helper2 - AIHelperBoxFigure Char"/>
    <w:basedOn w:val="P0-ParagraphChar"/>
    <w:link w:val="AIHelper2-AIHelperBoxFigure"/>
    <w:rsid w:val="000317B6"/>
    <w:rPr>
      <w:rFonts w:ascii="Crimson Pro" w:eastAsia="Times New Roman" w:hAnsi="Crimson Pro" w:cs="Times New Roman"/>
      <w:sz w:val="16"/>
      <w:szCs w:val="24"/>
      <w:shd w:val="clear" w:color="auto" w:fill="FFFFFF"/>
    </w:rPr>
  </w:style>
  <w:style w:type="paragraph" w:customStyle="1" w:styleId="AIHelper2-AIHelperBoxCaption">
    <w:name w:val="AI Helper2 - AIHelperBoxCaption"/>
    <w:basedOn w:val="I2-InfoBoxCaption"/>
    <w:link w:val="AIHelper2-AIHelperBoxCaptionChar"/>
    <w:rsid w:val="000317B6"/>
  </w:style>
  <w:style w:type="character" w:customStyle="1" w:styleId="AIHelper2-AIHelperBoxCaptionChar">
    <w:name w:val="AI Helper2 - AIHelperBoxCaption Char"/>
    <w:basedOn w:val="P0-ParagraphChar"/>
    <w:link w:val="AIHelper2-AIHelperBoxCaption"/>
    <w:rsid w:val="000317B6"/>
    <w:rPr>
      <w:rFonts w:ascii="Crimson Pro" w:eastAsia="Times New Roman" w:hAnsi="Crimson Pro" w:cs="Times New Roman"/>
      <w:sz w:val="16"/>
      <w:szCs w:val="24"/>
      <w:shd w:val="clear" w:color="auto" w:fill="FFFFFF"/>
    </w:rPr>
  </w:style>
  <w:style w:type="paragraph" w:customStyle="1" w:styleId="AIHelper2-AIHelperBox">
    <w:name w:val="AI Helper2 - AIHelperBox"/>
    <w:basedOn w:val="I2-InfoBox"/>
    <w:link w:val="AIHelper2-AIHelperBoxChar"/>
    <w:rsid w:val="000317B6"/>
  </w:style>
  <w:style w:type="character" w:customStyle="1" w:styleId="AIHelper2-AIHelperBoxChar">
    <w:name w:val="AI Helper2 - AIHelperBox Char"/>
    <w:basedOn w:val="P0-ParagraphChar"/>
    <w:link w:val="AIHelper2-AIHelperBox"/>
    <w:rsid w:val="000317B6"/>
    <w:rPr>
      <w:rFonts w:ascii="Crimson Pro" w:eastAsia="Times New Roman" w:hAnsi="Crimson Pro" w:cs="Times New Roman"/>
      <w:sz w:val="20"/>
      <w:szCs w:val="24"/>
      <w:shd w:val="clear" w:color="auto" w:fill="FFFFFF"/>
    </w:rPr>
  </w:style>
  <w:style w:type="paragraph" w:customStyle="1" w:styleId="AIHelper2-AIHelperBoxNumberedList">
    <w:name w:val="AI Helper2 - AIHelperBoxNumberedList"/>
    <w:basedOn w:val="I2-InfoBoxNumberedList"/>
    <w:link w:val="AIHelper2-AIHelperBoxNumberedListChar"/>
    <w:rsid w:val="000317B6"/>
  </w:style>
  <w:style w:type="character" w:customStyle="1" w:styleId="AIHelper2-AIHelperBoxNumberedListChar">
    <w:name w:val="AI Helper2 - AIHelperBoxNumberedList Char"/>
    <w:basedOn w:val="P0-ParagraphChar"/>
    <w:link w:val="AIHelper2-AIHelperBoxNumberedList"/>
    <w:rsid w:val="000317B6"/>
    <w:rPr>
      <w:rFonts w:ascii="Crimson Pro" w:eastAsia="Times New Roman" w:hAnsi="Crimson Pro" w:cs="Times New Roman"/>
      <w:sz w:val="20"/>
      <w:szCs w:val="24"/>
      <w:shd w:val="clear" w:color="auto" w:fill="FFFFFF"/>
    </w:rPr>
  </w:style>
  <w:style w:type="paragraph" w:customStyle="1" w:styleId="AIHelper2-AIHelperBoxCode">
    <w:name w:val="AI Helper2 - AIHelperBoxCode"/>
    <w:basedOn w:val="I2-InfoBoxCode"/>
    <w:link w:val="AIHelper2-AIHelperBoxCodeChar"/>
    <w:rsid w:val="000317B6"/>
  </w:style>
  <w:style w:type="character" w:customStyle="1" w:styleId="AIHelper2-AIHelperBoxCodeChar">
    <w:name w:val="AI Helper2 - AIHelperBoxCode Char"/>
    <w:basedOn w:val="P0-ParagraphChar"/>
    <w:link w:val="AIHelper2-AIHelperBoxCode"/>
    <w:rsid w:val="000317B6"/>
    <w:rPr>
      <w:rFonts w:ascii="Consolas" w:eastAsia="Times New Roman" w:hAnsi="Consolas" w:cs="Times New Roman"/>
      <w:color w:val="383A42"/>
      <w:sz w:val="18"/>
      <w:szCs w:val="24"/>
      <w:shd w:val="clear" w:color="auto" w:fill="FAFAFA"/>
    </w:rPr>
  </w:style>
  <w:style w:type="paragraph" w:customStyle="1" w:styleId="AIHelper2-AIHelperBoxConsole">
    <w:name w:val="AI Helper2 - AIHelperBoxConsole"/>
    <w:basedOn w:val="I2-InfoBoxConsole"/>
    <w:link w:val="AIHelper2-AIHelperBoxConsoleChar"/>
    <w:rsid w:val="000317B6"/>
  </w:style>
  <w:style w:type="character" w:customStyle="1" w:styleId="AIHelper2-AIHelperBoxConsoleChar">
    <w:name w:val="AI Helper2 - AIHelperBoxConsole Char"/>
    <w:basedOn w:val="P0-ParagraphChar"/>
    <w:link w:val="AIHelper2-AIHelperBoxConsole"/>
    <w:rsid w:val="000317B6"/>
    <w:rPr>
      <w:rFonts w:ascii="Consolas" w:eastAsia="Times New Roman" w:hAnsi="Consolas" w:cs="Times New Roman"/>
      <w:color w:val="F8F8F2"/>
      <w:sz w:val="18"/>
      <w:szCs w:val="24"/>
      <w:shd w:val="clear" w:color="auto" w:fill="282A36"/>
    </w:rPr>
  </w:style>
  <w:style w:type="paragraph" w:customStyle="1" w:styleId="L1-AlphabetCapital">
    <w:name w:val="L1 - AlphabetCapital"/>
    <w:basedOn w:val="L1-Alphabet"/>
    <w:qFormat/>
    <w:rsid w:val="000317B6"/>
    <w:pPr>
      <w:numPr>
        <w:numId w:val="17"/>
      </w:numPr>
    </w:pPr>
  </w:style>
  <w:style w:type="paragraph" w:customStyle="1" w:styleId="L2-AlphabetCapital">
    <w:name w:val="L2 - AlphabetCapital"/>
    <w:basedOn w:val="L2-Alphabet"/>
    <w:qFormat/>
    <w:rsid w:val="000317B6"/>
    <w:pPr>
      <w:numPr>
        <w:numId w:val="18"/>
      </w:numPr>
    </w:pPr>
  </w:style>
  <w:style w:type="paragraph" w:customStyle="1" w:styleId="L3-AlphabetCapital">
    <w:name w:val="L3 - AlphabetCapital"/>
    <w:basedOn w:val="L3-Alphabet"/>
    <w:qFormat/>
    <w:rsid w:val="000317B6"/>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f26982BCqWHwTPhklxSONf9yiw==">CgMxLjAyDmgubXhydGFuZzEydDQ3OAByITFhUFM1eGNmcC0tcTZCS3FQMVhIX3loY0JyWHFzaGZBaA==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9</TotalTime>
  <Pages>15</Pages>
  <Words>6298</Words>
  <Characters>35904</Characters>
  <Application>Microsoft Office Word</Application>
  <DocSecurity>0</DocSecurity>
  <Lines>299</Lines>
  <Paragraphs>84</Paragraphs>
  <ScaleCrop>false</ScaleCrop>
  <Company/>
  <LinksUpToDate>false</LinksUpToDate>
  <CharactersWithSpaces>42118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2</cp:revision>
  <dcterms:created xsi:type="dcterms:W3CDTF">2026-10-09T10:28:00Z</dcterms:created>
  <dcterms:modified xsi:type="dcterms:W3CDTF">2026-10-09T10:37:00Z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y fmtid="{D5CDD505-2E9C-101B-9397-08002B2CF9AE}" pid="3" name="ASCR Version">
    <vt:lpwstr>1.0 — June 2026</vt:lpwstr>
  </property>
</Properties>
</file>