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E6C9" w14:textId="77777777" w:rsidR="00BB0DB9" w:rsidRPr="001601A6" w:rsidRDefault="00000000" w:rsidP="001601A6">
      <w:pPr>
        <w:pStyle w:val="HS-ChapterTitle"/>
        <w:rPr>
          <w:color w:val="auto"/>
        </w:rPr>
      </w:pPr>
      <w:r w:rsidRPr="001601A6">
        <w:rPr>
          <w:rFonts w:eastAsia="Arial"/>
          <w:color w:val="auto"/>
        </w:rPr>
        <w:t>ASCR-02: Compliance Crosswalk</w:t>
      </w:r>
    </w:p>
    <w:p w14:paraId="00279ADE" w14:textId="77777777" w:rsidR="00BB0DB9" w:rsidRPr="001601A6" w:rsidRDefault="00000000">
      <w:pPr>
        <w:pStyle w:val="Subtitle"/>
        <w:spacing w:after="240"/>
        <w:rPr>
          <w:color w:val="auto"/>
        </w:rPr>
      </w:pPr>
      <w:r w:rsidRPr="001601A6">
        <w:rPr>
          <w:rFonts w:ascii="Arial" w:eastAsia="Arial" w:hAnsi="Arial" w:cs="Arial"/>
          <w:i/>
          <w:iCs/>
          <w:color w:val="auto"/>
        </w:rPr>
        <w:t>Regulatory Reference Matrix — ASCR Blueprint Controls Mapped to EU AI Act, NIST AI RMF, NIS2, DORA, IEC 62443, ISO/IEC 42001, RPLD, and NIST SP 800-53/800-161</w:t>
      </w:r>
    </w:p>
    <w:p w14:paraId="0A6CF538" w14:textId="77777777" w:rsidR="00BB0DB9" w:rsidRPr="001601A6" w:rsidRDefault="00000000" w:rsidP="001601A6">
      <w:pPr>
        <w:pStyle w:val="HS-Heading1"/>
      </w:pPr>
      <w:r w:rsidRPr="001601A6">
        <w:rPr>
          <w:rFonts w:eastAsia="Arial"/>
        </w:rPr>
        <w:t>ASCR-02 definition</w:t>
      </w:r>
    </w:p>
    <w:p w14:paraId="11080C29" w14:textId="13A46FD4" w:rsidR="00BB0DB9" w:rsidRPr="001601A6" w:rsidRDefault="00BB0DB9" w:rsidP="001601A6">
      <w:pPr>
        <w:pStyle w:val="P0-Paragraph"/>
      </w:pP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7740"/>
      </w:tblGrid>
      <w:tr w:rsidR="00BB0DB9" w:rsidRPr="001601A6" w14:paraId="4575CF4D"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CC74631" w14:textId="77777777" w:rsidR="00BB0DB9" w:rsidRPr="001601A6" w:rsidRDefault="00000000" w:rsidP="001601A6">
            <w:pPr>
              <w:pStyle w:val="T0-Table"/>
              <w:rPr>
                <w:rStyle w:val="CS-Keyword"/>
              </w:rPr>
            </w:pPr>
            <w:r w:rsidRPr="001601A6">
              <w:rPr>
                <w:rStyle w:val="CS-Keyword"/>
              </w:rPr>
              <w:t>Artifact Type</w:t>
            </w:r>
          </w:p>
        </w:tc>
        <w:tc>
          <w:tcPr>
            <w:tcW w:w="7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CB76F" w14:textId="77777777" w:rsidR="00BB0DB9" w:rsidRPr="001601A6" w:rsidRDefault="00000000" w:rsidP="001601A6">
            <w:pPr>
              <w:pStyle w:val="T0-Table"/>
            </w:pPr>
            <w:r w:rsidRPr="001601A6">
              <w:t>Regulatory Reference and Compliance Evidence Instrument with Enterprise Assurance and AI Risk Overlays</w:t>
            </w:r>
          </w:p>
        </w:tc>
      </w:tr>
      <w:tr w:rsidR="00BB0DB9" w:rsidRPr="001601A6" w14:paraId="2F9B338D"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9E9CBB" w14:textId="77777777" w:rsidR="00BB0DB9" w:rsidRPr="001601A6" w:rsidRDefault="00000000" w:rsidP="001601A6">
            <w:pPr>
              <w:pStyle w:val="T0-Table"/>
              <w:rPr>
                <w:rStyle w:val="CS-Keyword"/>
              </w:rPr>
            </w:pPr>
            <w:r w:rsidRPr="001601A6">
              <w:rPr>
                <w:rStyle w:val="CS-Keyword"/>
              </w:rPr>
              <w:t>Primary Use</w:t>
            </w:r>
          </w:p>
        </w:tc>
        <w:tc>
          <w:tcPr>
            <w:tcW w:w="7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EF9105" w14:textId="77777777" w:rsidR="00BB0DB9" w:rsidRPr="001601A6" w:rsidRDefault="00000000" w:rsidP="001601A6">
            <w:pPr>
              <w:pStyle w:val="T0-Table"/>
            </w:pPr>
            <w:r w:rsidRPr="001601A6">
              <w:t>Bidirectional mapping between ASCR Blueprint controls and external regulatory obligations, identifying where ASCR controls support requirements and which ASCR artifacts produce evidence for regulatory reporting; supplemental practitioner overlays show how the same controls and evidence connect to enterprise information-security management, privacy, assurance, AI risk-management, and GenAI-specific risk practices.</w:t>
            </w:r>
          </w:p>
        </w:tc>
      </w:tr>
      <w:tr w:rsidR="00BB0DB9" w:rsidRPr="001601A6" w14:paraId="66DCF953"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0156DAE" w14:textId="77777777" w:rsidR="00BB0DB9" w:rsidRPr="001601A6" w:rsidRDefault="00000000" w:rsidP="001601A6">
            <w:pPr>
              <w:pStyle w:val="T0-Table"/>
              <w:rPr>
                <w:rStyle w:val="CS-Keyword"/>
              </w:rPr>
            </w:pPr>
            <w:r w:rsidRPr="001601A6">
              <w:rPr>
                <w:rStyle w:val="CS-Keyword"/>
              </w:rPr>
              <w:t>Secondary Use</w:t>
            </w:r>
          </w:p>
        </w:tc>
        <w:tc>
          <w:tcPr>
            <w:tcW w:w="7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1D94AA" w14:textId="77777777" w:rsidR="00BB0DB9" w:rsidRPr="001601A6" w:rsidRDefault="00000000" w:rsidP="001601A6">
            <w:pPr>
              <w:pStyle w:val="T0-Table"/>
            </w:pPr>
            <w:r w:rsidRPr="001601A6">
              <w:t>Regulatory audit preparation; board-level compliance posture reporting via ASCR-12; consulting engagement compliance gap scoping deliverable; regulatory information request response foundation</w:t>
            </w:r>
          </w:p>
        </w:tc>
      </w:tr>
      <w:tr w:rsidR="00BB0DB9" w:rsidRPr="001601A6" w14:paraId="7F5273E1"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55CE81" w14:textId="77777777" w:rsidR="00BB0DB9" w:rsidRPr="001601A6" w:rsidRDefault="00000000" w:rsidP="001601A6">
            <w:pPr>
              <w:pStyle w:val="T0-Table"/>
              <w:rPr>
                <w:rStyle w:val="CS-Keyword"/>
              </w:rPr>
            </w:pPr>
            <w:r w:rsidRPr="001601A6">
              <w:rPr>
                <w:rStyle w:val="CS-Keyword"/>
              </w:rPr>
              <w:t>Operational Phase</w:t>
            </w:r>
          </w:p>
        </w:tc>
        <w:tc>
          <w:tcPr>
            <w:tcW w:w="7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DFF8A3" w14:textId="77777777" w:rsidR="00BB0DB9" w:rsidRPr="001601A6" w:rsidRDefault="00000000" w:rsidP="001601A6">
            <w:pPr>
              <w:pStyle w:val="T0-Table"/>
            </w:pPr>
            <w:r w:rsidRPr="001601A6">
              <w:t xml:space="preserve">Pre-deployment · Ongoing operations · </w:t>
            </w:r>
            <w:proofErr w:type="gramStart"/>
            <w:r w:rsidRPr="001601A6">
              <w:t>Post-incident</w:t>
            </w:r>
            <w:proofErr w:type="gramEnd"/>
          </w:p>
        </w:tc>
      </w:tr>
      <w:tr w:rsidR="00BB0DB9" w:rsidRPr="001601A6" w14:paraId="42751F3E"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3489CF" w14:textId="77777777" w:rsidR="00BB0DB9" w:rsidRPr="001601A6" w:rsidRDefault="00000000" w:rsidP="001601A6">
            <w:pPr>
              <w:pStyle w:val="T0-Table"/>
              <w:rPr>
                <w:rStyle w:val="CS-Keyword"/>
              </w:rPr>
            </w:pPr>
            <w:r w:rsidRPr="001601A6">
              <w:rPr>
                <w:rStyle w:val="CS-Keyword"/>
              </w:rPr>
              <w:t>User Role</w:t>
            </w:r>
          </w:p>
        </w:tc>
        <w:tc>
          <w:tcPr>
            <w:tcW w:w="7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78279" w14:textId="77777777" w:rsidR="00BB0DB9" w:rsidRPr="001601A6" w:rsidRDefault="00000000" w:rsidP="001601A6">
            <w:pPr>
              <w:pStyle w:val="T0-Table"/>
            </w:pPr>
            <w:r w:rsidRPr="001601A6">
              <w:t>Regulatory/Compliance Officer, security architect, CISO, Legal Counsel, consulting practitioner</w:t>
            </w:r>
          </w:p>
        </w:tc>
      </w:tr>
      <w:tr w:rsidR="00BB0DB9" w:rsidRPr="001601A6" w14:paraId="3AE85B8D"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3C6BB6" w14:textId="77777777" w:rsidR="00BB0DB9" w:rsidRPr="001601A6" w:rsidRDefault="00000000" w:rsidP="001601A6">
            <w:pPr>
              <w:pStyle w:val="T0-Table"/>
              <w:rPr>
                <w:rStyle w:val="CS-Keyword"/>
              </w:rPr>
            </w:pPr>
            <w:r w:rsidRPr="001601A6">
              <w:rPr>
                <w:rStyle w:val="CS-Keyword"/>
              </w:rPr>
              <w:t>Update Cadence</w:t>
            </w:r>
          </w:p>
        </w:tc>
        <w:tc>
          <w:tcPr>
            <w:tcW w:w="7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FCE4F6" w14:textId="77777777" w:rsidR="00BB0DB9" w:rsidRPr="001601A6" w:rsidRDefault="00000000" w:rsidP="001601A6">
            <w:pPr>
              <w:pStyle w:val="T0-Table"/>
            </w:pPr>
            <w:r w:rsidRPr="001601A6">
              <w:t>Annual baseline review; triggered review within [DEFAULT: 30 days] following any material change to applicable regulatory frameworks; triggered review within [DEFAULT: 14 days] following the addition of a new ASCR component or a material revision to an existing one; immediate review following a post-incident regulatory inquiry that identifies a crosswalk gap</w:t>
            </w:r>
          </w:p>
        </w:tc>
      </w:tr>
      <w:tr w:rsidR="00BB0DB9" w:rsidRPr="001601A6" w14:paraId="340392F9"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0D142D" w14:textId="77777777" w:rsidR="00BB0DB9" w:rsidRPr="001601A6" w:rsidRDefault="00000000" w:rsidP="001601A6">
            <w:pPr>
              <w:pStyle w:val="T0-Table"/>
              <w:rPr>
                <w:rStyle w:val="CS-Keyword"/>
              </w:rPr>
            </w:pPr>
            <w:r w:rsidRPr="001601A6">
              <w:rPr>
                <w:rStyle w:val="CS-Keyword"/>
              </w:rPr>
              <w:t>Update Triggers</w:t>
            </w:r>
          </w:p>
        </w:tc>
        <w:tc>
          <w:tcPr>
            <w:tcW w:w="7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BFF08" w14:textId="77777777" w:rsidR="00BB0DB9" w:rsidRPr="001601A6" w:rsidRDefault="00000000" w:rsidP="001601A6">
            <w:pPr>
              <w:pStyle w:val="T0-Table"/>
            </w:pPr>
            <w:r w:rsidRPr="001601A6">
              <w:t xml:space="preserve">Material change to the EU AI Act, including amendments such as Regulation (EU) 2026/1744, implementing or delegated acts, or authoritative guidance · NIS2 transposition update in applicable jurisdiction · New regulatory framework applicable to the deployment · Material revision to a supplemental overlay source (ISO/IEC 27001, GDPR, AICPA Trust Services Criteria, ISO/IEC 23894, or NIST AI 600-1) · ASCR artifact revision that changes the evidence it produces · Post-incident regulatory inquiry identifying a crosswalk gap · Asset retirement or platform decommissioning affecting evidence retention obligations · M&amp;A </w:t>
            </w:r>
            <w:r w:rsidRPr="001601A6">
              <w:lastRenderedPageBreak/>
              <w:t>integration introducing inherited regulatory obligations · Cloud-region migration affecting jurisdictional scope</w:t>
            </w:r>
          </w:p>
        </w:tc>
      </w:tr>
      <w:tr w:rsidR="00BB0DB9" w:rsidRPr="001601A6" w14:paraId="17819479"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82A35B9" w14:textId="77777777" w:rsidR="00BB0DB9" w:rsidRPr="001601A6" w:rsidRDefault="00000000" w:rsidP="001601A6">
            <w:pPr>
              <w:pStyle w:val="T0-Table"/>
              <w:rPr>
                <w:rStyle w:val="CS-Keyword"/>
              </w:rPr>
            </w:pPr>
            <w:r w:rsidRPr="001601A6">
              <w:rPr>
                <w:rStyle w:val="CS-Keyword"/>
              </w:rPr>
              <w:lastRenderedPageBreak/>
              <w:t>Cross-References</w:t>
            </w:r>
          </w:p>
        </w:tc>
        <w:tc>
          <w:tcPr>
            <w:tcW w:w="7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5BB6D3" w14:textId="77777777" w:rsidR="00BB0DB9" w:rsidRPr="001601A6" w:rsidRDefault="00000000" w:rsidP="001601A6">
            <w:pPr>
              <w:pStyle w:val="T0-Table"/>
            </w:pPr>
            <w:r w:rsidRPr="001601A6">
              <w:t>Chapter 2 (framework gap analysis); ASCR-03 Sections 4.3, 6, and 7; ASCR-08 Section 3; ASCR-10 Section 2.5 and ASCR-10-OE01 Classification Matrix; ASCR-11 bilateral SLA regulatory crosswalk; ASCR-12 (governance scorecard: compliance posture reporting); mapped Blueprint elements and four pillars; Chapter 10 ("ASCR deployment and jurisdictional scope statement"); Preface ("A Note on Framework and Regulatory Currency"); companion workbook ASCR-02-OE01-Control-to-Obligation-Traceability-Matrix.xlsx, including the Enterprise &amp; Assurance Overlay and NIST AI 600-1 GenAI Overlay.</w:t>
            </w:r>
          </w:p>
        </w:tc>
      </w:tr>
      <w:tr w:rsidR="00BB0DB9" w:rsidRPr="001601A6" w14:paraId="22152697"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12994EF" w14:textId="77777777" w:rsidR="00BB0DB9" w:rsidRPr="001601A6" w:rsidRDefault="00000000" w:rsidP="001601A6">
            <w:pPr>
              <w:pStyle w:val="T0-Table"/>
              <w:rPr>
                <w:rStyle w:val="CS-Keyword"/>
              </w:rPr>
            </w:pPr>
            <w:r w:rsidRPr="001601A6">
              <w:rPr>
                <w:rStyle w:val="CS-Keyword"/>
              </w:rPr>
              <w:t>Regulatory Relevance</w:t>
            </w:r>
          </w:p>
        </w:tc>
        <w:tc>
          <w:tcPr>
            <w:tcW w:w="7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4390C2" w14:textId="77777777" w:rsidR="00BB0DB9" w:rsidRPr="001601A6" w:rsidRDefault="00000000" w:rsidP="001601A6">
            <w:pPr>
              <w:pStyle w:val="T0-Table"/>
            </w:pPr>
            <w:r w:rsidRPr="001601A6">
              <w:t>The core regulatory crosswalk covers EU AI Act, NIS2, DORA, IEC 62443, ISO/IEC 42001, EU Revised Product Liability Directive, NIST AI RMF 1.0, NIST SP 800-53 Rev. 5, Release 5.2.0, and NIST SP 800-161 Rev. 1 Update 1. IEC 61508/61511 is referenced for functional-safety boundaries but is not comprehensively mapped. Supplemental practitioner overlays map ASCR controls and evidence to ISO/IEC 27001:2022/</w:t>
            </w:r>
            <w:proofErr w:type="spellStart"/>
            <w:r w:rsidRPr="001601A6">
              <w:t>Amd</w:t>
            </w:r>
            <w:proofErr w:type="spellEnd"/>
            <w:r w:rsidRPr="001601A6">
              <w:t xml:space="preserve"> 1:2024, applicable GDPR requirements, the AICPA Trust Services Criteria used in SOC 2 engagements, ISO/IEC 23894:2023, and NIST AI 600-1.</w:t>
            </w:r>
          </w:p>
        </w:tc>
      </w:tr>
      <w:tr w:rsidR="00BB0DB9" w:rsidRPr="001601A6" w14:paraId="5E06D661" w14:textId="77777777">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076269B" w14:textId="77777777" w:rsidR="00BB0DB9" w:rsidRPr="001601A6" w:rsidRDefault="00000000" w:rsidP="001601A6">
            <w:pPr>
              <w:pStyle w:val="T0-Table"/>
              <w:rPr>
                <w:rStyle w:val="CS-Keyword"/>
              </w:rPr>
            </w:pPr>
            <w:r w:rsidRPr="001601A6">
              <w:rPr>
                <w:rStyle w:val="CS-Keyword"/>
              </w:rPr>
              <w:t>Version</w:t>
            </w:r>
          </w:p>
        </w:tc>
        <w:tc>
          <w:tcPr>
            <w:tcW w:w="77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B3C12D" w14:textId="77777777" w:rsidR="00BB0DB9" w:rsidRPr="001601A6" w:rsidRDefault="00000000" w:rsidP="001601A6">
            <w:pPr>
              <w:pStyle w:val="T0-Table"/>
            </w:pPr>
            <w:r w:rsidRPr="001601A6">
              <w:t>1.0 — June 2026</w:t>
            </w:r>
          </w:p>
        </w:tc>
      </w:tr>
    </w:tbl>
    <w:p w14:paraId="475B2AF8" w14:textId="77777777" w:rsidR="00BB0DB9" w:rsidRPr="001601A6" w:rsidRDefault="00BB0DB9" w:rsidP="001601A6">
      <w:pPr>
        <w:pStyle w:val="P0-Paragraph"/>
      </w:pPr>
    </w:p>
    <w:p w14:paraId="0F8C3CDF" w14:textId="77777777" w:rsidR="00BB0DB9" w:rsidRPr="001601A6" w:rsidRDefault="00000000" w:rsidP="001601A6">
      <w:pPr>
        <w:pStyle w:val="HS-Heading1"/>
      </w:pPr>
      <w:bookmarkStart w:id="0" w:name="_heading=h.h9ell447cj6o" w:colFirst="0" w:colLast="0"/>
      <w:bookmarkEnd w:id="0"/>
      <w:r w:rsidRPr="001601A6">
        <w:t>ASCR-02 operational toolkit: supporting specifications and operational extensions</w:t>
      </w:r>
    </w:p>
    <w:p w14:paraId="1207E326" w14:textId="77777777" w:rsidR="00BB0DB9" w:rsidRPr="001601A6" w:rsidRDefault="00000000" w:rsidP="001601A6">
      <w:pPr>
        <w:pStyle w:val="HS-Heading2"/>
      </w:pPr>
      <w:r w:rsidRPr="001601A6">
        <w:t>Purpose and scope</w:t>
      </w:r>
    </w:p>
    <w:p w14:paraId="53A1DBC1" w14:textId="77777777" w:rsidR="00BB0DB9" w:rsidRPr="001601A6" w:rsidRDefault="00000000" w:rsidP="001601A6">
      <w:pPr>
        <w:pStyle w:val="P0-Paragraph"/>
      </w:pPr>
      <w:r w:rsidRPr="001601A6">
        <w:t>The most common governance failure in agentic supply chain deployments is not the absence of security controls; it is the absence of a connection between security controls and regulatory obligations. Security programs invest in technical enforcement, and compliance programs invest in regulatory documentation. Both produce evidence, but neither necessarily knows what the other has produced. Consider a post-incident regulatory proceeding in which an agentic system triggers a physical-impact event. The security team provides ASCR-07 decision logs showing that planning cycles were recorded. The compliance team prepares the applicable incident notification. But when a regulator asks which documented risk-management process applies to EU AI Act Article 9, and which evidence demonstrates that the process is operating, the teams cannot trace the answer across the relevant controls and evidence. The artifacts exist, but the mapping does not. ASCR-02 provides that traceability layer.</w:t>
      </w:r>
    </w:p>
    <w:p w14:paraId="037868BD" w14:textId="77777777" w:rsidR="00BB0DB9" w:rsidRPr="001601A6" w:rsidRDefault="00000000" w:rsidP="001601A6">
      <w:pPr>
        <w:pStyle w:val="P0-Paragraph"/>
      </w:pPr>
      <w:r w:rsidRPr="001601A6">
        <w:rPr>
          <w:rFonts w:eastAsia="Arial"/>
        </w:rPr>
        <w:t xml:space="preserve">ASCR-02 is </w:t>
      </w:r>
      <w:proofErr w:type="gramStart"/>
      <w:r w:rsidRPr="001601A6">
        <w:rPr>
          <w:rFonts w:eastAsia="Arial"/>
        </w:rPr>
        <w:t>the Blueprint's</w:t>
      </w:r>
      <w:proofErr w:type="gramEnd"/>
      <w:r w:rsidRPr="001601A6">
        <w:rPr>
          <w:rFonts w:eastAsia="Arial"/>
        </w:rPr>
        <w:t xml:space="preserve"> reference crosswalk. It connects ASCR Blueprint technical controls to the regulatory provisions and control objectives those controls are designed to support. Regulatory compliance remains dependent on deployment context, jurisdictional interpretation, operational implementation quality, and organizational governance processes. The mapping is bidirectional by design:</w:t>
      </w:r>
    </w:p>
    <w:p w14:paraId="3D56C42C" w14:textId="77777777" w:rsidR="00BB0DB9" w:rsidRPr="001601A6" w:rsidRDefault="00000000" w:rsidP="001601A6">
      <w:pPr>
        <w:pStyle w:val="P0-Paragraph"/>
      </w:pPr>
      <w:r w:rsidRPr="001601A6">
        <w:t>Left-to-right (security architect): Start with an ASCR artifact. Filter the companion workbook Master Crosswalk by ASCR Artifact to identify the provisions the control supports and the evidence it produces.</w:t>
      </w:r>
    </w:p>
    <w:p w14:paraId="44B09796" w14:textId="77777777" w:rsidR="00BB0DB9" w:rsidRPr="001601A6" w:rsidRDefault="00000000" w:rsidP="001601A6">
      <w:pPr>
        <w:pStyle w:val="P0-Paragraph"/>
      </w:pPr>
      <w:r w:rsidRPr="001601A6">
        <w:lastRenderedPageBreak/>
        <w:t xml:space="preserve">Right-to-left (compliance officer): Start with </w:t>
      </w:r>
      <w:proofErr w:type="gramStart"/>
      <w:r w:rsidRPr="001601A6">
        <w:t>a regulatory</w:t>
      </w:r>
      <w:proofErr w:type="gramEnd"/>
      <w:r w:rsidRPr="001601A6">
        <w:t xml:space="preserve"> or standards provision. Filter the Obligation Index to identify the primary and supporting ASCR artifacts and then confirm the evidence in the Master Crosswalk.</w:t>
      </w:r>
    </w:p>
    <w:p w14:paraId="45B439E5" w14:textId="77777777" w:rsidR="00BB0DB9" w:rsidRPr="001601A6" w:rsidRDefault="00000000" w:rsidP="001601A6">
      <w:pPr>
        <w:pStyle w:val="P0-Paragraph"/>
      </w:pPr>
      <w:r w:rsidRPr="001601A6">
        <w:t>Practitioners often begin with a different question: “How does the ASCR control set plug into the security management system we already have?” ASCR-02 answers that question through two supplemental practitioner overlays in the companion workbook. The Enterprise &amp; Assurance Overlay connects ASCR controls and evidence to ISO/IEC 27001, applicable GDPR requirements, the AICPA Trust Services Criteria used in SOC 2 engagements, and ISO/IEC 23894. The NIST AI 600-1 GenAI Overlay adds GenAI-specific risk and suggested-action references to the existing NIST AI RMF 1.0 mappings. Together, the overlays show where existing ASCR evidence can be reused within established enterprise governance, assurance, privacy, and AI-risk programs without duplicating the underlying security control.</w:t>
      </w:r>
    </w:p>
    <w:p w14:paraId="2E1DEF51" w14:textId="77777777" w:rsidR="00BB0DB9" w:rsidRPr="001601A6" w:rsidRDefault="00000000" w:rsidP="001601A6">
      <w:pPr>
        <w:pStyle w:val="P0-Paragraph"/>
      </w:pPr>
      <w:r w:rsidRPr="001601A6">
        <w:t>The overlays are supplemental implementation and evidence-reuse aids. They do not independently establish legal compliance, ISO certification, a SOC 2 auditor conclusion, GDPR applicability, or conformity with another framework. Applicability and sufficiency must be determined for the organization, system, jurisdiction, and assurance scope.</w:t>
      </w:r>
    </w:p>
    <w:p w14:paraId="4D72CA32" w14:textId="77777777" w:rsidR="00BB0DB9" w:rsidRPr="001601A6" w:rsidRDefault="00000000" w:rsidP="001601A6">
      <w:pPr>
        <w:pStyle w:val="P0-Paragraph"/>
      </w:pPr>
      <w:r w:rsidRPr="001601A6">
        <w:rPr>
          <w:rFonts w:eastAsia="Arial"/>
        </w:rPr>
        <w:t>The crosswalk alone does not create compliance. The ASCR Blueprint artifacts may support satisfaction of their mapped regulatory provisions only when they are fully deployed, operational, continuously monitored, and actively producing the required schema evidence. Additional procedural, legal, safety, and organizational controls may still be required depending on sector and jurisdiction. Mapping existence alone does not equal control compliance.</w:t>
      </w:r>
    </w:p>
    <w:p w14:paraId="47C3BCDA" w14:textId="77777777" w:rsidR="00BB0DB9" w:rsidRPr="001601A6" w:rsidRDefault="00000000" w:rsidP="001601A6">
      <w:pPr>
        <w:pStyle w:val="P0-Paragraph"/>
      </w:pPr>
      <w:r w:rsidRPr="001601A6">
        <w:rPr>
          <w:rFonts w:eastAsia="Arial"/>
        </w:rPr>
        <w:t>ASCR-02 provides a reference for identifying which Blueprint control patterns may be relevant and what evidence an implementation may need to produce. ASCR-12 provides the governance view used to evaluate the resulting implementation and assurance evidence. The two artifacts are designed to be read together.</w:t>
      </w:r>
    </w:p>
    <w:p w14:paraId="3B30C51F" w14:textId="77777777" w:rsidR="00BB0DB9" w:rsidRPr="001601A6" w:rsidRDefault="00000000" w:rsidP="001601A6">
      <w:pPr>
        <w:pStyle w:val="P0-Paragraph"/>
      </w:pPr>
      <w:r w:rsidRPr="001601A6">
        <w:rPr>
          <w:rFonts w:eastAsia="Arial"/>
        </w:rPr>
        <w:t>ASCR-02 does not independently authorize regulatory claims, conformity assertions, or legal attestations. Final accountability for regulatory interpretation, jurisdictional applicability, and certification posture remains with Legal Counsel, the designated compliance authority, and the system owner.</w:t>
      </w:r>
    </w:p>
    <w:p w14:paraId="59070C81" w14:textId="77777777" w:rsidR="00BB0DB9" w:rsidRPr="001601A6" w:rsidRDefault="00000000" w:rsidP="001601A6">
      <w:pPr>
        <w:pStyle w:val="P0-Paragraph"/>
      </w:pPr>
      <w:r w:rsidRPr="001601A6">
        <w:rPr>
          <w:rFonts w:eastAsia="Arial"/>
        </w:rPr>
        <w:t>Three principles govern how to apply this crosswalk:</w:t>
      </w:r>
    </w:p>
    <w:p w14:paraId="7E778D52" w14:textId="77777777" w:rsidR="00BB0DB9" w:rsidRPr="001601A6" w:rsidRDefault="00000000" w:rsidP="001601A6">
      <w:pPr>
        <w:pStyle w:val="L1-Bullet"/>
      </w:pPr>
      <w:r w:rsidRPr="001601A6">
        <w:rPr>
          <w:rStyle w:val="CS-Keyword"/>
        </w:rPr>
        <w:t xml:space="preserve">Evidence specificity: </w:t>
      </w:r>
      <w:r w:rsidRPr="001601A6">
        <w:t>Each crosswalk entry identifies two things: which artifact supports the provision, and which specific output of that artifact provides evidence for the mapped requirement. The existence of the mapping itself does not establish compliance; operational, verifiable outputs and applicable organizational or legal controls are still required.</w:t>
      </w:r>
    </w:p>
    <w:p w14:paraId="4B758889" w14:textId="77777777" w:rsidR="00BB0DB9" w:rsidRPr="001601A6" w:rsidRDefault="00000000" w:rsidP="001601A6">
      <w:pPr>
        <w:pStyle w:val="L1-Bullet"/>
      </w:pPr>
      <w:r w:rsidRPr="001601A6">
        <w:rPr>
          <w:rStyle w:val="CS-Keyword"/>
        </w:rPr>
        <w:t xml:space="preserve">Evidence custody: </w:t>
      </w:r>
      <w:r w:rsidRPr="001601A6">
        <w:t>Evidence referenced by this matrix should preserve cryptographic integrity, retention provenance, access auditability, and chain-of-custody metadata sufficient for regulatory inquiry, litigation discovery, and forensic reconstruction.</w:t>
      </w:r>
    </w:p>
    <w:p w14:paraId="7703D272" w14:textId="77777777" w:rsidR="00BB0DB9" w:rsidRPr="001601A6" w:rsidRDefault="00000000" w:rsidP="001601A6">
      <w:pPr>
        <w:pStyle w:val="L1-Bullet"/>
      </w:pPr>
      <w:r w:rsidRPr="001601A6">
        <w:rPr>
          <w:rStyle w:val="CS-Keyword"/>
        </w:rPr>
        <w:t xml:space="preserve">Framework overlap: </w:t>
      </w:r>
      <w:r w:rsidRPr="001601A6">
        <w:t>When multiple frameworks impose overlapping obligations, a single ASCR control can support more than one requirement and should be documented against each applicable mapping. For example, EU AI Act Art. 12 establishes record-keeping requirements for applicable high-risk systems. NIS2 Art. 21(2)(b) requires incident handling; logging and audit trails support and evidence incident handling and may be further specified by applicable national transposition and implementing measures. ASCR-07 can support both evidence paths without creating duplicate controls.</w:t>
      </w:r>
    </w:p>
    <w:p w14:paraId="68AD6815" w14:textId="77777777" w:rsidR="00BB0DB9" w:rsidRPr="001601A6" w:rsidRDefault="00000000" w:rsidP="001601A6">
      <w:pPr>
        <w:pStyle w:val="HS-Heading2"/>
      </w:pPr>
      <w:r w:rsidRPr="001601A6">
        <w:lastRenderedPageBreak/>
        <w:t xml:space="preserve">Before you </w:t>
      </w:r>
      <w:proofErr w:type="gramStart"/>
      <w:r w:rsidRPr="001601A6">
        <w:t>operationalize</w:t>
      </w:r>
      <w:proofErr w:type="gramEnd"/>
      <w:r w:rsidRPr="001601A6">
        <w:t xml:space="preserve"> this instrument</w:t>
      </w:r>
    </w:p>
    <w:p w14:paraId="5F7ED374" w14:textId="77777777" w:rsidR="00BB0DB9" w:rsidRPr="001601A6" w:rsidRDefault="00000000" w:rsidP="001601A6">
      <w:pPr>
        <w:pStyle w:val="P0-Paragraph"/>
      </w:pPr>
      <w:r w:rsidRPr="001601A6">
        <w:t>This instrument is a jurisdiction-neutral starting template. The canonical artifact label remains Version 1.0 — June 2026. The regulatory currency point for this release is 28 September 2026, and the regulatory and standards references identified in this artifact were verified through that date, including post-June-2026 legal changes. Regulatory citations, application dates, numeric thresholds, and defaults must still be re-verified before operational reliance; see Chapter 10, "ASCR deployment and jurisdictional scope statement," for deployment and jurisdictional scope, and the Preface, "A Note on Framework and Regulatory Currency," for the framework and regulatory-currency baseline.</w:t>
      </w:r>
    </w:p>
    <w:p w14:paraId="1F830393" w14:textId="77777777" w:rsidR="00BB0DB9" w:rsidRPr="001601A6" w:rsidRDefault="00000000" w:rsidP="001601A6">
      <w:pPr>
        <w:pStyle w:val="P0-Paragraph"/>
      </w:pPr>
      <w:r w:rsidRPr="001601A6">
        <w:rPr>
          <w:rStyle w:val="CS-Keyword"/>
        </w:rPr>
        <w:t>Book interpretation note.</w:t>
      </w:r>
      <w:r w:rsidRPr="001601A6">
        <w:t xml:space="preserve"> References in the book to the ASCR-02 “full notification matrix” should be understood as the cross-framework notification timing, applicability, authority, and supporting-evidence reference provided for the regulatory regimes mapped in this artifact. ASCR-02 is not an exhaustive catalogue of every notification obligation, recipient, filing requirement, or required filing content that may apply to a deployment. ASCR-08 governs </w:t>
      </w:r>
      <w:proofErr w:type="gramStart"/>
      <w:r w:rsidRPr="001601A6">
        <w:t>the Blueprint's</w:t>
      </w:r>
      <w:proofErr w:type="gramEnd"/>
      <w:r w:rsidRPr="001601A6">
        <w:t xml:space="preserve"> operational incident-notification workflow and time-critical clock handling. Required filing content and any additional safety, privacy, transport, occupational-health, sector-specific, national, or other jurisdiction-specific reporting duties remain governed by the applicable law and the deployment's localized legal and operational process.</w:t>
      </w:r>
    </w:p>
    <w:p w14:paraId="002CF09A" w14:textId="77777777" w:rsidR="00BB0DB9" w:rsidRPr="001601A6" w:rsidRDefault="00000000" w:rsidP="001601A6">
      <w:pPr>
        <w:pStyle w:val="HS-Heading2"/>
      </w:pPr>
      <w:r w:rsidRPr="001601A6">
        <w:t xml:space="preserve">What you must determine before </w:t>
      </w:r>
      <w:proofErr w:type="gramStart"/>
      <w:r w:rsidRPr="001601A6">
        <w:t>use</w:t>
      </w:r>
      <w:proofErr w:type="gramEnd"/>
    </w:p>
    <w:p w14:paraId="289D0AB6" w14:textId="16628F5F" w:rsidR="00BB0DB9" w:rsidRPr="001601A6" w:rsidRDefault="00000000" w:rsidP="001601A6">
      <w:pPr>
        <w:pStyle w:val="P0-Paragraph"/>
      </w:pPr>
      <w:r w:rsidRPr="001601A6">
        <w:t>Complete or confirm the determinations below before using ASCR-02 to make a regulatory, certification, assurance, safety, or compliance representation. Also confirm or replace the [DEFAULT: 30 days] and [DEFAULT: 14 days] triggered-review cadences before operational use.</w:t>
      </w:r>
      <w:r w:rsidR="001601A6">
        <w:t xml:space="preserve"> The table below shows p</w:t>
      </w:r>
      <w:r w:rsidR="001601A6" w:rsidRPr="001601A6">
        <w:t>re-use determinations</w:t>
      </w:r>
      <w:r w:rsidR="001601A6">
        <w:t>:</w:t>
      </w:r>
    </w:p>
    <w:tbl>
      <w:tblPr>
        <w:tblStyle w:val="af9"/>
        <w:tblW w:w="9360" w:type="dxa"/>
        <w:tblInd w:w="0" w:type="dxa"/>
        <w:tblLayout w:type="fixed"/>
        <w:tblLook w:val="0400" w:firstRow="0" w:lastRow="0" w:firstColumn="0" w:lastColumn="0" w:noHBand="0" w:noVBand="1"/>
      </w:tblPr>
      <w:tblGrid>
        <w:gridCol w:w="2460"/>
        <w:gridCol w:w="6900"/>
      </w:tblGrid>
      <w:tr w:rsidR="00BB0DB9" w:rsidRPr="001601A6" w14:paraId="618010F4" w14:textId="77777777">
        <w:tc>
          <w:tcPr>
            <w:tcW w:w="2460" w:type="dxa"/>
            <w:tcBorders>
              <w:top w:val="single" w:sz="4" w:space="0" w:color="B7B7B7"/>
              <w:left w:val="single" w:sz="4" w:space="0" w:color="B7B7B7"/>
              <w:bottom w:val="single" w:sz="4" w:space="0" w:color="B7B7B7"/>
              <w:right w:val="single" w:sz="4" w:space="0" w:color="B7B7B7"/>
            </w:tcBorders>
            <w:shd w:val="clear" w:color="auto" w:fill="1F3864"/>
          </w:tcPr>
          <w:p w14:paraId="2BB09E84" w14:textId="77777777" w:rsidR="00BB0DB9" w:rsidRPr="001601A6" w:rsidRDefault="00000000" w:rsidP="001601A6">
            <w:pPr>
              <w:pStyle w:val="T0-Table"/>
              <w:rPr>
                <w:rStyle w:val="CS-Keyword"/>
              </w:rPr>
            </w:pPr>
            <w:r w:rsidRPr="001601A6">
              <w:rPr>
                <w:rStyle w:val="CS-Keyword"/>
              </w:rPr>
              <w:t>Determine before use</w:t>
            </w:r>
          </w:p>
        </w:tc>
        <w:tc>
          <w:tcPr>
            <w:tcW w:w="6900" w:type="dxa"/>
            <w:tcBorders>
              <w:top w:val="single" w:sz="4" w:space="0" w:color="B7B7B7"/>
              <w:left w:val="single" w:sz="4" w:space="0" w:color="B7B7B7"/>
              <w:bottom w:val="single" w:sz="4" w:space="0" w:color="B7B7B7"/>
              <w:right w:val="single" w:sz="4" w:space="0" w:color="B7B7B7"/>
            </w:tcBorders>
            <w:shd w:val="clear" w:color="auto" w:fill="1F3864"/>
          </w:tcPr>
          <w:p w14:paraId="31BE02D9" w14:textId="77777777" w:rsidR="00BB0DB9" w:rsidRPr="001601A6" w:rsidRDefault="00000000" w:rsidP="001601A6">
            <w:pPr>
              <w:pStyle w:val="T0-Table"/>
              <w:rPr>
                <w:rStyle w:val="CS-Keyword"/>
              </w:rPr>
            </w:pPr>
            <w:r w:rsidRPr="001601A6">
              <w:rPr>
                <w:rStyle w:val="CS-Keyword"/>
              </w:rPr>
              <w:t>What the practitioner must establish</w:t>
            </w:r>
          </w:p>
        </w:tc>
      </w:tr>
      <w:tr w:rsidR="00BB0DB9" w:rsidRPr="001601A6" w14:paraId="6303D213" w14:textId="77777777">
        <w:tc>
          <w:tcPr>
            <w:tcW w:w="2460" w:type="dxa"/>
            <w:tcBorders>
              <w:top w:val="single" w:sz="4" w:space="0" w:color="B7B7B7"/>
              <w:left w:val="single" w:sz="4" w:space="0" w:color="B7B7B7"/>
              <w:bottom w:val="single" w:sz="4" w:space="0" w:color="B7B7B7"/>
              <w:right w:val="single" w:sz="4" w:space="0" w:color="B7B7B7"/>
            </w:tcBorders>
            <w:shd w:val="clear" w:color="auto" w:fill="FFFFFF"/>
          </w:tcPr>
          <w:p w14:paraId="09173D7B" w14:textId="77777777" w:rsidR="00BB0DB9" w:rsidRPr="001601A6" w:rsidRDefault="00000000" w:rsidP="001601A6">
            <w:pPr>
              <w:pStyle w:val="T0-Table"/>
            </w:pPr>
            <w:r w:rsidRPr="001601A6">
              <w:t>Operational jurisdictions</w:t>
            </w:r>
          </w:p>
        </w:tc>
        <w:tc>
          <w:tcPr>
            <w:tcW w:w="6900" w:type="dxa"/>
            <w:tcBorders>
              <w:top w:val="single" w:sz="4" w:space="0" w:color="B7B7B7"/>
              <w:left w:val="single" w:sz="4" w:space="0" w:color="B7B7B7"/>
              <w:bottom w:val="single" w:sz="4" w:space="0" w:color="B7B7B7"/>
              <w:right w:val="single" w:sz="4" w:space="0" w:color="B7B7B7"/>
            </w:tcBorders>
            <w:shd w:val="clear" w:color="auto" w:fill="FFFFFF"/>
          </w:tcPr>
          <w:p w14:paraId="5B9E4D2E" w14:textId="77777777" w:rsidR="00BB0DB9" w:rsidRPr="001601A6" w:rsidRDefault="00000000" w:rsidP="001601A6">
            <w:pPr>
              <w:pStyle w:val="T0-Table"/>
            </w:pPr>
            <w:r w:rsidRPr="001601A6">
              <w:t>Applicable jurisdictions, national transpositions, and competent authorities.</w:t>
            </w:r>
          </w:p>
        </w:tc>
      </w:tr>
      <w:tr w:rsidR="00BB0DB9" w:rsidRPr="001601A6" w14:paraId="2163E123" w14:textId="77777777">
        <w:tc>
          <w:tcPr>
            <w:tcW w:w="2460" w:type="dxa"/>
            <w:tcBorders>
              <w:top w:val="single" w:sz="4" w:space="0" w:color="B7B7B7"/>
              <w:left w:val="single" w:sz="4" w:space="0" w:color="B7B7B7"/>
              <w:bottom w:val="single" w:sz="4" w:space="0" w:color="B7B7B7"/>
              <w:right w:val="single" w:sz="4" w:space="0" w:color="B7B7B7"/>
            </w:tcBorders>
            <w:shd w:val="clear" w:color="auto" w:fill="D9E2F3"/>
          </w:tcPr>
          <w:p w14:paraId="249F001D" w14:textId="77777777" w:rsidR="00BB0DB9" w:rsidRPr="001601A6" w:rsidRDefault="00000000" w:rsidP="001601A6">
            <w:pPr>
              <w:pStyle w:val="T0-Table"/>
            </w:pPr>
            <w:r w:rsidRPr="001601A6">
              <w:t>EU AI Act applicability</w:t>
            </w:r>
          </w:p>
        </w:tc>
        <w:tc>
          <w:tcPr>
            <w:tcW w:w="6900" w:type="dxa"/>
            <w:tcBorders>
              <w:top w:val="single" w:sz="4" w:space="0" w:color="B7B7B7"/>
              <w:left w:val="single" w:sz="4" w:space="0" w:color="B7B7B7"/>
              <w:bottom w:val="single" w:sz="4" w:space="0" w:color="B7B7B7"/>
              <w:right w:val="single" w:sz="4" w:space="0" w:color="B7B7B7"/>
            </w:tcBorders>
            <w:shd w:val="clear" w:color="auto" w:fill="D9E2F3"/>
          </w:tcPr>
          <w:p w14:paraId="02D430E1" w14:textId="77777777" w:rsidR="00BB0DB9" w:rsidRPr="001601A6" w:rsidRDefault="00000000" w:rsidP="001601A6">
            <w:pPr>
              <w:pStyle w:val="T0-Table"/>
            </w:pPr>
            <w:r w:rsidRPr="001601A6">
              <w:t>Organization role; Article 6 / Annex I / Annex III classification; applicable dates; GPAI and transparency obligations where relevant.</w:t>
            </w:r>
          </w:p>
        </w:tc>
      </w:tr>
      <w:tr w:rsidR="00BB0DB9" w:rsidRPr="001601A6" w14:paraId="4AB7B3FD" w14:textId="77777777">
        <w:tc>
          <w:tcPr>
            <w:tcW w:w="2460" w:type="dxa"/>
            <w:tcBorders>
              <w:top w:val="single" w:sz="4" w:space="0" w:color="B7B7B7"/>
              <w:left w:val="single" w:sz="4" w:space="0" w:color="B7B7B7"/>
              <w:bottom w:val="single" w:sz="4" w:space="0" w:color="B7B7B7"/>
              <w:right w:val="single" w:sz="4" w:space="0" w:color="B7B7B7"/>
            </w:tcBorders>
            <w:shd w:val="clear" w:color="auto" w:fill="FFFFFF"/>
          </w:tcPr>
          <w:p w14:paraId="0FC0B471" w14:textId="77777777" w:rsidR="00BB0DB9" w:rsidRPr="001601A6" w:rsidRDefault="00000000" w:rsidP="001601A6">
            <w:pPr>
              <w:pStyle w:val="T0-Table"/>
            </w:pPr>
            <w:r w:rsidRPr="001601A6">
              <w:t>DORA scope</w:t>
            </w:r>
          </w:p>
        </w:tc>
        <w:tc>
          <w:tcPr>
            <w:tcW w:w="6900" w:type="dxa"/>
            <w:tcBorders>
              <w:top w:val="single" w:sz="4" w:space="0" w:color="B7B7B7"/>
              <w:left w:val="single" w:sz="4" w:space="0" w:color="B7B7B7"/>
              <w:bottom w:val="single" w:sz="4" w:space="0" w:color="B7B7B7"/>
              <w:right w:val="single" w:sz="4" w:space="0" w:color="B7B7B7"/>
            </w:tcBorders>
            <w:shd w:val="clear" w:color="auto" w:fill="FFFFFF"/>
          </w:tcPr>
          <w:p w14:paraId="6ED70A6C" w14:textId="77777777" w:rsidR="00BB0DB9" w:rsidRPr="001601A6" w:rsidRDefault="00000000" w:rsidP="001601A6">
            <w:pPr>
              <w:pStyle w:val="T0-Table"/>
            </w:pPr>
            <w:r w:rsidRPr="001601A6">
              <w:t>Whether DORA applies and whether the entity is TLPT-designated.</w:t>
            </w:r>
          </w:p>
        </w:tc>
      </w:tr>
      <w:tr w:rsidR="00BB0DB9" w:rsidRPr="001601A6" w14:paraId="131986E3" w14:textId="77777777">
        <w:tc>
          <w:tcPr>
            <w:tcW w:w="2460" w:type="dxa"/>
            <w:tcBorders>
              <w:top w:val="single" w:sz="4" w:space="0" w:color="B7B7B7"/>
              <w:left w:val="single" w:sz="4" w:space="0" w:color="B7B7B7"/>
              <w:bottom w:val="single" w:sz="4" w:space="0" w:color="B7B7B7"/>
              <w:right w:val="single" w:sz="4" w:space="0" w:color="B7B7B7"/>
            </w:tcBorders>
            <w:shd w:val="clear" w:color="auto" w:fill="D9E2F3"/>
          </w:tcPr>
          <w:p w14:paraId="0480DA57" w14:textId="77777777" w:rsidR="00BB0DB9" w:rsidRPr="001601A6" w:rsidRDefault="00000000" w:rsidP="001601A6">
            <w:pPr>
              <w:pStyle w:val="T0-Table"/>
            </w:pPr>
            <w:r w:rsidRPr="001601A6">
              <w:t>Gap status</w:t>
            </w:r>
          </w:p>
        </w:tc>
        <w:tc>
          <w:tcPr>
            <w:tcW w:w="6900" w:type="dxa"/>
            <w:tcBorders>
              <w:top w:val="single" w:sz="4" w:space="0" w:color="B7B7B7"/>
              <w:left w:val="single" w:sz="4" w:space="0" w:color="B7B7B7"/>
              <w:bottom w:val="single" w:sz="4" w:space="0" w:color="B7B7B7"/>
              <w:right w:val="single" w:sz="4" w:space="0" w:color="B7B7B7"/>
            </w:tcBorders>
            <w:shd w:val="clear" w:color="auto" w:fill="D9E2F3"/>
          </w:tcPr>
          <w:p w14:paraId="5E44DE85" w14:textId="77777777" w:rsidR="00BB0DB9" w:rsidRPr="001601A6" w:rsidRDefault="00000000" w:rsidP="001601A6">
            <w:pPr>
              <w:pStyle w:val="T0-Table"/>
            </w:pPr>
            <w:r w:rsidRPr="001601A6">
              <w:t xml:space="preserve">Which template candidate conditions </w:t>
            </w:r>
            <w:proofErr w:type="gramStart"/>
            <w:r w:rsidRPr="001601A6">
              <w:t>actually exist</w:t>
            </w:r>
            <w:proofErr w:type="gramEnd"/>
            <w:r w:rsidRPr="001601A6">
              <w:t xml:space="preserve"> locally; owner and target date for each confirmed gap.</w:t>
            </w:r>
          </w:p>
        </w:tc>
      </w:tr>
      <w:tr w:rsidR="00BB0DB9" w:rsidRPr="001601A6" w14:paraId="7F13054A" w14:textId="77777777">
        <w:tc>
          <w:tcPr>
            <w:tcW w:w="2460" w:type="dxa"/>
            <w:tcBorders>
              <w:top w:val="single" w:sz="4" w:space="0" w:color="B7B7B7"/>
              <w:left w:val="single" w:sz="4" w:space="0" w:color="B7B7B7"/>
              <w:bottom w:val="single" w:sz="4" w:space="0" w:color="B7B7B7"/>
              <w:right w:val="single" w:sz="4" w:space="0" w:color="B7B7B7"/>
            </w:tcBorders>
            <w:shd w:val="clear" w:color="auto" w:fill="FFFFFF"/>
          </w:tcPr>
          <w:p w14:paraId="55585B86" w14:textId="77777777" w:rsidR="00BB0DB9" w:rsidRPr="001601A6" w:rsidRDefault="00000000" w:rsidP="001601A6">
            <w:pPr>
              <w:pStyle w:val="T0-Table"/>
            </w:pPr>
            <w:r w:rsidRPr="001601A6">
              <w:t>Evidence retention</w:t>
            </w:r>
          </w:p>
        </w:tc>
        <w:tc>
          <w:tcPr>
            <w:tcW w:w="6900" w:type="dxa"/>
            <w:tcBorders>
              <w:top w:val="single" w:sz="4" w:space="0" w:color="B7B7B7"/>
              <w:left w:val="single" w:sz="4" w:space="0" w:color="B7B7B7"/>
              <w:bottom w:val="single" w:sz="4" w:space="0" w:color="B7B7B7"/>
              <w:right w:val="single" w:sz="4" w:space="0" w:color="B7B7B7"/>
            </w:tcBorders>
            <w:shd w:val="clear" w:color="auto" w:fill="FFFFFF"/>
          </w:tcPr>
          <w:p w14:paraId="39BC1233" w14:textId="77777777" w:rsidR="00BB0DB9" w:rsidRPr="001601A6" w:rsidRDefault="00000000" w:rsidP="001601A6">
            <w:pPr>
              <w:pStyle w:val="T0-Table"/>
            </w:pPr>
            <w:r w:rsidRPr="001601A6">
              <w:t>Deployment-specific legal, evidentiary, operational, privacy, records-management, and litigation-hold basis.</w:t>
            </w:r>
          </w:p>
        </w:tc>
      </w:tr>
      <w:tr w:rsidR="00BB0DB9" w:rsidRPr="001601A6" w14:paraId="7659DCFE" w14:textId="77777777">
        <w:tc>
          <w:tcPr>
            <w:tcW w:w="2460" w:type="dxa"/>
            <w:tcBorders>
              <w:top w:val="single" w:sz="4" w:space="0" w:color="B7B7B7"/>
              <w:left w:val="single" w:sz="4" w:space="0" w:color="B7B7B7"/>
              <w:bottom w:val="single" w:sz="4" w:space="0" w:color="B7B7B7"/>
              <w:right w:val="single" w:sz="4" w:space="0" w:color="B7B7B7"/>
            </w:tcBorders>
            <w:shd w:val="clear" w:color="auto" w:fill="D9E2F3"/>
          </w:tcPr>
          <w:p w14:paraId="17BEF520" w14:textId="77777777" w:rsidR="00BB0DB9" w:rsidRPr="001601A6" w:rsidRDefault="00000000" w:rsidP="001601A6">
            <w:pPr>
              <w:pStyle w:val="T0-Table"/>
            </w:pPr>
            <w:r w:rsidRPr="001601A6">
              <w:t>Operational thresholds</w:t>
            </w:r>
          </w:p>
        </w:tc>
        <w:tc>
          <w:tcPr>
            <w:tcW w:w="6900" w:type="dxa"/>
            <w:tcBorders>
              <w:top w:val="single" w:sz="4" w:space="0" w:color="B7B7B7"/>
              <w:left w:val="single" w:sz="4" w:space="0" w:color="B7B7B7"/>
              <w:bottom w:val="single" w:sz="4" w:space="0" w:color="B7B7B7"/>
              <w:right w:val="single" w:sz="4" w:space="0" w:color="B7B7B7"/>
            </w:tcBorders>
            <w:shd w:val="clear" w:color="auto" w:fill="D9E2F3"/>
          </w:tcPr>
          <w:p w14:paraId="13CE8F3D" w14:textId="77777777" w:rsidR="00BB0DB9" w:rsidRPr="001601A6" w:rsidRDefault="00000000" w:rsidP="001601A6">
            <w:pPr>
              <w:pStyle w:val="T0-Table"/>
            </w:pPr>
            <w:r w:rsidRPr="001601A6">
              <w:t>Deployment-specific verifier-to-enforcement handoff latency budgets, behavioral tolerances, baselines, and other calibrated values.</w:t>
            </w:r>
          </w:p>
        </w:tc>
      </w:tr>
      <w:tr w:rsidR="00BB0DB9" w:rsidRPr="001601A6" w14:paraId="1CA22A69" w14:textId="77777777">
        <w:tc>
          <w:tcPr>
            <w:tcW w:w="2460" w:type="dxa"/>
            <w:tcBorders>
              <w:top w:val="single" w:sz="4" w:space="0" w:color="B7B7B7"/>
              <w:left w:val="single" w:sz="4" w:space="0" w:color="B7B7B7"/>
              <w:bottom w:val="single" w:sz="4" w:space="0" w:color="B7B7B7"/>
              <w:right w:val="single" w:sz="4" w:space="0" w:color="B7B7B7"/>
            </w:tcBorders>
            <w:shd w:val="clear" w:color="auto" w:fill="FFFFFF"/>
          </w:tcPr>
          <w:p w14:paraId="707FE133" w14:textId="77777777" w:rsidR="00BB0DB9" w:rsidRPr="001601A6" w:rsidRDefault="00000000" w:rsidP="001601A6">
            <w:pPr>
              <w:pStyle w:val="T0-Table"/>
            </w:pPr>
            <w:r w:rsidRPr="001601A6">
              <w:t>Safety basis</w:t>
            </w:r>
          </w:p>
        </w:tc>
        <w:tc>
          <w:tcPr>
            <w:tcW w:w="6900" w:type="dxa"/>
            <w:tcBorders>
              <w:top w:val="single" w:sz="4" w:space="0" w:color="B7B7B7"/>
              <w:left w:val="single" w:sz="4" w:space="0" w:color="B7B7B7"/>
              <w:bottom w:val="single" w:sz="4" w:space="0" w:color="B7B7B7"/>
              <w:right w:val="single" w:sz="4" w:space="0" w:color="B7B7B7"/>
            </w:tcBorders>
            <w:shd w:val="clear" w:color="auto" w:fill="FFFFFF"/>
          </w:tcPr>
          <w:p w14:paraId="74EF5524" w14:textId="77777777" w:rsidR="00BB0DB9" w:rsidRPr="001601A6" w:rsidRDefault="00000000" w:rsidP="001601A6">
            <w:pPr>
              <w:pStyle w:val="T0-Table"/>
            </w:pPr>
            <w:r w:rsidRPr="001601A6">
              <w:t>Applicable functional-safety or machine-safety standard, safety functions, required risk reduction, and resulting SIL, PL, or equivalent integrity target.</w:t>
            </w:r>
          </w:p>
        </w:tc>
      </w:tr>
      <w:tr w:rsidR="00BB0DB9" w:rsidRPr="001601A6" w14:paraId="1CFAB978" w14:textId="77777777">
        <w:tc>
          <w:tcPr>
            <w:tcW w:w="2460" w:type="dxa"/>
            <w:tcBorders>
              <w:top w:val="single" w:sz="4" w:space="0" w:color="B7B7B7"/>
              <w:left w:val="single" w:sz="4" w:space="0" w:color="B7B7B7"/>
              <w:bottom w:val="single" w:sz="4" w:space="0" w:color="B7B7B7"/>
              <w:right w:val="single" w:sz="4" w:space="0" w:color="B7B7B7"/>
            </w:tcBorders>
            <w:shd w:val="clear" w:color="auto" w:fill="D9E2F3"/>
          </w:tcPr>
          <w:p w14:paraId="1441BA04" w14:textId="77777777" w:rsidR="00BB0DB9" w:rsidRPr="001601A6" w:rsidRDefault="00000000" w:rsidP="001601A6">
            <w:pPr>
              <w:pStyle w:val="T0-Table"/>
            </w:pPr>
            <w:r w:rsidRPr="001601A6">
              <w:t>Overlay applicability</w:t>
            </w:r>
          </w:p>
        </w:tc>
        <w:tc>
          <w:tcPr>
            <w:tcW w:w="6900" w:type="dxa"/>
            <w:tcBorders>
              <w:top w:val="single" w:sz="4" w:space="0" w:color="B7B7B7"/>
              <w:left w:val="single" w:sz="4" w:space="0" w:color="B7B7B7"/>
              <w:bottom w:val="single" w:sz="4" w:space="0" w:color="B7B7B7"/>
              <w:right w:val="single" w:sz="4" w:space="0" w:color="B7B7B7"/>
            </w:tcBorders>
            <w:shd w:val="clear" w:color="auto" w:fill="D9E2F3"/>
          </w:tcPr>
          <w:p w14:paraId="3889E3F3" w14:textId="77777777" w:rsidR="00BB0DB9" w:rsidRPr="001601A6" w:rsidRDefault="00000000" w:rsidP="001601A6">
            <w:pPr>
              <w:pStyle w:val="T0-Table"/>
            </w:pPr>
            <w:r w:rsidRPr="001601A6">
              <w:t>Whether ISO/IEC 27001, GDPR, SOC 2 TSC, ISO/IEC 23894, and NIST AI 600-1 apply to the intended use.</w:t>
            </w:r>
          </w:p>
        </w:tc>
      </w:tr>
      <w:tr w:rsidR="00BB0DB9" w:rsidRPr="001601A6" w14:paraId="226D6EBA" w14:textId="77777777">
        <w:tc>
          <w:tcPr>
            <w:tcW w:w="2460" w:type="dxa"/>
            <w:tcBorders>
              <w:top w:val="single" w:sz="4" w:space="0" w:color="B7B7B7"/>
              <w:left w:val="single" w:sz="4" w:space="0" w:color="B7B7B7"/>
              <w:bottom w:val="single" w:sz="4" w:space="0" w:color="B7B7B7"/>
              <w:right w:val="single" w:sz="4" w:space="0" w:color="B7B7B7"/>
            </w:tcBorders>
            <w:shd w:val="clear" w:color="auto" w:fill="FFFFFF"/>
          </w:tcPr>
          <w:p w14:paraId="59AA026A" w14:textId="77777777" w:rsidR="00BB0DB9" w:rsidRPr="001601A6" w:rsidRDefault="00000000" w:rsidP="001601A6">
            <w:pPr>
              <w:pStyle w:val="T0-Table"/>
            </w:pPr>
            <w:r w:rsidRPr="001601A6">
              <w:t>Evidence systems of record</w:t>
            </w:r>
          </w:p>
        </w:tc>
        <w:tc>
          <w:tcPr>
            <w:tcW w:w="6900" w:type="dxa"/>
            <w:tcBorders>
              <w:top w:val="single" w:sz="4" w:space="0" w:color="B7B7B7"/>
              <w:left w:val="single" w:sz="4" w:space="0" w:color="B7B7B7"/>
              <w:bottom w:val="single" w:sz="4" w:space="0" w:color="B7B7B7"/>
              <w:right w:val="single" w:sz="4" w:space="0" w:color="B7B7B7"/>
            </w:tcBorders>
            <w:shd w:val="clear" w:color="auto" w:fill="FFFFFF"/>
          </w:tcPr>
          <w:p w14:paraId="6A2B83D5" w14:textId="77777777" w:rsidR="00BB0DB9" w:rsidRPr="001601A6" w:rsidRDefault="00000000" w:rsidP="001601A6">
            <w:pPr>
              <w:pStyle w:val="T0-Table"/>
            </w:pPr>
            <w:r w:rsidRPr="001601A6">
              <w:t>Where logs, approvals, safety evidence, regulatory evidence, and ASCR-12 reporting inputs are retained.</w:t>
            </w:r>
          </w:p>
        </w:tc>
      </w:tr>
    </w:tbl>
    <w:p w14:paraId="5B3DA212" w14:textId="77777777" w:rsidR="00BB0DB9" w:rsidRPr="001601A6" w:rsidRDefault="00BB0DB9" w:rsidP="001601A6">
      <w:pPr>
        <w:pStyle w:val="P0-Paragraph"/>
      </w:pPr>
    </w:p>
    <w:p w14:paraId="667F77D6" w14:textId="77777777" w:rsidR="00BB0DB9" w:rsidRPr="001601A6" w:rsidRDefault="00000000" w:rsidP="001601A6">
      <w:pPr>
        <w:pStyle w:val="P0-Paragraph"/>
        <w:rPr>
          <w:rStyle w:val="CS-Keyword"/>
        </w:rPr>
      </w:pPr>
      <w:proofErr w:type="gramStart"/>
      <w:r w:rsidRPr="001601A6">
        <w:rPr>
          <w:rStyle w:val="CS-Keyword"/>
        </w:rPr>
        <w:t>Specific</w:t>
      </w:r>
      <w:proofErr w:type="gramEnd"/>
      <w:r w:rsidRPr="001601A6">
        <w:rPr>
          <w:rStyle w:val="CS-Keyword"/>
        </w:rPr>
        <w:t xml:space="preserve"> to ASCR-02:</w:t>
      </w:r>
    </w:p>
    <w:p w14:paraId="43252AC7" w14:textId="77777777" w:rsidR="00BB0DB9" w:rsidRPr="001601A6" w:rsidRDefault="00000000" w:rsidP="001601A6">
      <w:pPr>
        <w:pStyle w:val="L1-Bullet"/>
      </w:pPr>
      <w:r w:rsidRPr="001601A6">
        <w:rPr>
          <w:rStyle w:val="CS-Keyword"/>
        </w:rPr>
        <w:t xml:space="preserve">Retention is deployment-specific: </w:t>
      </w:r>
      <w:r w:rsidRPr="001601A6">
        <w:t>ASCR-02 establishes no universal evidence-retention period. Set retention under applicable legal, regulatory, operational, evidentiary, privacy, records-management, and litigation-hold requirements. EU AI Act log-retention obligations depend on the organization's role and the applicable high-risk provisions. Where the EU Revised Product Liability Directive applies, its expiry periods inform legal analysis but do not by themselves establish an ASCR-wide log-retention default.</w:t>
      </w:r>
    </w:p>
    <w:p w14:paraId="03E6EC90" w14:textId="77777777" w:rsidR="00BB0DB9" w:rsidRPr="001601A6" w:rsidRDefault="00000000" w:rsidP="001601A6">
      <w:pPr>
        <w:pStyle w:val="L1-Bullet"/>
      </w:pPr>
      <w:r w:rsidRPr="001601A6">
        <w:rPr>
          <w:rStyle w:val="CS-Keyword"/>
        </w:rPr>
        <w:t xml:space="preserve">Jurisdiction-bound defaults (DORA): </w:t>
      </w:r>
      <w:r w:rsidRPr="001601A6">
        <w:t>The DORA column, the Read Me sheet’s DORA Entity Classification Record, and the DORA rows of the Section 6 consolidated regulatory obligation index (Obligation Index sheet) apply only to EU financial entities within DORA’s scope, and the Art. 26 TLPT rows apply only to entities designated by their competent authority under Art. 26(8). Non-EU or non-financial-sector operators should treat the DORA column as not applicable rather than attempt to substitute an equivalent.</w:t>
      </w:r>
    </w:p>
    <w:p w14:paraId="4D0E02BD" w14:textId="77777777" w:rsidR="00BB0DB9" w:rsidRPr="001601A6" w:rsidRDefault="00000000" w:rsidP="001601A6">
      <w:pPr>
        <w:pStyle w:val="L1-Bullet"/>
      </w:pPr>
      <w:r w:rsidRPr="001601A6">
        <w:rPr>
          <w:rStyle w:val="CS-Keyword"/>
        </w:rPr>
        <w:t xml:space="preserve">Jurisdiction-bound defaults (NIS2): </w:t>
      </w:r>
      <w:r w:rsidRPr="001601A6">
        <w:t>NIS2 obligations (Section 1.1 Note, and every NIS2 column entry) vary materially by EU member-state transposition; verify the applicable national transposition for each operational jurisdiction before relying on the EU-level article citations used throughout this matrix.</w:t>
      </w:r>
    </w:p>
    <w:p w14:paraId="2D8BEFDE" w14:textId="77777777" w:rsidR="00BB0DB9" w:rsidRPr="001601A6" w:rsidRDefault="00000000" w:rsidP="001601A6">
      <w:pPr>
        <w:pStyle w:val="L1-Bullet"/>
      </w:pPr>
      <w:r w:rsidRPr="001601A6">
        <w:rPr>
          <w:rStyle w:val="CS-Keyword"/>
        </w:rPr>
        <w:t xml:space="preserve">Enforceability-dependent mechanisms (RPLD evidence disclosure): </w:t>
      </w:r>
      <w:r w:rsidRPr="001601A6">
        <w:t>The RPLD mapping in the Master Crosswalk and Obligation Index reflects the Directive's court-process disclosure and evidentiary mechanisms. Article 9 is not an automatic hand-over duty. Disclosure is governed through the applicable national court process and is subject to the Directive's conditions, necessity and proportionality requirements, and safeguards for confidential information and trade secrets. If the governing law provides no comparable mechanism, the evidence-custody practice may still be useful, but the legal consequence does not transfer automatically.</w:t>
      </w:r>
    </w:p>
    <w:p w14:paraId="6C7DDE01" w14:textId="77777777" w:rsidR="00BB0DB9" w:rsidRPr="001601A6" w:rsidRDefault="00000000" w:rsidP="001601A6">
      <w:pPr>
        <w:pStyle w:val="L1-Bullet"/>
      </w:pPr>
      <w:r w:rsidRPr="001601A6">
        <w:rPr>
          <w:rStyle w:val="CS-Keyword"/>
        </w:rPr>
        <w:t xml:space="preserve">Enforceability-dependent mechanisms (ASCR-11 liability allocation): </w:t>
      </w:r>
      <w:r w:rsidRPr="001601A6">
        <w:t>The ASCR-11 Section 11.7 liability-allocation rows (RPLD Arts. 8 and 12) presuppose the RPLD’s economic-operator liability chain; under a different governing law, re-derive the allocation from that law’s operator-liability rules. The document proposes no other fallback for this mechanism.</w:t>
      </w:r>
    </w:p>
    <w:p w14:paraId="33BABBB5" w14:textId="77777777" w:rsidR="00BB0DB9" w:rsidRPr="001601A6" w:rsidRDefault="00000000" w:rsidP="001601A6">
      <w:pPr>
        <w:pStyle w:val="L1-Bullet"/>
      </w:pPr>
      <w:r w:rsidRPr="001601A6">
        <w:rPr>
          <w:rStyle w:val="CS-Keyword"/>
        </w:rPr>
        <w:t xml:space="preserve">Citation-currency risk: </w:t>
      </w:r>
      <w:r w:rsidRPr="001601A6">
        <w:t>The regulatory currency point for this release is 28 September 2026. Regulatory and standards citations identified in this artifact require re-verification against the authoritative text in force at the time of operational use. Regulation (EU) 2026/1744 changed EU AI Act application dates after the canonical June 2026 version label. Before operational reliance, re-verify any post-version amendment, national transposition, competent-authority designation, or superseding standard. NIS2 national transposition and DORA entity/TLPT scope remain deployment-specific determinations.</w:t>
      </w:r>
    </w:p>
    <w:p w14:paraId="1DBFE599" w14:textId="77777777" w:rsidR="00BB0DB9" w:rsidRPr="001601A6" w:rsidRDefault="00000000" w:rsidP="001601A6">
      <w:pPr>
        <w:pStyle w:val="L1-Bullet"/>
      </w:pPr>
      <w:r w:rsidRPr="001601A6">
        <w:rPr>
          <w:rStyle w:val="CS-Keyword"/>
        </w:rPr>
        <w:t xml:space="preserve">Unresolved or externally-defined cross-references: </w:t>
      </w:r>
      <w:r w:rsidRPr="001601A6">
        <w:t xml:space="preserve">The following are named in this document but defined elsewhere in the ASCR series or the book, and are not resolvable from this document alone: ASCR-03 Sections 4.3, 6, and 7; ASCR-08 Section 3; ASCR-09 TVA-01 through TVA-05; ASCR-10 Section 2.5 and ASCR-10-OE01 Classification Matrix; ASCR-11 Sections 11.1-11.12, Schedules A-D where cited, and SLO 8; the ASCR-12 quarterly scorecard; Chapter 2 (framework gap analysis); Chapter 10 ("ASCR deployment and jurisdictional scope statement"); and the Preface ("A Note on Framework and Regulatory Currency"). MITRE ATLAS is named in Section 1.1 as an example only </w:t>
      </w:r>
      <w:r w:rsidRPr="001601A6">
        <w:lastRenderedPageBreak/>
        <w:t>and is not mapped. Confirm each reference against the corresponding instrument before operational reliance; do not infer its content from this document.</w:t>
      </w:r>
    </w:p>
    <w:p w14:paraId="65D7E610" w14:textId="77777777" w:rsidR="00BB0DB9" w:rsidRPr="001601A6" w:rsidRDefault="00000000" w:rsidP="001601A6">
      <w:pPr>
        <w:pStyle w:val="L1-Bullet"/>
      </w:pPr>
      <w:r w:rsidRPr="001601A6">
        <w:rPr>
          <w:rStyle w:val="CS-Keyword"/>
        </w:rPr>
        <w:t xml:space="preserve">Industry/sector calibration: </w:t>
      </w:r>
      <w:r w:rsidRPr="001601A6">
        <w:t xml:space="preserve">The ASCR-10 shadow-mode minimum cycle counts (100 / 200 / 500 cycles, as applicable to the classified change; see ASCR-10 Section 2.5 and ASCR-10-OE01 Classification Matrix), verifier-to-enforcement handoff latency budget, Safe-State / HARD_BLOCK and SOFT_ALERT thresholds, and any dwell-time or retention parameters are deployment-specific values. Calibrate or derive them from the system's planning-cycle frequency, operational envelope, safety basis, threat model, and applicable legal and </w:t>
      </w:r>
      <w:proofErr w:type="gramStart"/>
      <w:r w:rsidRPr="001601A6">
        <w:t>records</w:t>
      </w:r>
      <w:proofErr w:type="gramEnd"/>
      <w:r w:rsidRPr="001601A6">
        <w:t>-management requirements; do not treat template values as universal compliance baselines.</w:t>
      </w:r>
    </w:p>
    <w:p w14:paraId="26A1D898" w14:textId="77777777" w:rsidR="00BB0DB9" w:rsidRPr="001601A6" w:rsidRDefault="00000000" w:rsidP="001601A6">
      <w:pPr>
        <w:pStyle w:val="HS-Heading2"/>
      </w:pPr>
      <w:bookmarkStart w:id="1" w:name="_heading=h.icrpt1ku4yey" w:colFirst="0" w:colLast="0"/>
      <w:bookmarkEnd w:id="1"/>
      <w:r w:rsidRPr="001601A6">
        <w:t>Artifact structure and usage</w:t>
      </w:r>
    </w:p>
    <w:p w14:paraId="29FEFE76" w14:textId="77777777" w:rsidR="00BB0DB9" w:rsidRPr="001601A6" w:rsidRDefault="00000000" w:rsidP="001601A6">
      <w:pPr>
        <w:pStyle w:val="P0-Paragraph"/>
      </w:pPr>
      <w:r w:rsidRPr="001601A6">
        <w:t xml:space="preserve">ASCR-02-OE01-Control-to-Obligation-Traceability-Matrix.xlsx is the operational form of this artifact. It contains the complete crosswalk matrix in a filterable, sortable spreadsheet structured for direct use in audit preparation, board reporting, and regulatory inquiry responses. It does not replace this document; it </w:t>
      </w:r>
      <w:proofErr w:type="gramStart"/>
      <w:r w:rsidRPr="001601A6">
        <w:t>operationalizes</w:t>
      </w:r>
      <w:proofErr w:type="gramEnd"/>
      <w:r w:rsidRPr="001601A6">
        <w:t xml:space="preserve"> it.</w:t>
      </w:r>
    </w:p>
    <w:p w14:paraId="3674B408" w14:textId="77777777" w:rsidR="00BB0DB9" w:rsidRPr="001601A6" w:rsidRDefault="00000000" w:rsidP="001601A6">
      <w:pPr>
        <w:pStyle w:val="P0-Paragraph"/>
      </w:pPr>
      <w:r w:rsidRPr="001601A6">
        <w:t>The workbook contains six operational data sheets and opens on a Read Me sheet:</w:t>
      </w:r>
    </w:p>
    <w:p w14:paraId="362B7577" w14:textId="77777777" w:rsidR="00BB0DB9" w:rsidRPr="001601A6" w:rsidRDefault="00000000" w:rsidP="001601A6">
      <w:pPr>
        <w:pStyle w:val="L1-Bullet"/>
      </w:pPr>
      <w:r w:rsidRPr="001601A6">
        <w:rPr>
          <w:rStyle w:val="CS-Keyword"/>
        </w:rPr>
        <w:t xml:space="preserve">Applicability &amp; </w:t>
      </w:r>
      <w:proofErr w:type="gramStart"/>
      <w:r w:rsidRPr="001601A6">
        <w:rPr>
          <w:rStyle w:val="CS-Keyword"/>
        </w:rPr>
        <w:t>Localization</w:t>
      </w:r>
      <w:r w:rsidRPr="001601A6">
        <w:t>:</w:t>
      </w:r>
      <w:proofErr w:type="gramEnd"/>
      <w:r w:rsidRPr="001601A6">
        <w:t xml:space="preserve"> </w:t>
      </w:r>
      <w:proofErr w:type="gramStart"/>
      <w:r w:rsidRPr="001601A6">
        <w:t>records</w:t>
      </w:r>
      <w:proofErr w:type="gramEnd"/>
      <w:r w:rsidRPr="001601A6">
        <w:t xml:space="preserve"> the deployment-specific jurisdiction, organizational role, applicability status, local provision or transposition reference, rationale, evidence owner, external dependency, approval, and review state used to localize the generic crosswalk before operational reliance.</w:t>
      </w:r>
    </w:p>
    <w:p w14:paraId="3C4638E9" w14:textId="77777777" w:rsidR="00BB0DB9" w:rsidRPr="001601A6" w:rsidRDefault="00000000" w:rsidP="001601A6">
      <w:pPr>
        <w:pStyle w:val="L1-Bullet"/>
      </w:pPr>
      <w:r w:rsidRPr="001601A6">
        <w:rPr>
          <w:rStyle w:val="CS-Keyword"/>
        </w:rPr>
        <w:t>Master Crosswalk</w:t>
      </w:r>
      <w:r w:rsidRPr="001601A6">
        <w:t xml:space="preserve">: contains each mapped ASCR control row and its regulatory or standards references, plus mirror working fields for locally confirmed gaps. Mapping ID is the stable row key shared with the overlays, Gap Tracker, and Obligation Index. Filter by Pillar or ASCR Artifact for artifact-first review. A </w:t>
      </w:r>
      <w:r w:rsidRPr="001601A6">
        <w:rPr>
          <w:rFonts w:ascii="Segoe UI Symbol" w:hAnsi="Segoe UI Symbol" w:cs="Segoe UI Symbol"/>
        </w:rPr>
        <w:t>⚠</w:t>
      </w:r>
      <w:r w:rsidRPr="001601A6">
        <w:t xml:space="preserve"> is a candidate condition that requires local confirmation; it is not automatically an open gap.</w:t>
      </w:r>
    </w:p>
    <w:p w14:paraId="6D0224F3" w14:textId="77777777" w:rsidR="00BB0DB9" w:rsidRPr="001601A6" w:rsidRDefault="00000000" w:rsidP="001601A6">
      <w:pPr>
        <w:pStyle w:val="L1-Bullet"/>
      </w:pPr>
      <w:r w:rsidRPr="001601A6">
        <w:rPr>
          <w:rStyle w:val="CS-Keyword"/>
        </w:rPr>
        <w:t>Gap Tracker</w:t>
      </w:r>
      <w:r w:rsidRPr="001601A6">
        <w:t xml:space="preserve">: contains candidate procedural and organizational gap examples derived from </w:t>
      </w:r>
      <w:r w:rsidRPr="001601A6">
        <w:rPr>
          <w:rFonts w:ascii="Segoe UI Symbol" w:hAnsi="Segoe UI Symbol" w:cs="Segoe UI Symbol"/>
        </w:rPr>
        <w:t>⚠</w:t>
      </w:r>
      <w:r w:rsidRPr="001601A6">
        <w:t xml:space="preserve"> rows. The examples are not deployment findings. Confirm each condition locally before opening a gap. Mapping ID links each row to its authoritative Master Crosswalk row. Once confirmed, the Gap Tracker is the system of record for owner, target date, remediation notes, and status; the Master Crosswalk mirrors that information and ASCR-12 consumes confirmed gap status for quarterly reporting.</w:t>
      </w:r>
    </w:p>
    <w:p w14:paraId="0650641C" w14:textId="77777777" w:rsidR="00BB0DB9" w:rsidRPr="001601A6" w:rsidRDefault="00000000" w:rsidP="001601A6">
      <w:pPr>
        <w:pStyle w:val="L1-Bullet"/>
      </w:pPr>
      <w:r w:rsidRPr="001601A6">
        <w:rPr>
          <w:rStyle w:val="CS-Keyword"/>
        </w:rPr>
        <w:t>Obligation Index</w:t>
      </w:r>
      <w:r w:rsidRPr="001601A6">
        <w:t>: curated reverse lookup validated against the Master Crosswalk. Use it when starting from a regulatory or standards provision and needing to identify the Primary and Supporting ASCR artifacts selected for that provision. Mapping ID(s) identify the exact Master Crosswalk rows supporting the reverse lookup. Primary and Supporting classifications are maintained explicitly in the Obligation Index rather than inferred from Master Crosswalk row order.</w:t>
      </w:r>
    </w:p>
    <w:p w14:paraId="551D33F4" w14:textId="77777777" w:rsidR="00BB0DB9" w:rsidRPr="001601A6" w:rsidRDefault="00000000" w:rsidP="001601A6">
      <w:pPr>
        <w:pStyle w:val="L1-Bullet"/>
      </w:pPr>
      <w:r w:rsidRPr="001601A6">
        <w:rPr>
          <w:rStyle w:val="CS-Keyword"/>
        </w:rPr>
        <w:t>Enterprise &amp; Assurance Overlay</w:t>
      </w:r>
      <w:r w:rsidRPr="001601A6">
        <w:t>: maps the same ASCR control and evidence rows used by the Master Crosswalk to ISO/IEC 27001:2022/</w:t>
      </w:r>
      <w:proofErr w:type="spellStart"/>
      <w:r w:rsidRPr="001601A6">
        <w:t>Amd</w:t>
      </w:r>
      <w:proofErr w:type="spellEnd"/>
      <w:r w:rsidRPr="001601A6">
        <w:t xml:space="preserve"> 1:2024, applicable GDPR requirements, the AICPA Trust Services Criteria used in SOC 2 engagements, and ISO/IEC 23894:2023. Mapping ID preserves row identity with the Master Crosswalk. Use this sheet when integrating ASCR controls into an existing ISMS, privacy program, assurance scope, or AI risk-management process. Mappings identify evidence-reuse and control-alignment opportunities; they do not establish certification, legal compliance, or an auditor conclusion.</w:t>
      </w:r>
    </w:p>
    <w:p w14:paraId="5C5EF0CE" w14:textId="77777777" w:rsidR="00BB0DB9" w:rsidRPr="001601A6" w:rsidRDefault="00000000" w:rsidP="001601A6">
      <w:pPr>
        <w:pStyle w:val="P0-Paragraph"/>
      </w:pPr>
      <w:r w:rsidRPr="001601A6">
        <w:lastRenderedPageBreak/>
        <w:t>NIST AI 600-1 GenAI Overlay (full sheet title: NIST AI 600-1 GenAI Profile Overlay): maintains a row-for-row practitioner view of the Master Crosswalk with NIST AI 600-1 Action IDs, source-derived official NIST-associated GAI risk labels and AI Actor Tasks, and a separate ASCR lifecycle/applicability interpretation. Use this sheet when the deployed agentic system includes generative-AI capabilities and the practitioner needs GenAI-specific depth beyond the general NIST AI RMF 1.0 mapping. A populated row identifies candidate GenAI-specific context for review; it does not mean every listed risk, action, or actor task is material to every deployment.</w:t>
      </w:r>
    </w:p>
    <w:p w14:paraId="4148EE85" w14:textId="77777777" w:rsidR="00BB0DB9" w:rsidRPr="001601A6" w:rsidRDefault="00000000" w:rsidP="001601A6">
      <w:pPr>
        <w:pStyle w:val="P0-Paragraph"/>
        <w:rPr>
          <w:sz w:val="22"/>
          <w:szCs w:val="22"/>
        </w:rPr>
      </w:pPr>
      <w:r w:rsidRPr="001601A6">
        <w:t>The workbook opens on a Read Me sheet defining core-versus-overlay precedence, mapping conventions, applicability gates, update cadence, jurisdiction-specific warnings, customization requirements, and the DORA Entity Classification Record. The Entity Classification Record must be completed before the workbook is used for any DORA regulatory reporting purpose. DORA applies to in-scope EU financial entities; the Art. 26 TLPT requirement applies only to entities designated by their competent authority under DORA Art. 26(8).</w:t>
      </w:r>
    </w:p>
    <w:p w14:paraId="7F62392D" w14:textId="53122DB2" w:rsidR="00BB0DB9" w:rsidRPr="001601A6" w:rsidRDefault="00000000" w:rsidP="001601A6">
      <w:pPr>
        <w:pStyle w:val="P0-Paragraph"/>
      </w:pPr>
      <w:r w:rsidRPr="001601A6">
        <w:t xml:space="preserve">The workbook is normative for row-level control-to-obligation </w:t>
      </w:r>
      <w:proofErr w:type="gramStart"/>
      <w:r w:rsidRPr="001601A6">
        <w:t>mappings</w:t>
      </w:r>
      <w:proofErr w:type="gramEnd"/>
      <w:r w:rsidRPr="001601A6">
        <w:t>; this document is normative for definitions, applicability gates, procedures, and update governance. The two files version in lockstep and both carry the canonical version string Version 1.0 — June 2026. The workbook Read Me sheet records scope, precedence, version, and change control.</w:t>
      </w:r>
    </w:p>
    <w:p w14:paraId="76385ECB" w14:textId="77777777" w:rsidR="00BB0DB9" w:rsidRPr="001601A6" w:rsidRDefault="00000000" w:rsidP="001601A6">
      <w:pPr>
        <w:pStyle w:val="HS-Heading1"/>
      </w:pPr>
      <w:r w:rsidRPr="001601A6">
        <w:rPr>
          <w:rFonts w:eastAsia="Arial"/>
        </w:rPr>
        <w:t>Section 1 — Regulatory framework reference</w:t>
      </w:r>
    </w:p>
    <w:p w14:paraId="6B997DDE" w14:textId="77777777" w:rsidR="00BB0DB9" w:rsidRPr="001601A6" w:rsidRDefault="00000000" w:rsidP="001601A6">
      <w:pPr>
        <w:pStyle w:val="HS-Heading2"/>
      </w:pPr>
      <w:r w:rsidRPr="001601A6">
        <w:rPr>
          <w:rFonts w:eastAsia="Arial"/>
        </w:rPr>
        <w:t>1.1 Frameworks covered</w:t>
      </w:r>
    </w:p>
    <w:p w14:paraId="13E140D8" w14:textId="08BF4E99" w:rsidR="00BB0DB9" w:rsidRPr="001601A6" w:rsidRDefault="00000000" w:rsidP="001601A6">
      <w:pPr>
        <w:pStyle w:val="P0-Paragraph"/>
      </w:pPr>
      <w:r w:rsidRPr="001601A6">
        <w:t>The canonical artifact version remains Version 1.0 — June 2026. The regulatory currency point for this release is 28 September 2026. This release reflects legal applicability changes in force through that date, including Regulation (EU) 2026/1744. Living documents and amended frameworks must be re-verified before operational reliance. Where multiple jurisdictions impose conflicting obligations, document precedence rules, data-residency constraints, retention conflicts, and incident-notification sequencing before relying on any single crosswalk interpretation. Table 1.2 lists the frameworks and standards in scope. NIST SP 800-53 mappings in this version use Rev. 5, Release 5.2.0 as the control-catalog baseline</w:t>
      </w:r>
      <w:r w:rsidR="001601A6">
        <w: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5"/>
        <w:gridCol w:w="1440"/>
        <w:gridCol w:w="4220"/>
        <w:gridCol w:w="2355"/>
      </w:tblGrid>
      <w:tr w:rsidR="00BB0DB9" w:rsidRPr="001601A6" w14:paraId="6489B46A" w14:textId="77777777" w:rsidTr="001601A6">
        <w:trPr>
          <w:tblHeader/>
        </w:trPr>
        <w:tc>
          <w:tcPr>
            <w:tcW w:w="134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815E28" w14:textId="77777777" w:rsidR="00BB0DB9" w:rsidRPr="001601A6" w:rsidRDefault="00000000" w:rsidP="001601A6">
            <w:pPr>
              <w:pStyle w:val="P0-Paragraph"/>
              <w:rPr>
                <w:rStyle w:val="CS-Keyword"/>
              </w:rPr>
            </w:pPr>
            <w:r w:rsidRPr="001601A6">
              <w:rPr>
                <w:rStyle w:val="CS-Keyword"/>
              </w:rPr>
              <w:t>Framework</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060D81" w14:textId="77777777" w:rsidR="00BB0DB9" w:rsidRPr="001601A6" w:rsidRDefault="00000000" w:rsidP="001601A6">
            <w:pPr>
              <w:pStyle w:val="P0-Paragraph"/>
              <w:rPr>
                <w:rStyle w:val="CS-Keyword"/>
              </w:rPr>
            </w:pPr>
            <w:r w:rsidRPr="001601A6">
              <w:rPr>
                <w:rStyle w:val="CS-Keyword"/>
              </w:rPr>
              <w:t>Abbreviation</w:t>
            </w:r>
          </w:p>
        </w:tc>
        <w:tc>
          <w:tcPr>
            <w:tcW w:w="4220" w:type="dxa"/>
            <w:tcBorders>
              <w:top w:val="single" w:sz="4" w:space="0" w:color="AAAAAA"/>
              <w:left w:val="single" w:sz="4" w:space="0" w:color="AAAAAA"/>
              <w:bottom w:val="single" w:sz="4" w:space="0" w:color="AAAAAA"/>
              <w:right w:val="single" w:sz="4" w:space="0" w:color="auto"/>
            </w:tcBorders>
            <w:shd w:val="clear" w:color="auto" w:fill="1F3864"/>
            <w:tcMar>
              <w:top w:w="80" w:type="dxa"/>
              <w:left w:w="120" w:type="dxa"/>
              <w:bottom w:w="80" w:type="dxa"/>
              <w:right w:w="120" w:type="dxa"/>
            </w:tcMar>
          </w:tcPr>
          <w:p w14:paraId="6440FA0F" w14:textId="77777777" w:rsidR="00BB0DB9" w:rsidRPr="001601A6" w:rsidRDefault="00000000" w:rsidP="001601A6">
            <w:pPr>
              <w:pStyle w:val="P0-Paragraph"/>
              <w:rPr>
                <w:rStyle w:val="CS-Keyword"/>
              </w:rPr>
            </w:pPr>
            <w:r w:rsidRPr="001601A6">
              <w:rPr>
                <w:rStyle w:val="CS-Keyword"/>
              </w:rPr>
              <w:t>Operative Version / Status</w:t>
            </w:r>
          </w:p>
        </w:tc>
        <w:tc>
          <w:tcPr>
            <w:tcW w:w="2355" w:type="dxa"/>
            <w:tcBorders>
              <w:top w:val="single" w:sz="4" w:space="0" w:color="auto"/>
              <w:left w:val="single" w:sz="4" w:space="0" w:color="auto"/>
              <w:bottom w:val="single" w:sz="4" w:space="0" w:color="auto"/>
              <w:right w:val="single" w:sz="4" w:space="0" w:color="auto"/>
            </w:tcBorders>
            <w:shd w:val="clear" w:color="auto" w:fill="1F3864"/>
            <w:tcMar>
              <w:top w:w="80" w:type="dxa"/>
              <w:left w:w="120" w:type="dxa"/>
              <w:bottom w:w="80" w:type="dxa"/>
              <w:right w:w="120" w:type="dxa"/>
            </w:tcMar>
          </w:tcPr>
          <w:p w14:paraId="2BC5F661" w14:textId="77777777" w:rsidR="00BB0DB9" w:rsidRPr="001601A6" w:rsidRDefault="00000000" w:rsidP="001601A6">
            <w:pPr>
              <w:pStyle w:val="P0-Paragraph"/>
              <w:jc w:val="left"/>
              <w:rPr>
                <w:rStyle w:val="CS-Keyword"/>
              </w:rPr>
            </w:pPr>
            <w:r w:rsidRPr="001601A6">
              <w:rPr>
                <w:rStyle w:val="CS-Keyword"/>
              </w:rPr>
              <w:t>Primary Obligation Domain</w:t>
            </w:r>
          </w:p>
        </w:tc>
      </w:tr>
      <w:tr w:rsidR="00BB0DB9" w:rsidRPr="001601A6" w14:paraId="1EC43956"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B23CC" w14:textId="77777777" w:rsidR="00BB0DB9" w:rsidRPr="001601A6" w:rsidRDefault="00000000" w:rsidP="004D01AC">
            <w:pPr>
              <w:pStyle w:val="P0-Paragraph"/>
              <w:jc w:val="left"/>
            </w:pPr>
            <w:r w:rsidRPr="001601A6">
              <w:rPr>
                <w:rFonts w:eastAsia="Arial"/>
              </w:rPr>
              <w:t>EU Artificial Intelligence Act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F9020F" w14:textId="77777777" w:rsidR="00BB0DB9" w:rsidRPr="001601A6" w:rsidRDefault="00000000" w:rsidP="004D01AC">
            <w:pPr>
              <w:pStyle w:val="P0-Paragraph"/>
              <w:jc w:val="left"/>
            </w:pPr>
            <w:r w:rsidRPr="001601A6">
              <w:rPr>
                <w:rFonts w:eastAsia="Arial"/>
              </w:rPr>
              <w:t>EU AI Act</w:t>
            </w:r>
          </w:p>
        </w:tc>
        <w:tc>
          <w:tcPr>
            <w:tcW w:w="42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0AEB9" w14:textId="77777777" w:rsidR="00BB0DB9" w:rsidRPr="001601A6" w:rsidRDefault="00000000" w:rsidP="004D01AC">
            <w:pPr>
              <w:pStyle w:val="P0-Paragraph"/>
              <w:jc w:val="left"/>
            </w:pPr>
            <w:r w:rsidRPr="001601A6">
              <w:t>In force; phased application. Chapters I and II, including Article 4 AI-literacy obligations as amended by Regulation (EU) 2026/1744, apply from 2 Feb 2025, except Article 5(</w:t>
            </w:r>
            <w:proofErr w:type="gramStart"/>
            <w:r w:rsidRPr="001601A6">
              <w:t>1)(</w:t>
            </w:r>
            <w:proofErr w:type="spellStart"/>
            <w:proofErr w:type="gramEnd"/>
            <w:r w:rsidRPr="001601A6">
              <w:t>ba</w:t>
            </w:r>
            <w:proofErr w:type="spellEnd"/>
            <w:r w:rsidRPr="001601A6">
              <w:t>)</w:t>
            </w:r>
            <w:proofErr w:type="gramStart"/>
            <w:r w:rsidRPr="001601A6">
              <w:t>-(bb) and Article 5</w:t>
            </w:r>
            <w:proofErr w:type="gramEnd"/>
            <w:r w:rsidRPr="001601A6">
              <w:t>(1</w:t>
            </w:r>
            <w:proofErr w:type="gramStart"/>
            <w:r w:rsidRPr="001601A6">
              <w:t>a)-(</w:t>
            </w:r>
            <w:proofErr w:type="gramEnd"/>
            <w:r w:rsidRPr="001601A6">
              <w:t xml:space="preserve">1b), which apply from 2 Dec 2026. Article 50 transparency applies from 2 Aug 2026; providers of covered systems placed on the market before 2 Aug 2026 must comply with Article 50(2) by 2 Dec 2026. Chapter III Sections 1-3 apply from 2 Dec 2027 for Article 6(2)/Annex III systems </w:t>
            </w:r>
            <w:r w:rsidRPr="001601A6">
              <w:lastRenderedPageBreak/>
              <w:t>and from 2 Aug 2028 for Article 6(1)/Annex I systems under Regulation (EU) 2026/1744.</w:t>
            </w:r>
          </w:p>
        </w:tc>
        <w:tc>
          <w:tcPr>
            <w:tcW w:w="2355"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CBCEAA" w14:textId="77777777" w:rsidR="00BB0DB9" w:rsidRPr="001601A6" w:rsidRDefault="00000000" w:rsidP="004D01AC">
            <w:pPr>
              <w:pStyle w:val="P0-Paragraph"/>
              <w:jc w:val="left"/>
            </w:pPr>
            <w:r w:rsidRPr="001601A6">
              <w:rPr>
                <w:rFonts w:eastAsia="Arial"/>
              </w:rPr>
              <w:lastRenderedPageBreak/>
              <w:t>Risk management, transparency, human oversight, logging, incident reporting</w:t>
            </w:r>
          </w:p>
        </w:tc>
      </w:tr>
      <w:tr w:rsidR="00BB0DB9" w:rsidRPr="001601A6" w14:paraId="6A63B600"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8D84918" w14:textId="77777777" w:rsidR="00BB0DB9" w:rsidRPr="001601A6" w:rsidRDefault="00000000" w:rsidP="004D01AC">
            <w:pPr>
              <w:pStyle w:val="P0-Paragraph"/>
              <w:jc w:val="left"/>
            </w:pPr>
            <w:r w:rsidRPr="001601A6">
              <w:rPr>
                <w:rFonts w:eastAsia="Arial"/>
              </w:rPr>
              <w:t>EU Revised Product Liability Directive</w:t>
            </w:r>
          </w:p>
        </w:tc>
        <w:tc>
          <w:tcPr>
            <w:tcW w:w="14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C79080B" w14:textId="77777777" w:rsidR="00BB0DB9" w:rsidRPr="001601A6" w:rsidRDefault="00000000" w:rsidP="004D01AC">
            <w:pPr>
              <w:pStyle w:val="P0-Paragraph"/>
              <w:jc w:val="left"/>
            </w:pPr>
            <w:r w:rsidRPr="001601A6">
              <w:rPr>
                <w:rFonts w:eastAsia="Arial"/>
              </w:rPr>
              <w:t>RPLD</w:t>
            </w:r>
          </w:p>
        </w:tc>
        <w:tc>
          <w:tcPr>
            <w:tcW w:w="4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A365E2B" w14:textId="77777777" w:rsidR="00BB0DB9" w:rsidRPr="001601A6" w:rsidRDefault="00000000" w:rsidP="004D01AC">
            <w:pPr>
              <w:pStyle w:val="P0-Paragraph"/>
              <w:jc w:val="left"/>
            </w:pPr>
            <w:r w:rsidRPr="001601A6">
              <w:t>In force at EU level; Member State transposition required by 9 Dec 2026. Applies to products placed on the market or put into service after 8 Dec 2026; Directive 85/374/EEC continues to govern earlier products. The May 2026 corrigendum corrected the application wording to products placed on the market or put into service after 8 Dec 2026.</w:t>
            </w:r>
          </w:p>
        </w:tc>
        <w:tc>
          <w:tcPr>
            <w:tcW w:w="235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2C77F18" w14:textId="77777777" w:rsidR="00BB0DB9" w:rsidRPr="001601A6" w:rsidRDefault="00000000" w:rsidP="004D01AC">
            <w:pPr>
              <w:pStyle w:val="P0-Paragraph"/>
              <w:jc w:val="left"/>
            </w:pPr>
            <w:r w:rsidRPr="001601A6">
              <w:rPr>
                <w:rFonts w:eastAsia="Arial"/>
              </w:rPr>
              <w:t>Product defect liability, burden of proof, evidence disclosure</w:t>
            </w:r>
          </w:p>
        </w:tc>
      </w:tr>
      <w:tr w:rsidR="00BB0DB9" w:rsidRPr="001601A6" w14:paraId="688B98E1"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A08A0" w14:textId="77777777" w:rsidR="00BB0DB9" w:rsidRPr="001601A6" w:rsidRDefault="00000000" w:rsidP="004D01AC">
            <w:pPr>
              <w:pStyle w:val="P0-Paragraph"/>
              <w:jc w:val="left"/>
            </w:pPr>
            <w:r w:rsidRPr="001601A6">
              <w:rPr>
                <w:rFonts w:eastAsia="Arial"/>
              </w:rPr>
              <w:t>NIS2 Directive</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39A7CF" w14:textId="77777777" w:rsidR="00BB0DB9" w:rsidRPr="001601A6" w:rsidRDefault="00000000" w:rsidP="004D01AC">
            <w:pPr>
              <w:pStyle w:val="P0-Paragraph"/>
              <w:jc w:val="left"/>
            </w:pPr>
            <w:r w:rsidRPr="001601A6">
              <w:rPr>
                <w:rFonts w:eastAsia="Arial"/>
              </w:rPr>
              <w:t>NIS2</w:t>
            </w:r>
          </w:p>
        </w:tc>
        <w:tc>
          <w:tcPr>
            <w:tcW w:w="42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E78731" w14:textId="77777777" w:rsidR="00BB0DB9" w:rsidRPr="001601A6" w:rsidRDefault="00000000" w:rsidP="004D01AC">
            <w:pPr>
              <w:pStyle w:val="P0-Paragraph"/>
              <w:jc w:val="left"/>
            </w:pPr>
            <w:r w:rsidRPr="001601A6">
              <w:rPr>
                <w:rFonts w:eastAsia="Arial"/>
              </w:rPr>
              <w:t>In force — national transposition required</w:t>
            </w:r>
          </w:p>
        </w:tc>
        <w:tc>
          <w:tcPr>
            <w:tcW w:w="2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3A3839" w14:textId="77777777" w:rsidR="00BB0DB9" w:rsidRPr="001601A6" w:rsidRDefault="00000000" w:rsidP="004D01AC">
            <w:pPr>
              <w:pStyle w:val="P0-Paragraph"/>
              <w:jc w:val="left"/>
            </w:pPr>
            <w:r w:rsidRPr="001601A6">
              <w:rPr>
                <w:rFonts w:eastAsia="Arial"/>
              </w:rPr>
              <w:t>Essential entity cybersecurity obligations, incident notification</w:t>
            </w:r>
          </w:p>
        </w:tc>
      </w:tr>
      <w:tr w:rsidR="00BB0DB9" w:rsidRPr="001601A6" w14:paraId="5A33EB26"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E74D617" w14:textId="77777777" w:rsidR="00BB0DB9" w:rsidRPr="001601A6" w:rsidRDefault="00000000" w:rsidP="004D01AC">
            <w:pPr>
              <w:pStyle w:val="P0-Paragraph"/>
              <w:jc w:val="left"/>
            </w:pPr>
            <w:r w:rsidRPr="001601A6">
              <w:rPr>
                <w:rFonts w:eastAsia="Arial"/>
              </w:rPr>
              <w:t>Digital Operational Resilience Act</w:t>
            </w:r>
          </w:p>
        </w:tc>
        <w:tc>
          <w:tcPr>
            <w:tcW w:w="14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3460ED6" w14:textId="77777777" w:rsidR="00BB0DB9" w:rsidRPr="001601A6" w:rsidRDefault="00000000" w:rsidP="004D01AC">
            <w:pPr>
              <w:pStyle w:val="P0-Paragraph"/>
              <w:jc w:val="left"/>
            </w:pPr>
            <w:r w:rsidRPr="001601A6">
              <w:rPr>
                <w:rFonts w:eastAsia="Arial"/>
              </w:rPr>
              <w:t>DORA</w:t>
            </w:r>
          </w:p>
        </w:tc>
        <w:tc>
          <w:tcPr>
            <w:tcW w:w="4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1B429D1" w14:textId="77777777" w:rsidR="00BB0DB9" w:rsidRPr="001601A6" w:rsidRDefault="00000000" w:rsidP="004D01AC">
            <w:pPr>
              <w:pStyle w:val="P0-Paragraph"/>
              <w:jc w:val="left"/>
            </w:pPr>
            <w:r w:rsidRPr="001601A6">
              <w:rPr>
                <w:rFonts w:eastAsia="Arial"/>
              </w:rPr>
              <w:t>In force — financial sector</w:t>
            </w:r>
          </w:p>
        </w:tc>
        <w:tc>
          <w:tcPr>
            <w:tcW w:w="235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7B51D5A" w14:textId="77777777" w:rsidR="00BB0DB9" w:rsidRPr="001601A6" w:rsidRDefault="00000000" w:rsidP="004D01AC">
            <w:pPr>
              <w:pStyle w:val="P0-Paragraph"/>
              <w:jc w:val="left"/>
            </w:pPr>
            <w:r w:rsidRPr="001601A6">
              <w:rPr>
                <w:rFonts w:eastAsia="Arial"/>
              </w:rPr>
              <w:t>ICT risk management, incident reporting, operational resilience testing</w:t>
            </w:r>
          </w:p>
        </w:tc>
      </w:tr>
      <w:tr w:rsidR="00BB0DB9" w:rsidRPr="001601A6" w14:paraId="05930557"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0E866" w14:textId="77777777" w:rsidR="00BB0DB9" w:rsidRPr="001601A6" w:rsidRDefault="00000000" w:rsidP="004D01AC">
            <w:pPr>
              <w:pStyle w:val="P0-Paragraph"/>
              <w:jc w:val="left"/>
            </w:pPr>
            <w:r w:rsidRPr="001601A6">
              <w:rPr>
                <w:rFonts w:eastAsia="Arial"/>
              </w:rPr>
              <w:t>IEC 62443</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0517F" w14:textId="77777777" w:rsidR="00BB0DB9" w:rsidRPr="001601A6" w:rsidRDefault="00000000" w:rsidP="004D01AC">
            <w:pPr>
              <w:pStyle w:val="P0-Paragraph"/>
              <w:jc w:val="left"/>
            </w:pPr>
            <w:r w:rsidRPr="001601A6">
              <w:rPr>
                <w:rFonts w:eastAsia="Arial"/>
              </w:rPr>
              <w:t>IEC 62443</w:t>
            </w:r>
          </w:p>
        </w:tc>
        <w:tc>
          <w:tcPr>
            <w:tcW w:w="42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330B4" w14:textId="77777777" w:rsidR="00BB0DB9" w:rsidRPr="001601A6" w:rsidRDefault="00000000" w:rsidP="004D01AC">
            <w:pPr>
              <w:pStyle w:val="P0-Paragraph"/>
              <w:jc w:val="left"/>
            </w:pPr>
            <w:r w:rsidRPr="001601A6">
              <w:t>IEC 62443-3-3:2013 SR specifications; IEC 62443-3-2:2020 referenced for risk assessment / zone-and-conduit context</w:t>
            </w:r>
          </w:p>
        </w:tc>
        <w:tc>
          <w:tcPr>
            <w:tcW w:w="2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A052BE" w14:textId="77777777" w:rsidR="00BB0DB9" w:rsidRPr="001601A6" w:rsidRDefault="00000000" w:rsidP="004D01AC">
            <w:pPr>
              <w:pStyle w:val="P0-Paragraph"/>
              <w:jc w:val="left"/>
            </w:pPr>
            <w:r w:rsidRPr="001601A6">
              <w:rPr>
                <w:rFonts w:eastAsia="Arial"/>
              </w:rPr>
              <w:t>Industrial automation and control system security levels</w:t>
            </w:r>
          </w:p>
        </w:tc>
      </w:tr>
      <w:tr w:rsidR="00BB0DB9" w:rsidRPr="001601A6" w14:paraId="6BCE5305"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4408490" w14:textId="77777777" w:rsidR="00BB0DB9" w:rsidRPr="001601A6" w:rsidRDefault="00000000" w:rsidP="004D01AC">
            <w:pPr>
              <w:pStyle w:val="P0-Paragraph"/>
              <w:jc w:val="left"/>
            </w:pPr>
            <w:r w:rsidRPr="001601A6">
              <w:rPr>
                <w:rFonts w:eastAsia="Arial"/>
              </w:rPr>
              <w:t>IEC 61508 / IEC 61511</w:t>
            </w:r>
          </w:p>
        </w:tc>
        <w:tc>
          <w:tcPr>
            <w:tcW w:w="14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A2A7DB9" w14:textId="77777777" w:rsidR="00BB0DB9" w:rsidRPr="001601A6" w:rsidRDefault="00000000" w:rsidP="004D01AC">
            <w:pPr>
              <w:pStyle w:val="P0-Paragraph"/>
              <w:jc w:val="left"/>
            </w:pPr>
            <w:r w:rsidRPr="001601A6">
              <w:rPr>
                <w:rFonts w:eastAsia="Arial"/>
              </w:rPr>
              <w:t>IEC 61508/61511</w:t>
            </w:r>
          </w:p>
        </w:tc>
        <w:tc>
          <w:tcPr>
            <w:tcW w:w="4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B261452" w14:textId="77777777" w:rsidR="00BB0DB9" w:rsidRPr="001601A6" w:rsidRDefault="00000000" w:rsidP="004D01AC">
            <w:pPr>
              <w:pStyle w:val="P0-Paragraph"/>
              <w:jc w:val="left"/>
            </w:pPr>
            <w:r w:rsidRPr="001601A6">
              <w:t>IEC 61508-1:2010; IEC 61511-1:2016 + AMD1:2017; referenced for functional-safety boundaries, not comprehensively mapped</w:t>
            </w:r>
          </w:p>
        </w:tc>
        <w:tc>
          <w:tcPr>
            <w:tcW w:w="235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EE68020" w14:textId="77777777" w:rsidR="00BB0DB9" w:rsidRPr="001601A6" w:rsidRDefault="00000000" w:rsidP="004D01AC">
            <w:pPr>
              <w:pStyle w:val="P0-Paragraph"/>
              <w:jc w:val="left"/>
            </w:pPr>
            <w:r w:rsidRPr="001601A6">
              <w:rPr>
                <w:rFonts w:eastAsia="Arial"/>
              </w:rPr>
              <w:t>Functional safety — Safe-State and hardware interlock</w:t>
            </w:r>
          </w:p>
        </w:tc>
      </w:tr>
      <w:tr w:rsidR="00BB0DB9" w:rsidRPr="001601A6" w14:paraId="396616DC"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3C958" w14:textId="77777777" w:rsidR="00BB0DB9" w:rsidRPr="001601A6" w:rsidRDefault="00000000" w:rsidP="004D01AC">
            <w:pPr>
              <w:pStyle w:val="P0-Paragraph"/>
              <w:jc w:val="left"/>
            </w:pPr>
            <w:r w:rsidRPr="001601A6">
              <w:rPr>
                <w:rFonts w:eastAsia="Arial"/>
              </w:rPr>
              <w:t>ISO/IEC 42001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602FC6" w14:textId="77777777" w:rsidR="00BB0DB9" w:rsidRPr="001601A6" w:rsidRDefault="00000000" w:rsidP="004D01AC">
            <w:pPr>
              <w:pStyle w:val="P0-Paragraph"/>
              <w:jc w:val="left"/>
            </w:pPr>
            <w:r w:rsidRPr="001601A6">
              <w:rPr>
                <w:rFonts w:eastAsia="Arial"/>
              </w:rPr>
              <w:t>ISO/IEC 42001</w:t>
            </w:r>
          </w:p>
        </w:tc>
        <w:tc>
          <w:tcPr>
            <w:tcW w:w="42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5B3F8" w14:textId="77777777" w:rsidR="00BB0DB9" w:rsidRPr="001601A6" w:rsidRDefault="00000000" w:rsidP="004D01AC">
            <w:pPr>
              <w:pStyle w:val="P0-Paragraph"/>
              <w:jc w:val="left"/>
            </w:pPr>
            <w:r w:rsidRPr="001601A6">
              <w:rPr>
                <w:rFonts w:eastAsia="Arial"/>
              </w:rPr>
              <w:t>2023</w:t>
            </w:r>
          </w:p>
        </w:tc>
        <w:tc>
          <w:tcPr>
            <w:tcW w:w="2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A6004B" w14:textId="77777777" w:rsidR="00BB0DB9" w:rsidRPr="001601A6" w:rsidRDefault="00000000" w:rsidP="004D01AC">
            <w:pPr>
              <w:pStyle w:val="P0-Paragraph"/>
              <w:jc w:val="left"/>
            </w:pPr>
            <w:r w:rsidRPr="001601A6">
              <w:rPr>
                <w:rFonts w:eastAsia="Arial"/>
              </w:rPr>
              <w:t>AI management system</w:t>
            </w:r>
          </w:p>
        </w:tc>
      </w:tr>
      <w:tr w:rsidR="00BB0DB9" w:rsidRPr="001601A6" w14:paraId="6794B3A7"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C87D90E" w14:textId="77777777" w:rsidR="00BB0DB9" w:rsidRPr="001601A6" w:rsidRDefault="00000000" w:rsidP="004D01AC">
            <w:pPr>
              <w:pStyle w:val="P0-Paragraph"/>
              <w:jc w:val="left"/>
            </w:pPr>
            <w:r w:rsidRPr="001601A6">
              <w:rPr>
                <w:rFonts w:eastAsia="Arial"/>
              </w:rPr>
              <w:t>NIST AI Risk Management Framework</w:t>
            </w:r>
          </w:p>
        </w:tc>
        <w:tc>
          <w:tcPr>
            <w:tcW w:w="14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29EAD7A" w14:textId="77777777" w:rsidR="00BB0DB9" w:rsidRPr="001601A6" w:rsidRDefault="00000000" w:rsidP="004D01AC">
            <w:pPr>
              <w:pStyle w:val="P0-Paragraph"/>
              <w:jc w:val="left"/>
            </w:pPr>
            <w:r w:rsidRPr="001601A6">
              <w:rPr>
                <w:rFonts w:eastAsia="Arial"/>
              </w:rPr>
              <w:t>NIST AI RMF</w:t>
            </w:r>
          </w:p>
        </w:tc>
        <w:tc>
          <w:tcPr>
            <w:tcW w:w="4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C71EE6C" w14:textId="77777777" w:rsidR="00BB0DB9" w:rsidRPr="001601A6" w:rsidRDefault="00000000" w:rsidP="004D01AC">
            <w:pPr>
              <w:pStyle w:val="P0-Paragraph"/>
              <w:jc w:val="left"/>
            </w:pPr>
            <w:r w:rsidRPr="001601A6">
              <w:rPr>
                <w:rFonts w:eastAsia="Arial"/>
              </w:rPr>
              <w:t>1.0</w:t>
            </w:r>
          </w:p>
        </w:tc>
        <w:tc>
          <w:tcPr>
            <w:tcW w:w="235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9D47B8C" w14:textId="77777777" w:rsidR="00BB0DB9" w:rsidRPr="001601A6" w:rsidRDefault="00000000" w:rsidP="004D01AC">
            <w:pPr>
              <w:pStyle w:val="P0-Paragraph"/>
              <w:jc w:val="left"/>
            </w:pPr>
            <w:r w:rsidRPr="001601A6">
              <w:rPr>
                <w:rFonts w:eastAsia="Arial"/>
              </w:rPr>
              <w:t>AI risk governance — Govern, Map, Measure, Manage</w:t>
            </w:r>
          </w:p>
        </w:tc>
      </w:tr>
      <w:tr w:rsidR="00BB0DB9" w:rsidRPr="001601A6" w14:paraId="4F837136"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BCE901" w14:textId="77777777" w:rsidR="00BB0DB9" w:rsidRPr="001601A6" w:rsidRDefault="00000000" w:rsidP="004D01AC">
            <w:pPr>
              <w:pStyle w:val="P0-Paragraph"/>
              <w:jc w:val="left"/>
            </w:pPr>
            <w:r w:rsidRPr="001601A6">
              <w:rPr>
                <w:rFonts w:eastAsia="Arial"/>
              </w:rPr>
              <w:t>NIST SP 800-53</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3B550" w14:textId="77777777" w:rsidR="00BB0DB9" w:rsidRPr="001601A6" w:rsidRDefault="00000000" w:rsidP="004D01AC">
            <w:pPr>
              <w:pStyle w:val="P0-Paragraph"/>
              <w:jc w:val="left"/>
            </w:pPr>
            <w:r w:rsidRPr="001601A6">
              <w:rPr>
                <w:rFonts w:eastAsia="Arial"/>
              </w:rPr>
              <w:t>NIST SP 800-53</w:t>
            </w:r>
          </w:p>
        </w:tc>
        <w:tc>
          <w:tcPr>
            <w:tcW w:w="42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8F91C3" w14:textId="77777777" w:rsidR="00BB0DB9" w:rsidRPr="001601A6" w:rsidRDefault="00000000" w:rsidP="004D01AC">
            <w:pPr>
              <w:pStyle w:val="P0-Paragraph"/>
              <w:jc w:val="left"/>
            </w:pPr>
            <w:r w:rsidRPr="001601A6">
              <w:t>Rev. 5, Release 5.2.0 - 27 August 2025</w:t>
            </w:r>
          </w:p>
        </w:tc>
        <w:tc>
          <w:tcPr>
            <w:tcW w:w="2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79532" w14:textId="77777777" w:rsidR="00BB0DB9" w:rsidRPr="001601A6" w:rsidRDefault="00000000" w:rsidP="004D01AC">
            <w:pPr>
              <w:pStyle w:val="P0-Paragraph"/>
              <w:jc w:val="left"/>
            </w:pPr>
            <w:r w:rsidRPr="001601A6">
              <w:rPr>
                <w:rFonts w:eastAsia="Arial"/>
              </w:rPr>
              <w:t>Security and privacy controls</w:t>
            </w:r>
          </w:p>
        </w:tc>
      </w:tr>
      <w:tr w:rsidR="00BB0DB9" w:rsidRPr="001601A6" w14:paraId="56954FEA" w14:textId="77777777" w:rsidTr="001601A6">
        <w:tc>
          <w:tcPr>
            <w:tcW w:w="13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09B05FE" w14:textId="77777777" w:rsidR="00BB0DB9" w:rsidRPr="001601A6" w:rsidRDefault="00000000" w:rsidP="004D01AC">
            <w:pPr>
              <w:pStyle w:val="P0-Paragraph"/>
              <w:jc w:val="left"/>
            </w:pPr>
            <w:r w:rsidRPr="001601A6">
              <w:rPr>
                <w:rFonts w:eastAsia="Arial"/>
              </w:rPr>
              <w:lastRenderedPageBreak/>
              <w:t>NIST SP 800-161</w:t>
            </w:r>
          </w:p>
        </w:tc>
        <w:tc>
          <w:tcPr>
            <w:tcW w:w="14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6418324" w14:textId="77777777" w:rsidR="00BB0DB9" w:rsidRPr="001601A6" w:rsidRDefault="00000000" w:rsidP="004D01AC">
            <w:pPr>
              <w:pStyle w:val="P0-Paragraph"/>
              <w:jc w:val="left"/>
            </w:pPr>
            <w:r w:rsidRPr="001601A6">
              <w:rPr>
                <w:rFonts w:eastAsia="Arial"/>
              </w:rPr>
              <w:t>NIST SP 800-161</w:t>
            </w:r>
          </w:p>
        </w:tc>
        <w:tc>
          <w:tcPr>
            <w:tcW w:w="4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A50D9D1" w14:textId="77777777" w:rsidR="00BB0DB9" w:rsidRPr="001601A6" w:rsidRDefault="00000000" w:rsidP="004D01AC">
            <w:pPr>
              <w:pStyle w:val="P0-Paragraph"/>
              <w:jc w:val="left"/>
            </w:pPr>
            <w:r w:rsidRPr="001601A6">
              <w:t>Rev. 1 Update 1</w:t>
            </w:r>
          </w:p>
        </w:tc>
        <w:tc>
          <w:tcPr>
            <w:tcW w:w="235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AC0EEC7" w14:textId="77777777" w:rsidR="00BB0DB9" w:rsidRPr="001601A6" w:rsidRDefault="00000000" w:rsidP="004D01AC">
            <w:pPr>
              <w:pStyle w:val="P0-Paragraph"/>
              <w:jc w:val="left"/>
            </w:pPr>
            <w:r w:rsidRPr="001601A6">
              <w:rPr>
                <w:rFonts w:eastAsia="Arial"/>
              </w:rPr>
              <w:t>Cybersecurity supply chain risk management</w:t>
            </w:r>
          </w:p>
        </w:tc>
      </w:tr>
    </w:tbl>
    <w:p w14:paraId="6C1344AE" w14:textId="175FA903" w:rsidR="001601A6" w:rsidRPr="001601A6" w:rsidRDefault="001601A6" w:rsidP="001601A6">
      <w:pPr>
        <w:pStyle w:val="T0-TableCaption"/>
      </w:pPr>
      <w:r w:rsidRPr="001601A6">
        <w:t>Table 1.2</w:t>
      </w:r>
      <w:r>
        <w:t xml:space="preserve"> –</w:t>
      </w:r>
      <w:r w:rsidRPr="001601A6">
        <w:t xml:space="preserve"> Frameworks covered by this crosswalk</w:t>
      </w:r>
    </w:p>
    <w:p w14:paraId="39279528" w14:textId="77777777" w:rsidR="00BB0DB9" w:rsidRPr="001601A6" w:rsidRDefault="00BB0DB9" w:rsidP="001601A6">
      <w:pPr>
        <w:pStyle w:val="P0-Paragraph"/>
      </w:pP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B0DB9" w:rsidRPr="001601A6" w14:paraId="7F77B5EF"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50" w:type="dxa"/>
              <w:bottom w:w="100" w:type="dxa"/>
              <w:right w:w="150" w:type="dxa"/>
            </w:tcMar>
          </w:tcPr>
          <w:p w14:paraId="3E91EE82" w14:textId="77777777" w:rsidR="00BB0DB9" w:rsidRPr="001601A6" w:rsidRDefault="00000000" w:rsidP="001601A6">
            <w:pPr>
              <w:pStyle w:val="P0-Paragraph"/>
            </w:pPr>
            <w:r w:rsidRPr="001601A6">
              <w:rPr>
                <w:rStyle w:val="CS-Keyword"/>
              </w:rPr>
              <w:t xml:space="preserve">Note: </w:t>
            </w:r>
            <w:r w:rsidRPr="001601A6">
              <w:rPr>
                <w:rFonts w:eastAsia="Arial"/>
              </w:rPr>
              <w:t>NIS2 obligations vary materially across EU member state transpositions. Incident notification timelines (Art. 23), sector scope definitions, and supervisory authority designations differ by jurisdiction. Before using this crosswalk for regulatory reporting, the organization must verify the applicable national transposition for each operational jurisdiction and document any jurisdiction-specific deviations from the EU-level article citations used in this matrix.</w:t>
            </w:r>
          </w:p>
        </w:tc>
      </w:tr>
    </w:tbl>
    <w:p w14:paraId="38ECE50E" w14:textId="2E9AFD05" w:rsidR="00BB0DB9" w:rsidRPr="001601A6" w:rsidRDefault="00BB0DB9" w:rsidP="001601A6">
      <w:pPr>
        <w:pStyle w:val="P0-Paragraph"/>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1"/>
        <w:gridCol w:w="1725"/>
        <w:gridCol w:w="4239"/>
        <w:gridCol w:w="2135"/>
      </w:tblGrid>
      <w:tr w:rsidR="00BB0DB9" w:rsidRPr="001601A6" w14:paraId="46F00260" w14:textId="77777777" w:rsidTr="001601A6">
        <w:trPr>
          <w:tblHeader/>
        </w:trPr>
        <w:tc>
          <w:tcPr>
            <w:tcW w:w="126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31C21C0" w14:textId="77777777" w:rsidR="00BB0DB9" w:rsidRPr="001601A6" w:rsidRDefault="00000000" w:rsidP="001601A6">
            <w:pPr>
              <w:pStyle w:val="P0-Paragraph"/>
              <w:rPr>
                <w:rStyle w:val="CS-Keyword"/>
              </w:rPr>
            </w:pPr>
            <w:r w:rsidRPr="001601A6">
              <w:rPr>
                <w:rStyle w:val="CS-Keyword"/>
              </w:rPr>
              <w:t>Source</w:t>
            </w:r>
          </w:p>
        </w:tc>
        <w:tc>
          <w:tcPr>
            <w:tcW w:w="1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947B086" w14:textId="77777777" w:rsidR="00BB0DB9" w:rsidRPr="001601A6" w:rsidRDefault="00000000" w:rsidP="001601A6">
            <w:pPr>
              <w:pStyle w:val="P0-Paragraph"/>
              <w:rPr>
                <w:rStyle w:val="CS-Keyword"/>
              </w:rPr>
            </w:pPr>
            <w:r w:rsidRPr="001601A6">
              <w:rPr>
                <w:rStyle w:val="CS-Keyword"/>
              </w:rPr>
              <w:t>Version / status</w:t>
            </w:r>
          </w:p>
        </w:tc>
        <w:tc>
          <w:tcPr>
            <w:tcW w:w="423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4BBC33" w14:textId="77777777" w:rsidR="00BB0DB9" w:rsidRPr="001601A6" w:rsidRDefault="00000000" w:rsidP="001601A6">
            <w:pPr>
              <w:pStyle w:val="P0-Paragraph"/>
              <w:rPr>
                <w:rStyle w:val="CS-Keyword"/>
              </w:rPr>
            </w:pPr>
            <w:r w:rsidRPr="001601A6">
              <w:rPr>
                <w:rStyle w:val="CS-Keyword"/>
              </w:rPr>
              <w:t>Practitioner purpose</w:t>
            </w:r>
          </w:p>
        </w:tc>
        <w:tc>
          <w:tcPr>
            <w:tcW w:w="213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A7FE138" w14:textId="77777777" w:rsidR="00BB0DB9" w:rsidRPr="001601A6" w:rsidRDefault="00000000" w:rsidP="001601A6">
            <w:pPr>
              <w:pStyle w:val="P0-Paragraph"/>
              <w:rPr>
                <w:rStyle w:val="CS-Keyword"/>
              </w:rPr>
            </w:pPr>
            <w:r w:rsidRPr="001601A6">
              <w:rPr>
                <w:rStyle w:val="CS-Keyword"/>
              </w:rPr>
              <w:t>Workbook implementation</w:t>
            </w:r>
          </w:p>
        </w:tc>
      </w:tr>
      <w:tr w:rsidR="00BB0DB9" w:rsidRPr="001601A6" w14:paraId="1700E6C0" w14:textId="77777777" w:rsidTr="001601A6">
        <w:tc>
          <w:tcPr>
            <w:tcW w:w="1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7FF56" w14:textId="77777777" w:rsidR="00BB0DB9" w:rsidRPr="001601A6" w:rsidRDefault="00000000" w:rsidP="001601A6">
            <w:pPr>
              <w:pStyle w:val="P0-Paragraph"/>
              <w:jc w:val="left"/>
            </w:pPr>
            <w:r w:rsidRPr="001601A6">
              <w:t>ISO/IEC 27001</w:t>
            </w:r>
          </w:p>
        </w:tc>
        <w:tc>
          <w:tcPr>
            <w:tcW w:w="1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2B2D47" w14:textId="77777777" w:rsidR="00BB0DB9" w:rsidRPr="001601A6" w:rsidRDefault="00000000" w:rsidP="001601A6">
            <w:pPr>
              <w:pStyle w:val="P0-Paragraph"/>
              <w:jc w:val="left"/>
            </w:pPr>
            <w:r w:rsidRPr="001601A6">
              <w:t xml:space="preserve">ISO/IEC 27001:2022 + </w:t>
            </w:r>
            <w:proofErr w:type="spellStart"/>
            <w:r w:rsidRPr="001601A6">
              <w:t>Amd</w:t>
            </w:r>
            <w:proofErr w:type="spellEnd"/>
            <w:r w:rsidRPr="001601A6">
              <w:t xml:space="preserve"> 1:2024</w:t>
            </w:r>
          </w:p>
        </w:tc>
        <w:tc>
          <w:tcPr>
            <w:tcW w:w="42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4EEFC" w14:textId="77777777" w:rsidR="00BB0DB9" w:rsidRPr="001601A6" w:rsidRDefault="00000000" w:rsidP="001601A6">
            <w:pPr>
              <w:pStyle w:val="P0-Paragraph"/>
              <w:jc w:val="left"/>
            </w:pPr>
            <w:r w:rsidRPr="001601A6">
              <w:t xml:space="preserve">Connect ASCR controls and evidence to </w:t>
            </w:r>
            <w:proofErr w:type="gramStart"/>
            <w:r w:rsidRPr="001601A6">
              <w:t>an existing</w:t>
            </w:r>
            <w:proofErr w:type="gramEnd"/>
            <w:r w:rsidRPr="001601A6">
              <w:t xml:space="preserve"> ISMS and applicable Annex A control environment</w:t>
            </w:r>
          </w:p>
        </w:tc>
        <w:tc>
          <w:tcPr>
            <w:tcW w:w="21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0117F4" w14:textId="77777777" w:rsidR="00BB0DB9" w:rsidRPr="001601A6" w:rsidRDefault="00000000" w:rsidP="001601A6">
            <w:pPr>
              <w:pStyle w:val="P0-Paragraph"/>
              <w:jc w:val="left"/>
            </w:pPr>
            <w:r w:rsidRPr="001601A6">
              <w:t>Enterprise &amp; Assurance Overlay</w:t>
            </w:r>
          </w:p>
        </w:tc>
      </w:tr>
      <w:tr w:rsidR="00BB0DB9" w:rsidRPr="001601A6" w14:paraId="46B2DD93" w14:textId="77777777" w:rsidTr="001601A6">
        <w:tc>
          <w:tcPr>
            <w:tcW w:w="126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8A11803" w14:textId="77777777" w:rsidR="00BB0DB9" w:rsidRPr="001601A6" w:rsidRDefault="00000000" w:rsidP="001601A6">
            <w:pPr>
              <w:pStyle w:val="P0-Paragraph"/>
              <w:jc w:val="left"/>
            </w:pPr>
            <w:r w:rsidRPr="001601A6">
              <w:t>GDPR</w:t>
            </w:r>
          </w:p>
        </w:tc>
        <w:tc>
          <w:tcPr>
            <w:tcW w:w="172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722F0C5" w14:textId="77777777" w:rsidR="00BB0DB9" w:rsidRPr="001601A6" w:rsidRDefault="00000000" w:rsidP="001601A6">
            <w:pPr>
              <w:pStyle w:val="P0-Paragraph"/>
              <w:jc w:val="left"/>
            </w:pPr>
            <w:r w:rsidRPr="001601A6">
              <w:t>Regulation (EU) 2016/679; applicability-gated</w:t>
            </w:r>
          </w:p>
        </w:tc>
        <w:tc>
          <w:tcPr>
            <w:tcW w:w="4239"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27BB2ED" w14:textId="77777777" w:rsidR="00BB0DB9" w:rsidRPr="001601A6" w:rsidRDefault="00000000" w:rsidP="001601A6">
            <w:pPr>
              <w:pStyle w:val="P0-Paragraph"/>
              <w:jc w:val="left"/>
            </w:pPr>
            <w:r w:rsidRPr="001601A6">
              <w:t>Identify privacy and personal-data implications of logging, monitoring, retention, incident response, identity, evidence custody, and third-party processing</w:t>
            </w:r>
          </w:p>
        </w:tc>
        <w:tc>
          <w:tcPr>
            <w:tcW w:w="213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E8BDD3B" w14:textId="77777777" w:rsidR="00BB0DB9" w:rsidRPr="001601A6" w:rsidRDefault="00000000" w:rsidP="001601A6">
            <w:pPr>
              <w:pStyle w:val="P0-Paragraph"/>
              <w:jc w:val="left"/>
            </w:pPr>
            <w:r w:rsidRPr="001601A6">
              <w:t>Enterprise &amp; Assurance Overlay</w:t>
            </w:r>
          </w:p>
        </w:tc>
      </w:tr>
      <w:tr w:rsidR="00BB0DB9" w:rsidRPr="001601A6" w14:paraId="516EF6A4" w14:textId="77777777" w:rsidTr="001601A6">
        <w:tc>
          <w:tcPr>
            <w:tcW w:w="1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B32A2" w14:textId="77777777" w:rsidR="00BB0DB9" w:rsidRPr="001601A6" w:rsidRDefault="00000000" w:rsidP="001601A6">
            <w:pPr>
              <w:pStyle w:val="P0-Paragraph"/>
              <w:jc w:val="left"/>
            </w:pPr>
            <w:r w:rsidRPr="001601A6">
              <w:t>AICPA Trust Services Criteria / SOC 2</w:t>
            </w:r>
          </w:p>
        </w:tc>
        <w:tc>
          <w:tcPr>
            <w:tcW w:w="1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24FB7" w14:textId="77777777" w:rsidR="00BB0DB9" w:rsidRPr="001601A6" w:rsidRDefault="00000000" w:rsidP="001601A6">
            <w:pPr>
              <w:pStyle w:val="P0-Paragraph"/>
              <w:jc w:val="left"/>
            </w:pPr>
            <w:r w:rsidRPr="001601A6">
              <w:t>2017 TSC, Revised Points of Focus 2022</w:t>
            </w:r>
          </w:p>
        </w:tc>
        <w:tc>
          <w:tcPr>
            <w:tcW w:w="42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8D14F" w14:textId="77777777" w:rsidR="00BB0DB9" w:rsidRPr="001601A6" w:rsidRDefault="00000000" w:rsidP="001601A6">
            <w:pPr>
              <w:pStyle w:val="P0-Paragraph"/>
              <w:jc w:val="left"/>
            </w:pPr>
            <w:r w:rsidRPr="001601A6">
              <w:t>Reuse ASCR evidence in assurance activities addressing security, availability, processing integrity, confidentiality, and privacy</w:t>
            </w:r>
          </w:p>
        </w:tc>
        <w:tc>
          <w:tcPr>
            <w:tcW w:w="21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29585" w14:textId="77777777" w:rsidR="00BB0DB9" w:rsidRPr="001601A6" w:rsidRDefault="00000000" w:rsidP="001601A6">
            <w:pPr>
              <w:pStyle w:val="P0-Paragraph"/>
              <w:jc w:val="left"/>
            </w:pPr>
            <w:r w:rsidRPr="001601A6">
              <w:t>Enterprise &amp; Assurance Overlay</w:t>
            </w:r>
          </w:p>
        </w:tc>
      </w:tr>
      <w:tr w:rsidR="00BB0DB9" w:rsidRPr="001601A6" w14:paraId="43FDF16F" w14:textId="77777777" w:rsidTr="001601A6">
        <w:tc>
          <w:tcPr>
            <w:tcW w:w="126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8F8DE00" w14:textId="77777777" w:rsidR="00BB0DB9" w:rsidRPr="001601A6" w:rsidRDefault="00000000" w:rsidP="001601A6">
            <w:pPr>
              <w:pStyle w:val="P0-Paragraph"/>
              <w:jc w:val="left"/>
            </w:pPr>
            <w:r w:rsidRPr="001601A6">
              <w:t>ISO/IEC 23894</w:t>
            </w:r>
          </w:p>
        </w:tc>
        <w:tc>
          <w:tcPr>
            <w:tcW w:w="172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E697978" w14:textId="77777777" w:rsidR="00BB0DB9" w:rsidRPr="001601A6" w:rsidRDefault="00000000" w:rsidP="001601A6">
            <w:pPr>
              <w:pStyle w:val="P0-Paragraph"/>
              <w:jc w:val="left"/>
            </w:pPr>
            <w:r w:rsidRPr="001601A6">
              <w:t>ISO/IEC 23894:2023</w:t>
            </w:r>
          </w:p>
        </w:tc>
        <w:tc>
          <w:tcPr>
            <w:tcW w:w="4239"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F65D7C5" w14:textId="77777777" w:rsidR="00BB0DB9" w:rsidRPr="001601A6" w:rsidRDefault="00000000" w:rsidP="001601A6">
            <w:pPr>
              <w:pStyle w:val="P0-Paragraph"/>
              <w:jc w:val="left"/>
            </w:pPr>
            <w:r w:rsidRPr="001601A6">
              <w:t>Add AI-specific risk-management depth to ASCR risk identification, analysis, evaluation, treatment, monitoring, and reporting</w:t>
            </w:r>
          </w:p>
        </w:tc>
        <w:tc>
          <w:tcPr>
            <w:tcW w:w="213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1137F0D" w14:textId="77777777" w:rsidR="00BB0DB9" w:rsidRPr="001601A6" w:rsidRDefault="00000000" w:rsidP="001601A6">
            <w:pPr>
              <w:pStyle w:val="P0-Paragraph"/>
              <w:jc w:val="left"/>
            </w:pPr>
            <w:r w:rsidRPr="001601A6">
              <w:t>Enterprise &amp; Assurance Overlay</w:t>
            </w:r>
          </w:p>
        </w:tc>
      </w:tr>
      <w:tr w:rsidR="00BB0DB9" w:rsidRPr="001601A6" w14:paraId="4364632B" w14:textId="77777777" w:rsidTr="001601A6">
        <w:tc>
          <w:tcPr>
            <w:tcW w:w="1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415C1" w14:textId="77777777" w:rsidR="00BB0DB9" w:rsidRPr="001601A6" w:rsidRDefault="00000000" w:rsidP="001601A6">
            <w:pPr>
              <w:pStyle w:val="P0-Paragraph"/>
              <w:jc w:val="left"/>
            </w:pPr>
            <w:r w:rsidRPr="001601A6">
              <w:t>NIST AI 600-1</w:t>
            </w:r>
          </w:p>
        </w:tc>
        <w:tc>
          <w:tcPr>
            <w:tcW w:w="1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634C35" w14:textId="77777777" w:rsidR="00BB0DB9" w:rsidRPr="001601A6" w:rsidRDefault="00000000" w:rsidP="001601A6">
            <w:pPr>
              <w:pStyle w:val="P0-Paragraph"/>
              <w:jc w:val="left"/>
            </w:pPr>
            <w:r w:rsidRPr="001601A6">
              <w:t>NIST AI 600-1, July 2024</w:t>
            </w:r>
          </w:p>
        </w:tc>
        <w:tc>
          <w:tcPr>
            <w:tcW w:w="42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F3E7C" w14:textId="77777777" w:rsidR="00BB0DB9" w:rsidRPr="001601A6" w:rsidRDefault="00000000" w:rsidP="001601A6">
            <w:pPr>
              <w:pStyle w:val="P0-Paragraph"/>
              <w:jc w:val="left"/>
            </w:pPr>
            <w:r w:rsidRPr="001601A6">
              <w:t>Add GenAI-specific risks and suggested actions on top of the existing NIST AI RMF 1.0 mappings</w:t>
            </w:r>
          </w:p>
        </w:tc>
        <w:tc>
          <w:tcPr>
            <w:tcW w:w="21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CE9DC" w14:textId="77777777" w:rsidR="00BB0DB9" w:rsidRPr="001601A6" w:rsidRDefault="00000000" w:rsidP="001601A6">
            <w:pPr>
              <w:pStyle w:val="P0-Paragraph"/>
              <w:jc w:val="left"/>
            </w:pPr>
            <w:r w:rsidRPr="001601A6">
              <w:t>NIST AI 600-1 GenAI Overlay</w:t>
            </w:r>
          </w:p>
        </w:tc>
      </w:tr>
    </w:tbl>
    <w:p w14:paraId="107EE674" w14:textId="2850BED3" w:rsidR="001601A6" w:rsidRPr="001601A6" w:rsidRDefault="001601A6" w:rsidP="001601A6">
      <w:pPr>
        <w:pStyle w:val="T0-TableCaption"/>
      </w:pPr>
      <w:r w:rsidRPr="001601A6">
        <w:t>Table 1.3</w:t>
      </w:r>
      <w:r w:rsidR="00AF59F0">
        <w:t xml:space="preserve"> – </w:t>
      </w:r>
      <w:r w:rsidRPr="001601A6">
        <w:t>Supplemental practitioner overlays</w:t>
      </w:r>
    </w:p>
    <w:p w14:paraId="7D3D3A54" w14:textId="0DA1BA90" w:rsidR="00BB0DB9" w:rsidRPr="001601A6" w:rsidRDefault="00000000" w:rsidP="001601A6">
      <w:pPr>
        <w:pStyle w:val="HS-Heading2"/>
      </w:pPr>
      <w:r w:rsidRPr="001601A6">
        <w:rPr>
          <w:rFonts w:eastAsia="Arial"/>
        </w:rPr>
        <w:lastRenderedPageBreak/>
        <w:t>1.2 How to read this matrix</w:t>
      </w:r>
    </w:p>
    <w:p w14:paraId="30F3989C" w14:textId="77777777" w:rsidR="00BB0DB9" w:rsidRPr="001601A6" w:rsidRDefault="00000000" w:rsidP="001601A6">
      <w:pPr>
        <w:pStyle w:val="P0-Paragraph"/>
      </w:pPr>
      <w:r w:rsidRPr="001601A6">
        <w:rPr>
          <w:rFonts w:eastAsia="Arial"/>
        </w:rPr>
        <w:t>The complete matrix lives in the companion workbook. Column definitions below apply to every row in the Master Crosswalk sheet:</w:t>
      </w:r>
    </w:p>
    <w:p w14:paraId="0C326853" w14:textId="77777777" w:rsidR="00BB0DB9" w:rsidRPr="001601A6" w:rsidRDefault="00000000" w:rsidP="001601A6">
      <w:pPr>
        <w:pStyle w:val="L1-Bullet"/>
      </w:pPr>
      <w:r w:rsidRPr="001601A6">
        <w:t>Pillar: the ASCR Blueprint pillar assigned to the mapped control row</w:t>
      </w:r>
    </w:p>
    <w:p w14:paraId="04D8EEDB" w14:textId="77777777" w:rsidR="00BB0DB9" w:rsidRPr="001601A6" w:rsidRDefault="00000000" w:rsidP="001601A6">
      <w:pPr>
        <w:pStyle w:val="L1-Bullet"/>
      </w:pPr>
      <w:r w:rsidRPr="001601A6">
        <w:t>ASCR Artifact: the artifact whose deployment supports the mapped obligation or control objective</w:t>
      </w:r>
    </w:p>
    <w:p w14:paraId="114FEB9A" w14:textId="77777777" w:rsidR="00BB0DB9" w:rsidRPr="001601A6" w:rsidRDefault="00000000" w:rsidP="001601A6">
      <w:pPr>
        <w:pStyle w:val="L1-Bullet"/>
      </w:pPr>
      <w:r w:rsidRPr="001601A6">
        <w:rPr>
          <w:rFonts w:eastAsia="Arial"/>
        </w:rPr>
        <w:t>ASCR Control / Function: the specific section, procedure, or output within the artifact that constitutes the regulatory evidence</w:t>
      </w:r>
    </w:p>
    <w:p w14:paraId="420E3495" w14:textId="77777777" w:rsidR="00BB0DB9" w:rsidRPr="001601A6" w:rsidRDefault="00000000" w:rsidP="001601A6">
      <w:pPr>
        <w:pStyle w:val="L1-Bullet"/>
      </w:pPr>
      <w:r w:rsidRPr="001601A6">
        <w:t>Evidence Produced: the specific artifact output that provides evidence supporting the mapped requirement</w:t>
      </w:r>
    </w:p>
    <w:p w14:paraId="36041677" w14:textId="77777777" w:rsidR="00BB0DB9" w:rsidRPr="001601A6" w:rsidRDefault="00000000" w:rsidP="001601A6">
      <w:pPr>
        <w:pStyle w:val="L1-Bullet"/>
      </w:pPr>
      <w:r w:rsidRPr="001601A6">
        <w:rPr>
          <w:rFonts w:eastAsia="Arial"/>
        </w:rPr>
        <w:t>EU AI Act: applicable article(s)</w:t>
      </w:r>
    </w:p>
    <w:p w14:paraId="55DEA101" w14:textId="77777777" w:rsidR="00BB0DB9" w:rsidRPr="001601A6" w:rsidRDefault="00000000" w:rsidP="001601A6">
      <w:pPr>
        <w:pStyle w:val="L1-Bullet"/>
      </w:pPr>
      <w:r w:rsidRPr="001601A6">
        <w:rPr>
          <w:rFonts w:eastAsia="Arial"/>
        </w:rPr>
        <w:t>NIS2: applicable article(s)</w:t>
      </w:r>
    </w:p>
    <w:p w14:paraId="58D39208" w14:textId="77777777" w:rsidR="00BB0DB9" w:rsidRPr="001601A6" w:rsidRDefault="00000000" w:rsidP="001601A6">
      <w:pPr>
        <w:pStyle w:val="L1-Bullet"/>
      </w:pPr>
      <w:r w:rsidRPr="001601A6">
        <w:rPr>
          <w:rFonts w:eastAsia="Arial"/>
        </w:rPr>
        <w:t>RPLD: applicable article(s)</w:t>
      </w:r>
    </w:p>
    <w:p w14:paraId="4796219C" w14:textId="77777777" w:rsidR="00BB0DB9" w:rsidRPr="001601A6" w:rsidRDefault="00000000" w:rsidP="001601A6">
      <w:pPr>
        <w:pStyle w:val="L1-Bullet"/>
      </w:pPr>
      <w:r w:rsidRPr="001601A6">
        <w:rPr>
          <w:rFonts w:eastAsia="Arial"/>
        </w:rPr>
        <w:t>DORA: applicable article(s)</w:t>
      </w:r>
    </w:p>
    <w:p w14:paraId="65943C4E" w14:textId="77777777" w:rsidR="00BB0DB9" w:rsidRPr="001601A6" w:rsidRDefault="00000000" w:rsidP="001601A6">
      <w:pPr>
        <w:pStyle w:val="L1-Bullet"/>
      </w:pPr>
      <w:r w:rsidRPr="001601A6">
        <w:rPr>
          <w:rFonts w:eastAsia="Arial"/>
        </w:rPr>
        <w:t>IEC 62443: applicable SR designation</w:t>
      </w:r>
    </w:p>
    <w:p w14:paraId="02DA65FD" w14:textId="77777777" w:rsidR="00BB0DB9" w:rsidRPr="001601A6" w:rsidRDefault="00000000" w:rsidP="001601A6">
      <w:pPr>
        <w:pStyle w:val="L1-Bullet"/>
      </w:pPr>
      <w:r w:rsidRPr="001601A6">
        <w:rPr>
          <w:rFonts w:eastAsia="Arial"/>
        </w:rPr>
        <w:t xml:space="preserve">IEC 61508/61511: functional-safety references are captured as descriptive context where applicable. There is no dedicated IEC 61508/61511 Master Crosswalk </w:t>
      </w:r>
      <w:proofErr w:type="gramStart"/>
      <w:r w:rsidRPr="001601A6">
        <w:rPr>
          <w:rFonts w:eastAsia="Arial"/>
        </w:rPr>
        <w:t>column</w:t>
      </w:r>
      <w:proofErr w:type="gramEnd"/>
      <w:r w:rsidRPr="001601A6">
        <w:rPr>
          <w:rFonts w:eastAsia="Arial"/>
        </w:rPr>
        <w:t xml:space="preserve"> and this release does not claim clause-level mapping to those standards.</w:t>
      </w:r>
    </w:p>
    <w:p w14:paraId="0F8752BC" w14:textId="77777777" w:rsidR="00BB0DB9" w:rsidRPr="001601A6" w:rsidRDefault="00000000" w:rsidP="001601A6">
      <w:pPr>
        <w:pStyle w:val="L1-Bullet"/>
      </w:pPr>
      <w:r w:rsidRPr="001601A6">
        <w:rPr>
          <w:rFonts w:eastAsia="Arial"/>
        </w:rPr>
        <w:t>ISO/IEC 42001: applicable clause</w:t>
      </w:r>
    </w:p>
    <w:p w14:paraId="557DB623" w14:textId="77777777" w:rsidR="00BB0DB9" w:rsidRPr="001601A6" w:rsidRDefault="00000000" w:rsidP="001601A6">
      <w:pPr>
        <w:pStyle w:val="L1-Bullet"/>
      </w:pPr>
      <w:r w:rsidRPr="001601A6">
        <w:rPr>
          <w:rFonts w:eastAsia="Arial"/>
        </w:rPr>
        <w:t>NIST AI RMF: applicable function/category</w:t>
      </w:r>
    </w:p>
    <w:p w14:paraId="52C14444" w14:textId="77777777" w:rsidR="00BB0DB9" w:rsidRPr="001601A6" w:rsidRDefault="00000000" w:rsidP="001601A6">
      <w:pPr>
        <w:pStyle w:val="L1-Bullet"/>
      </w:pPr>
      <w:r w:rsidRPr="001601A6">
        <w:rPr>
          <w:rFonts w:eastAsia="Arial"/>
        </w:rPr>
        <w:t>NIST SP 800-53: applicable control(s)</w:t>
      </w:r>
    </w:p>
    <w:p w14:paraId="5B64BF97" w14:textId="77777777" w:rsidR="00BB0DB9" w:rsidRPr="001601A6" w:rsidRDefault="00000000" w:rsidP="001601A6">
      <w:pPr>
        <w:pStyle w:val="L1-Bullet"/>
      </w:pPr>
      <w:r w:rsidRPr="001601A6">
        <w:t>NIST SP 800-161: applicable C-SCRM control or reference(s)</w:t>
      </w:r>
    </w:p>
    <w:p w14:paraId="4316EA5C" w14:textId="77777777" w:rsidR="00BB0DB9" w:rsidRPr="001601A6" w:rsidRDefault="00000000" w:rsidP="001601A6">
      <w:pPr>
        <w:pStyle w:val="L1-Bullet"/>
      </w:pPr>
      <w:r w:rsidRPr="001601A6">
        <w:t>Gap (</w:t>
      </w:r>
      <w:r w:rsidRPr="001601A6">
        <w:rPr>
          <w:rFonts w:ascii="Segoe UI Symbol" w:hAnsi="Segoe UI Symbol" w:cs="Segoe UI Symbol"/>
        </w:rPr>
        <w:t>⚠</w:t>
      </w:r>
      <w:r w:rsidRPr="001601A6">
        <w:t>): candidate procedural or organizational condition requiring local confirmation</w:t>
      </w:r>
    </w:p>
    <w:p w14:paraId="6129917A" w14:textId="77777777" w:rsidR="00BB0DB9" w:rsidRPr="001601A6" w:rsidRDefault="00000000" w:rsidP="001601A6">
      <w:pPr>
        <w:pStyle w:val="L1-Bullet"/>
      </w:pPr>
      <w:r w:rsidRPr="001601A6">
        <w:t>Gap Owner / Target Date / Remediation Notes / Status: mirror working fields; the Gap Tracker is authoritative once a gap is confirmed</w:t>
      </w:r>
    </w:p>
    <w:p w14:paraId="41E99258" w14:textId="73597B01" w:rsidR="00BB0DB9" w:rsidRPr="001601A6" w:rsidRDefault="00000000" w:rsidP="001601A6">
      <w:pPr>
        <w:pStyle w:val="L1-Bullet"/>
      </w:pPr>
      <w:r w:rsidRPr="001601A6">
        <w:t>Mapping ID: stable row key shared with the Gap Tracker, both overlays, and Obligation Index</w:t>
      </w:r>
    </w:p>
    <w:p w14:paraId="38A01861" w14:textId="77777777" w:rsidR="00BB0DB9" w:rsidRPr="001601A6" w:rsidRDefault="00000000" w:rsidP="001601A6">
      <w:pPr>
        <w:pStyle w:val="L1-Bullet"/>
      </w:pPr>
      <w:r w:rsidRPr="001601A6">
        <w:t xml:space="preserve">Gap notation: A </w:t>
      </w:r>
      <w:r w:rsidRPr="001601A6">
        <w:rPr>
          <w:rFonts w:ascii="Segoe UI Symbol" w:hAnsi="Segoe UI Symbol" w:cs="Segoe UI Symbol"/>
        </w:rPr>
        <w:t>⚠</w:t>
      </w:r>
      <w:r w:rsidRPr="001601A6">
        <w:t xml:space="preserve"> marks a candidate procedural or organizational condition that requires local confirmation in addition to the mapped technical control. A </w:t>
      </w:r>
      <w:r w:rsidRPr="001601A6">
        <w:rPr>
          <w:rFonts w:ascii="Segoe UI Symbol" w:hAnsi="Segoe UI Symbol" w:cs="Segoe UI Symbol"/>
        </w:rPr>
        <w:t>⚠</w:t>
      </w:r>
      <w:r w:rsidRPr="001601A6">
        <w:t xml:space="preserve"> becomes an open gap only after local confirmation. Once confirmed, the Gap Tracker is the system of record for owner, target remediation date, status, and remediation notes; the Master Crosswalk mirrors that record and ASCR-12 consumes the confirmed status for quarterly reporting. A candidate or open gap does not suspend an underlying legal notification obligation.</w:t>
      </w:r>
    </w:p>
    <w:p w14:paraId="70D415FB" w14:textId="199590B0" w:rsidR="00BB0DB9" w:rsidRPr="001601A6" w:rsidRDefault="00BB0DB9" w:rsidP="001601A6">
      <w:pPr>
        <w:pStyle w:val="P0-Paragraph"/>
      </w:pPr>
    </w:p>
    <w:tbl>
      <w:tblPr>
        <w:tblStyle w:val="afd"/>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80"/>
        <w:gridCol w:w="1840"/>
        <w:gridCol w:w="1560"/>
        <w:gridCol w:w="1560"/>
        <w:gridCol w:w="1560"/>
        <w:gridCol w:w="1560"/>
      </w:tblGrid>
      <w:tr w:rsidR="00BB0DB9" w:rsidRPr="001601A6" w14:paraId="6E542916" w14:textId="77777777" w:rsidTr="001601A6">
        <w:trPr>
          <w:cantSplit/>
          <w:tblHeader/>
          <w:jc w:val="center"/>
        </w:trPr>
        <w:tc>
          <w:tcPr>
            <w:tcW w:w="1280" w:type="dxa"/>
            <w:shd w:val="clear" w:color="auto" w:fill="1F3864"/>
          </w:tcPr>
          <w:p w14:paraId="135C28BC" w14:textId="77777777" w:rsidR="00BB0DB9" w:rsidRPr="001601A6" w:rsidRDefault="00000000" w:rsidP="001601A6">
            <w:pPr>
              <w:pStyle w:val="P0-Paragraph"/>
              <w:jc w:val="left"/>
              <w:rPr>
                <w:rStyle w:val="CS-Keyword"/>
              </w:rPr>
            </w:pPr>
            <w:r w:rsidRPr="001601A6">
              <w:rPr>
                <w:rStyle w:val="CS-Keyword"/>
              </w:rPr>
              <w:lastRenderedPageBreak/>
              <w:t>Framework</w:t>
            </w:r>
          </w:p>
        </w:tc>
        <w:tc>
          <w:tcPr>
            <w:tcW w:w="1840" w:type="dxa"/>
            <w:shd w:val="clear" w:color="auto" w:fill="1F3864"/>
          </w:tcPr>
          <w:p w14:paraId="51937329" w14:textId="77777777" w:rsidR="00BB0DB9" w:rsidRPr="001601A6" w:rsidRDefault="00000000" w:rsidP="001601A6">
            <w:pPr>
              <w:pStyle w:val="P0-Paragraph"/>
              <w:jc w:val="left"/>
              <w:rPr>
                <w:rStyle w:val="CS-Keyword"/>
              </w:rPr>
            </w:pPr>
            <w:r w:rsidRPr="001601A6">
              <w:rPr>
                <w:rStyle w:val="CS-Keyword"/>
              </w:rPr>
              <w:t>Trigger / scope</w:t>
            </w:r>
          </w:p>
        </w:tc>
        <w:tc>
          <w:tcPr>
            <w:tcW w:w="1560" w:type="dxa"/>
            <w:shd w:val="clear" w:color="auto" w:fill="1F3864"/>
          </w:tcPr>
          <w:p w14:paraId="20B5D4F2" w14:textId="77777777" w:rsidR="00BB0DB9" w:rsidRPr="001601A6" w:rsidRDefault="00000000" w:rsidP="001601A6">
            <w:pPr>
              <w:pStyle w:val="P0-Paragraph"/>
              <w:jc w:val="left"/>
              <w:rPr>
                <w:rStyle w:val="CS-Keyword"/>
              </w:rPr>
            </w:pPr>
            <w:r w:rsidRPr="001601A6">
              <w:rPr>
                <w:rStyle w:val="CS-Keyword"/>
              </w:rPr>
              <w:t>First deadline</w:t>
            </w:r>
          </w:p>
        </w:tc>
        <w:tc>
          <w:tcPr>
            <w:tcW w:w="1560" w:type="dxa"/>
            <w:shd w:val="clear" w:color="auto" w:fill="1F3864"/>
          </w:tcPr>
          <w:p w14:paraId="7AB714B6" w14:textId="77777777" w:rsidR="00BB0DB9" w:rsidRPr="001601A6" w:rsidRDefault="00000000" w:rsidP="001601A6">
            <w:pPr>
              <w:pStyle w:val="P0-Paragraph"/>
              <w:jc w:val="left"/>
              <w:rPr>
                <w:rStyle w:val="CS-Keyword"/>
              </w:rPr>
            </w:pPr>
            <w:r w:rsidRPr="001601A6">
              <w:rPr>
                <w:rStyle w:val="CS-Keyword"/>
              </w:rPr>
              <w:t>Intermediate / accelerated</w:t>
            </w:r>
          </w:p>
        </w:tc>
        <w:tc>
          <w:tcPr>
            <w:tcW w:w="1560" w:type="dxa"/>
            <w:shd w:val="clear" w:color="auto" w:fill="1F3864"/>
          </w:tcPr>
          <w:p w14:paraId="5CA29149" w14:textId="77777777" w:rsidR="00BB0DB9" w:rsidRPr="001601A6" w:rsidRDefault="00000000" w:rsidP="001601A6">
            <w:pPr>
              <w:pStyle w:val="P0-Paragraph"/>
              <w:jc w:val="left"/>
              <w:rPr>
                <w:rStyle w:val="CS-Keyword"/>
              </w:rPr>
            </w:pPr>
            <w:r w:rsidRPr="001601A6">
              <w:rPr>
                <w:rStyle w:val="CS-Keyword"/>
              </w:rPr>
              <w:t>Final / complete</w:t>
            </w:r>
          </w:p>
        </w:tc>
        <w:tc>
          <w:tcPr>
            <w:tcW w:w="1560" w:type="dxa"/>
            <w:shd w:val="clear" w:color="auto" w:fill="1F3864"/>
          </w:tcPr>
          <w:p w14:paraId="63AC916F" w14:textId="77777777" w:rsidR="00BB0DB9" w:rsidRPr="001601A6" w:rsidRDefault="00000000" w:rsidP="001601A6">
            <w:pPr>
              <w:pStyle w:val="P0-Paragraph"/>
              <w:jc w:val="left"/>
              <w:rPr>
                <w:rStyle w:val="CS-Keyword"/>
              </w:rPr>
            </w:pPr>
            <w:r w:rsidRPr="001601A6">
              <w:rPr>
                <w:rStyle w:val="CS-Keyword"/>
              </w:rPr>
              <w:t>Authority</w:t>
            </w:r>
          </w:p>
        </w:tc>
      </w:tr>
      <w:tr w:rsidR="00BB0DB9" w:rsidRPr="001601A6" w14:paraId="2BE219D6" w14:textId="77777777" w:rsidTr="001601A6">
        <w:trPr>
          <w:cantSplit/>
          <w:jc w:val="center"/>
        </w:trPr>
        <w:tc>
          <w:tcPr>
            <w:tcW w:w="1280" w:type="dxa"/>
            <w:shd w:val="clear" w:color="auto" w:fill="FFFFFF"/>
          </w:tcPr>
          <w:p w14:paraId="2DB9220F" w14:textId="77777777" w:rsidR="00BB0DB9" w:rsidRPr="001601A6" w:rsidRDefault="00000000" w:rsidP="001601A6">
            <w:pPr>
              <w:pStyle w:val="P0-Paragraph"/>
              <w:jc w:val="left"/>
            </w:pPr>
            <w:r w:rsidRPr="001601A6">
              <w:t>NIS2 Art. 23</w:t>
            </w:r>
          </w:p>
        </w:tc>
        <w:tc>
          <w:tcPr>
            <w:tcW w:w="1840" w:type="dxa"/>
            <w:shd w:val="clear" w:color="auto" w:fill="FFFFFF"/>
          </w:tcPr>
          <w:p w14:paraId="325C7709" w14:textId="77777777" w:rsidR="00BB0DB9" w:rsidRPr="001601A6" w:rsidRDefault="00000000" w:rsidP="001601A6">
            <w:pPr>
              <w:pStyle w:val="P0-Paragraph"/>
              <w:jc w:val="left"/>
            </w:pPr>
            <w:r w:rsidRPr="001601A6">
              <w:t>Entity becomes aware of a significant incident; verify national transposition</w:t>
            </w:r>
          </w:p>
        </w:tc>
        <w:tc>
          <w:tcPr>
            <w:tcW w:w="1560" w:type="dxa"/>
            <w:shd w:val="clear" w:color="auto" w:fill="FFFFFF"/>
          </w:tcPr>
          <w:p w14:paraId="204F6917" w14:textId="77777777" w:rsidR="00BB0DB9" w:rsidRPr="001601A6" w:rsidRDefault="00000000" w:rsidP="001601A6">
            <w:pPr>
              <w:pStyle w:val="P0-Paragraph"/>
              <w:jc w:val="left"/>
            </w:pPr>
            <w:r w:rsidRPr="001601A6">
              <w:t>Early warning: within 24 hours</w:t>
            </w:r>
          </w:p>
        </w:tc>
        <w:tc>
          <w:tcPr>
            <w:tcW w:w="1560" w:type="dxa"/>
            <w:shd w:val="clear" w:color="auto" w:fill="FFFFFF"/>
          </w:tcPr>
          <w:p w14:paraId="217F6283" w14:textId="77777777" w:rsidR="00BB0DB9" w:rsidRPr="001601A6" w:rsidRDefault="00000000" w:rsidP="001601A6">
            <w:pPr>
              <w:pStyle w:val="P0-Paragraph"/>
              <w:jc w:val="left"/>
            </w:pPr>
            <w:r w:rsidRPr="001601A6">
              <w:t>Incident notification: within 72 hours; intermediate report on request</w:t>
            </w:r>
          </w:p>
        </w:tc>
        <w:tc>
          <w:tcPr>
            <w:tcW w:w="1560" w:type="dxa"/>
            <w:shd w:val="clear" w:color="auto" w:fill="FFFFFF"/>
          </w:tcPr>
          <w:p w14:paraId="2EF2F62F" w14:textId="77777777" w:rsidR="00BB0DB9" w:rsidRPr="001601A6" w:rsidRDefault="00000000" w:rsidP="001601A6">
            <w:pPr>
              <w:pStyle w:val="P0-Paragraph"/>
              <w:jc w:val="left"/>
            </w:pPr>
            <w:r w:rsidRPr="001601A6">
              <w:t>Final report: within 1 month after incident notification; ongoing incidents use progress + later final report</w:t>
            </w:r>
          </w:p>
        </w:tc>
        <w:tc>
          <w:tcPr>
            <w:tcW w:w="1560" w:type="dxa"/>
            <w:shd w:val="clear" w:color="auto" w:fill="FFFFFF"/>
          </w:tcPr>
          <w:p w14:paraId="39DB4490" w14:textId="77777777" w:rsidR="00BB0DB9" w:rsidRPr="001601A6" w:rsidRDefault="00000000" w:rsidP="001601A6">
            <w:pPr>
              <w:pStyle w:val="P0-Paragraph"/>
              <w:jc w:val="left"/>
            </w:pPr>
            <w:r w:rsidRPr="001601A6">
              <w:t>CSIRT or competent authority under applicable national law</w:t>
            </w:r>
          </w:p>
        </w:tc>
      </w:tr>
      <w:tr w:rsidR="00BB0DB9" w:rsidRPr="001601A6" w14:paraId="02BB0925" w14:textId="77777777" w:rsidTr="001601A6">
        <w:trPr>
          <w:cantSplit/>
          <w:jc w:val="center"/>
        </w:trPr>
        <w:tc>
          <w:tcPr>
            <w:tcW w:w="1280" w:type="dxa"/>
            <w:shd w:val="clear" w:color="auto" w:fill="D9E2F3"/>
          </w:tcPr>
          <w:p w14:paraId="1C05F233" w14:textId="77777777" w:rsidR="00BB0DB9" w:rsidRPr="001601A6" w:rsidRDefault="00000000" w:rsidP="001601A6">
            <w:pPr>
              <w:pStyle w:val="P0-Paragraph"/>
              <w:jc w:val="left"/>
            </w:pPr>
            <w:r w:rsidRPr="001601A6">
              <w:t>EU AI Act Art. 73</w:t>
            </w:r>
          </w:p>
        </w:tc>
        <w:tc>
          <w:tcPr>
            <w:tcW w:w="1840" w:type="dxa"/>
            <w:shd w:val="clear" w:color="auto" w:fill="D9E2F3"/>
          </w:tcPr>
          <w:p w14:paraId="2B293EA2" w14:textId="77777777" w:rsidR="00BB0DB9" w:rsidRPr="001601A6" w:rsidRDefault="00000000" w:rsidP="001601A6">
            <w:pPr>
              <w:pStyle w:val="P0-Paragraph"/>
              <w:jc w:val="left"/>
            </w:pPr>
            <w:r w:rsidRPr="001601A6">
              <w:t>Provider of a high-risk AI system reports serious incidents under Art. 73. A deployer that identifies a serious incident must immediately inform the provider, then the importer or distributor and the relevant market-surveillance authorities under Art. 26(5); if the provider cannot be reached, Art. 73 applies to the deployer mutatis mutandis. Apply this timing row only after the Section 1.3 / Table 1.2 high-risk role, classification, and application-date gate is met.</w:t>
            </w:r>
          </w:p>
        </w:tc>
        <w:tc>
          <w:tcPr>
            <w:tcW w:w="1560" w:type="dxa"/>
            <w:shd w:val="clear" w:color="auto" w:fill="D9E2F3"/>
          </w:tcPr>
          <w:p w14:paraId="685497DA" w14:textId="77777777" w:rsidR="00BB0DB9" w:rsidRPr="001601A6" w:rsidRDefault="00000000" w:rsidP="001601A6">
            <w:pPr>
              <w:pStyle w:val="P0-Paragraph"/>
              <w:jc w:val="left"/>
            </w:pPr>
            <w:r w:rsidRPr="001601A6">
              <w:t>Provider report: immediately after establishing a causal link or reasonable likelihood of one, and in any event no later than 15 days after the provider or, where applicable, the deployer becomes aware.</w:t>
            </w:r>
          </w:p>
        </w:tc>
        <w:tc>
          <w:tcPr>
            <w:tcW w:w="1560" w:type="dxa"/>
            <w:shd w:val="clear" w:color="auto" w:fill="D9E2F3"/>
          </w:tcPr>
          <w:p w14:paraId="10527F95" w14:textId="77777777" w:rsidR="00BB0DB9" w:rsidRPr="001601A6" w:rsidRDefault="00000000" w:rsidP="001601A6">
            <w:pPr>
              <w:pStyle w:val="P0-Paragraph"/>
              <w:jc w:val="left"/>
            </w:pPr>
            <w:r w:rsidRPr="001601A6">
              <w:t>Immediately and no later than 2 days for a widespread infringement or a serious incident under Art. 3(49)(b); immediately and no later than 10 days for a death, subject to Art. 73(4).</w:t>
            </w:r>
          </w:p>
        </w:tc>
        <w:tc>
          <w:tcPr>
            <w:tcW w:w="1560" w:type="dxa"/>
            <w:shd w:val="clear" w:color="auto" w:fill="D9E2F3"/>
          </w:tcPr>
          <w:p w14:paraId="47F5347F" w14:textId="77777777" w:rsidR="00BB0DB9" w:rsidRPr="001601A6" w:rsidRDefault="00000000" w:rsidP="001601A6">
            <w:pPr>
              <w:pStyle w:val="P0-Paragraph"/>
              <w:jc w:val="left"/>
            </w:pPr>
            <w:r w:rsidRPr="001601A6">
              <w:t>Where necessary for timely reporting, an initial incomplete report may be followed by a complete report; provider investigation follows without delay.</w:t>
            </w:r>
          </w:p>
        </w:tc>
        <w:tc>
          <w:tcPr>
            <w:tcW w:w="1560" w:type="dxa"/>
            <w:shd w:val="clear" w:color="auto" w:fill="D9E2F3"/>
          </w:tcPr>
          <w:p w14:paraId="24EBBCE9" w14:textId="77777777" w:rsidR="00BB0DB9" w:rsidRPr="001601A6" w:rsidRDefault="00000000" w:rsidP="001601A6">
            <w:pPr>
              <w:pStyle w:val="P0-Paragraph"/>
              <w:jc w:val="left"/>
            </w:pPr>
            <w:r w:rsidRPr="001601A6">
              <w:t>Market surveillance authority / competent authority</w:t>
            </w:r>
          </w:p>
        </w:tc>
      </w:tr>
      <w:tr w:rsidR="00BB0DB9" w:rsidRPr="001601A6" w14:paraId="1E40DF8C" w14:textId="77777777" w:rsidTr="001601A6">
        <w:trPr>
          <w:cantSplit/>
          <w:jc w:val="center"/>
        </w:trPr>
        <w:tc>
          <w:tcPr>
            <w:tcW w:w="1280" w:type="dxa"/>
            <w:shd w:val="clear" w:color="auto" w:fill="FFFFFF"/>
          </w:tcPr>
          <w:p w14:paraId="5C5A8364" w14:textId="77777777" w:rsidR="00BB0DB9" w:rsidRPr="001601A6" w:rsidRDefault="00000000" w:rsidP="001601A6">
            <w:pPr>
              <w:pStyle w:val="P0-Paragraph"/>
              <w:jc w:val="left"/>
            </w:pPr>
            <w:r w:rsidRPr="001601A6">
              <w:lastRenderedPageBreak/>
              <w:t>DORA Art. 19 + Delegated Regulation (EU) 2025/301</w:t>
            </w:r>
          </w:p>
        </w:tc>
        <w:tc>
          <w:tcPr>
            <w:tcW w:w="1840" w:type="dxa"/>
            <w:shd w:val="clear" w:color="auto" w:fill="FFFFFF"/>
          </w:tcPr>
          <w:p w14:paraId="176F80F4" w14:textId="77777777" w:rsidR="00BB0DB9" w:rsidRPr="001601A6" w:rsidRDefault="00000000" w:rsidP="001601A6">
            <w:pPr>
              <w:pStyle w:val="P0-Paragraph"/>
              <w:jc w:val="left"/>
            </w:pPr>
            <w:r w:rsidRPr="001601A6">
              <w:t>In-scope financial entity classifies an ICT incident as major</w:t>
            </w:r>
          </w:p>
        </w:tc>
        <w:tc>
          <w:tcPr>
            <w:tcW w:w="1560" w:type="dxa"/>
            <w:shd w:val="clear" w:color="auto" w:fill="FFFFFF"/>
          </w:tcPr>
          <w:p w14:paraId="2BB2D128" w14:textId="77777777" w:rsidR="00BB0DB9" w:rsidRPr="001601A6" w:rsidRDefault="00000000" w:rsidP="001601A6">
            <w:pPr>
              <w:pStyle w:val="P0-Paragraph"/>
              <w:jc w:val="left"/>
            </w:pPr>
            <w:r w:rsidRPr="001601A6">
              <w:t>As early as possible; within 4 hours of major classification and no later than 24 hours after awareness</w:t>
            </w:r>
          </w:p>
        </w:tc>
        <w:tc>
          <w:tcPr>
            <w:tcW w:w="1560" w:type="dxa"/>
            <w:shd w:val="clear" w:color="auto" w:fill="FFFFFF"/>
          </w:tcPr>
          <w:p w14:paraId="060EAE12" w14:textId="77777777" w:rsidR="00BB0DB9" w:rsidRPr="001601A6" w:rsidRDefault="00000000" w:rsidP="001601A6">
            <w:pPr>
              <w:pStyle w:val="P0-Paragraph"/>
              <w:jc w:val="left"/>
            </w:pPr>
            <w:r w:rsidRPr="001601A6">
              <w:t>Intermediate report within 72 hours after initial notification; update without undue delay on material change / recovery</w:t>
            </w:r>
          </w:p>
        </w:tc>
        <w:tc>
          <w:tcPr>
            <w:tcW w:w="1560" w:type="dxa"/>
            <w:shd w:val="clear" w:color="auto" w:fill="FFFFFF"/>
          </w:tcPr>
          <w:p w14:paraId="7C38A767" w14:textId="77777777" w:rsidR="00BB0DB9" w:rsidRPr="001601A6" w:rsidRDefault="00000000" w:rsidP="001601A6">
            <w:pPr>
              <w:pStyle w:val="P0-Paragraph"/>
              <w:jc w:val="left"/>
            </w:pPr>
            <w:r w:rsidRPr="001601A6">
              <w:t>Final report no later than 1 month after the intermediate or latest updated intermediate report</w:t>
            </w:r>
          </w:p>
        </w:tc>
        <w:tc>
          <w:tcPr>
            <w:tcW w:w="1560" w:type="dxa"/>
            <w:shd w:val="clear" w:color="auto" w:fill="FFFFFF"/>
          </w:tcPr>
          <w:p w14:paraId="247B0378" w14:textId="77777777" w:rsidR="00BB0DB9" w:rsidRPr="001601A6" w:rsidRDefault="00000000" w:rsidP="001601A6">
            <w:pPr>
              <w:pStyle w:val="P0-Paragraph"/>
              <w:jc w:val="left"/>
            </w:pPr>
            <w:r w:rsidRPr="001601A6">
              <w:t>Relevant DORA competent authority</w:t>
            </w:r>
          </w:p>
        </w:tc>
      </w:tr>
      <w:tr w:rsidR="00BB0DB9" w:rsidRPr="001601A6" w14:paraId="71A41D08" w14:textId="77777777" w:rsidTr="001601A6">
        <w:trPr>
          <w:cantSplit/>
          <w:jc w:val="center"/>
        </w:trPr>
        <w:tc>
          <w:tcPr>
            <w:tcW w:w="1280" w:type="dxa"/>
            <w:shd w:val="clear" w:color="auto" w:fill="D9E2F3"/>
          </w:tcPr>
          <w:p w14:paraId="39CCC63E" w14:textId="77777777" w:rsidR="00BB0DB9" w:rsidRPr="001601A6" w:rsidRDefault="00000000" w:rsidP="001601A6">
            <w:pPr>
              <w:pStyle w:val="P0-Paragraph"/>
              <w:jc w:val="left"/>
            </w:pPr>
            <w:r w:rsidRPr="001601A6">
              <w:t>GDPR Art. 33</w:t>
            </w:r>
          </w:p>
        </w:tc>
        <w:tc>
          <w:tcPr>
            <w:tcW w:w="1840" w:type="dxa"/>
            <w:shd w:val="clear" w:color="auto" w:fill="D9E2F3"/>
          </w:tcPr>
          <w:p w14:paraId="7FDDFDD4" w14:textId="77777777" w:rsidR="00BB0DB9" w:rsidRPr="001601A6" w:rsidRDefault="00000000" w:rsidP="001601A6">
            <w:pPr>
              <w:pStyle w:val="P0-Paragraph"/>
              <w:jc w:val="left"/>
            </w:pPr>
            <w:r w:rsidRPr="001601A6">
              <w:t>Controller becomes aware of a personal-data breach; notification applies unless the breach is unlikely to result in a risk to the rights and freedoms of natural persons</w:t>
            </w:r>
          </w:p>
        </w:tc>
        <w:tc>
          <w:tcPr>
            <w:tcW w:w="1560" w:type="dxa"/>
            <w:shd w:val="clear" w:color="auto" w:fill="D9E2F3"/>
          </w:tcPr>
          <w:p w14:paraId="025FAEE5" w14:textId="77777777" w:rsidR="00BB0DB9" w:rsidRPr="001601A6" w:rsidRDefault="00000000" w:rsidP="001601A6">
            <w:pPr>
              <w:pStyle w:val="P0-Paragraph"/>
              <w:jc w:val="left"/>
            </w:pPr>
            <w:r w:rsidRPr="001601A6">
              <w:t>Supervisory-authority notification: without undue delay and, where feasible, within 72 hours after awareness</w:t>
            </w:r>
          </w:p>
        </w:tc>
        <w:tc>
          <w:tcPr>
            <w:tcW w:w="1560" w:type="dxa"/>
            <w:shd w:val="clear" w:color="auto" w:fill="D9E2F3"/>
          </w:tcPr>
          <w:p w14:paraId="2BC54ADA" w14:textId="77777777" w:rsidR="00BB0DB9" w:rsidRPr="001601A6" w:rsidRDefault="00000000" w:rsidP="001601A6">
            <w:pPr>
              <w:pStyle w:val="P0-Paragraph"/>
              <w:jc w:val="left"/>
            </w:pPr>
            <w:r w:rsidRPr="001601A6">
              <w:t>If notification is not made within 72 hours, reasons for delay accompany it; required information may be provided in phases without undue further delay</w:t>
            </w:r>
          </w:p>
        </w:tc>
        <w:tc>
          <w:tcPr>
            <w:tcW w:w="1560" w:type="dxa"/>
            <w:shd w:val="clear" w:color="auto" w:fill="D9E2F3"/>
          </w:tcPr>
          <w:p w14:paraId="4AD567DC" w14:textId="77777777" w:rsidR="00BB0DB9" w:rsidRPr="001601A6" w:rsidRDefault="00000000" w:rsidP="001601A6">
            <w:pPr>
              <w:pStyle w:val="P0-Paragraph"/>
              <w:jc w:val="left"/>
            </w:pPr>
            <w:r w:rsidRPr="001601A6">
              <w:t xml:space="preserve">Complete </w:t>
            </w:r>
            <w:proofErr w:type="gramStart"/>
            <w:r w:rsidRPr="001601A6">
              <w:t>the Article</w:t>
            </w:r>
            <w:proofErr w:type="gramEnd"/>
            <w:r w:rsidRPr="001601A6">
              <w:t xml:space="preserve"> 33 notification and document the breach under Article 33(5); assess Article 34 data-subject communication separately</w:t>
            </w:r>
          </w:p>
        </w:tc>
        <w:tc>
          <w:tcPr>
            <w:tcW w:w="1560" w:type="dxa"/>
            <w:shd w:val="clear" w:color="auto" w:fill="D9E2F3"/>
          </w:tcPr>
          <w:p w14:paraId="77FE4B85" w14:textId="77777777" w:rsidR="00BB0DB9" w:rsidRPr="001601A6" w:rsidRDefault="00000000" w:rsidP="001601A6">
            <w:pPr>
              <w:pStyle w:val="P0-Paragraph"/>
              <w:jc w:val="left"/>
            </w:pPr>
            <w:r w:rsidRPr="001601A6">
              <w:t>Competent supervisory authority</w:t>
            </w:r>
          </w:p>
        </w:tc>
      </w:tr>
      <w:tr w:rsidR="00BB0DB9" w:rsidRPr="001601A6" w14:paraId="27F65C4C" w14:textId="77777777" w:rsidTr="001601A6">
        <w:trPr>
          <w:cantSplit/>
          <w:jc w:val="center"/>
        </w:trPr>
        <w:tc>
          <w:tcPr>
            <w:tcW w:w="1280" w:type="dxa"/>
            <w:shd w:val="clear" w:color="auto" w:fill="FFFFFF"/>
          </w:tcPr>
          <w:p w14:paraId="3FFAB584" w14:textId="77777777" w:rsidR="00BB0DB9" w:rsidRPr="001601A6" w:rsidRDefault="00000000" w:rsidP="001601A6">
            <w:pPr>
              <w:pStyle w:val="P0-Paragraph"/>
              <w:jc w:val="left"/>
            </w:pPr>
            <w:r w:rsidRPr="001601A6">
              <w:t>CRA Art. 14 — actively exploited vulnerability</w:t>
            </w:r>
          </w:p>
        </w:tc>
        <w:tc>
          <w:tcPr>
            <w:tcW w:w="1840" w:type="dxa"/>
            <w:shd w:val="clear" w:color="auto" w:fill="FFFFFF"/>
          </w:tcPr>
          <w:p w14:paraId="10125B4D" w14:textId="77777777" w:rsidR="00BB0DB9" w:rsidRPr="001601A6" w:rsidRDefault="00000000" w:rsidP="001601A6">
            <w:pPr>
              <w:pStyle w:val="P0-Paragraph"/>
              <w:jc w:val="left"/>
            </w:pPr>
            <w:proofErr w:type="gramStart"/>
            <w:r w:rsidRPr="001601A6">
              <w:t>Manufacturer becomes</w:t>
            </w:r>
            <w:proofErr w:type="gramEnd"/>
            <w:r w:rsidRPr="001601A6">
              <w:t xml:space="preserve"> aware of an actively exploited vulnerability in a product with digital elements; Article 14 applies from 11 Sep 2026</w:t>
            </w:r>
          </w:p>
        </w:tc>
        <w:tc>
          <w:tcPr>
            <w:tcW w:w="1560" w:type="dxa"/>
            <w:shd w:val="clear" w:color="auto" w:fill="FFFFFF"/>
          </w:tcPr>
          <w:p w14:paraId="2B45645A" w14:textId="77777777" w:rsidR="00BB0DB9" w:rsidRPr="001601A6" w:rsidRDefault="00000000" w:rsidP="001601A6">
            <w:pPr>
              <w:pStyle w:val="P0-Paragraph"/>
              <w:jc w:val="left"/>
            </w:pPr>
            <w:r w:rsidRPr="001601A6">
              <w:t>Early warning: without undue delay and within 24 hours</w:t>
            </w:r>
          </w:p>
        </w:tc>
        <w:tc>
          <w:tcPr>
            <w:tcW w:w="1560" w:type="dxa"/>
            <w:shd w:val="clear" w:color="auto" w:fill="FFFFFF"/>
          </w:tcPr>
          <w:p w14:paraId="2027A032" w14:textId="77777777" w:rsidR="00BB0DB9" w:rsidRPr="001601A6" w:rsidRDefault="00000000" w:rsidP="001601A6">
            <w:pPr>
              <w:pStyle w:val="P0-Paragraph"/>
              <w:jc w:val="left"/>
            </w:pPr>
            <w:r w:rsidRPr="001601A6">
              <w:t>Vulnerability notification: without undue delay and within 72 hours</w:t>
            </w:r>
          </w:p>
        </w:tc>
        <w:tc>
          <w:tcPr>
            <w:tcW w:w="1560" w:type="dxa"/>
            <w:shd w:val="clear" w:color="auto" w:fill="FFFFFF"/>
          </w:tcPr>
          <w:p w14:paraId="2B396D4A" w14:textId="77777777" w:rsidR="00BB0DB9" w:rsidRPr="001601A6" w:rsidRDefault="00000000" w:rsidP="001601A6">
            <w:pPr>
              <w:pStyle w:val="P0-Paragraph"/>
              <w:jc w:val="left"/>
            </w:pPr>
            <w:r w:rsidRPr="001601A6">
              <w:t>Final report: no later than 14 days after a corrective or mitigating measure is available</w:t>
            </w:r>
          </w:p>
        </w:tc>
        <w:tc>
          <w:tcPr>
            <w:tcW w:w="1560" w:type="dxa"/>
            <w:shd w:val="clear" w:color="auto" w:fill="FFFFFF"/>
          </w:tcPr>
          <w:p w14:paraId="55228287" w14:textId="77777777" w:rsidR="00BB0DB9" w:rsidRPr="001601A6" w:rsidRDefault="00000000" w:rsidP="001601A6">
            <w:pPr>
              <w:pStyle w:val="P0-Paragraph"/>
              <w:jc w:val="left"/>
            </w:pPr>
            <w:r w:rsidRPr="001601A6">
              <w:t xml:space="preserve">CSIRT </w:t>
            </w:r>
            <w:proofErr w:type="gramStart"/>
            <w:r w:rsidRPr="001601A6">
              <w:t>designated</w:t>
            </w:r>
            <w:proofErr w:type="gramEnd"/>
            <w:r w:rsidRPr="001601A6">
              <w:t xml:space="preserve"> as coordinator and ENISA via the single reporting platform</w:t>
            </w:r>
          </w:p>
        </w:tc>
      </w:tr>
      <w:tr w:rsidR="00BB0DB9" w:rsidRPr="001601A6" w14:paraId="3407E725" w14:textId="77777777" w:rsidTr="001601A6">
        <w:trPr>
          <w:cantSplit/>
          <w:jc w:val="center"/>
        </w:trPr>
        <w:tc>
          <w:tcPr>
            <w:tcW w:w="1280" w:type="dxa"/>
            <w:shd w:val="clear" w:color="auto" w:fill="D9E2F3"/>
          </w:tcPr>
          <w:p w14:paraId="313F8EA0" w14:textId="77777777" w:rsidR="00BB0DB9" w:rsidRPr="001601A6" w:rsidRDefault="00000000" w:rsidP="001601A6">
            <w:pPr>
              <w:pStyle w:val="P0-Paragraph"/>
              <w:jc w:val="left"/>
            </w:pPr>
            <w:r w:rsidRPr="001601A6">
              <w:lastRenderedPageBreak/>
              <w:t>CRA Art. 14 — severe product-security incident</w:t>
            </w:r>
          </w:p>
        </w:tc>
        <w:tc>
          <w:tcPr>
            <w:tcW w:w="1840" w:type="dxa"/>
            <w:shd w:val="clear" w:color="auto" w:fill="D9E2F3"/>
          </w:tcPr>
          <w:p w14:paraId="6E4F60BF" w14:textId="77777777" w:rsidR="00BB0DB9" w:rsidRPr="001601A6" w:rsidRDefault="00000000" w:rsidP="001601A6">
            <w:pPr>
              <w:pStyle w:val="P0-Paragraph"/>
              <w:jc w:val="left"/>
            </w:pPr>
            <w:proofErr w:type="gramStart"/>
            <w:r w:rsidRPr="001601A6">
              <w:t>Manufacturer becomes</w:t>
            </w:r>
            <w:proofErr w:type="gramEnd"/>
            <w:r w:rsidRPr="001601A6">
              <w:t xml:space="preserve"> aware of a severe incident having an impact on the security of a product with digital elements; Article 14 applies from 11 Sep 2026</w:t>
            </w:r>
          </w:p>
        </w:tc>
        <w:tc>
          <w:tcPr>
            <w:tcW w:w="1560" w:type="dxa"/>
            <w:shd w:val="clear" w:color="auto" w:fill="D9E2F3"/>
          </w:tcPr>
          <w:p w14:paraId="763F6A4E" w14:textId="77777777" w:rsidR="00BB0DB9" w:rsidRPr="001601A6" w:rsidRDefault="00000000" w:rsidP="001601A6">
            <w:pPr>
              <w:pStyle w:val="P0-Paragraph"/>
              <w:jc w:val="left"/>
            </w:pPr>
            <w:r w:rsidRPr="001601A6">
              <w:t>Early warning: without undue delay and within 24 hours</w:t>
            </w:r>
          </w:p>
        </w:tc>
        <w:tc>
          <w:tcPr>
            <w:tcW w:w="1560" w:type="dxa"/>
            <w:shd w:val="clear" w:color="auto" w:fill="D9E2F3"/>
          </w:tcPr>
          <w:p w14:paraId="79DE3A54" w14:textId="77777777" w:rsidR="00BB0DB9" w:rsidRPr="001601A6" w:rsidRDefault="00000000" w:rsidP="001601A6">
            <w:pPr>
              <w:pStyle w:val="P0-Paragraph"/>
              <w:jc w:val="left"/>
            </w:pPr>
            <w:r w:rsidRPr="001601A6">
              <w:t>Incident notification: without undue delay and within 72 hours</w:t>
            </w:r>
          </w:p>
        </w:tc>
        <w:tc>
          <w:tcPr>
            <w:tcW w:w="1560" w:type="dxa"/>
            <w:shd w:val="clear" w:color="auto" w:fill="D9E2F3"/>
          </w:tcPr>
          <w:p w14:paraId="5D709C6E" w14:textId="77777777" w:rsidR="00BB0DB9" w:rsidRPr="001601A6" w:rsidRDefault="00000000" w:rsidP="001601A6">
            <w:pPr>
              <w:pStyle w:val="P0-Paragraph"/>
              <w:jc w:val="left"/>
            </w:pPr>
            <w:r w:rsidRPr="001601A6">
              <w:t>Final report: within 1 month after the incident notification</w:t>
            </w:r>
          </w:p>
        </w:tc>
        <w:tc>
          <w:tcPr>
            <w:tcW w:w="1560" w:type="dxa"/>
            <w:shd w:val="clear" w:color="auto" w:fill="D9E2F3"/>
          </w:tcPr>
          <w:p w14:paraId="442E01CD" w14:textId="77777777" w:rsidR="00BB0DB9" w:rsidRPr="001601A6" w:rsidRDefault="00000000" w:rsidP="001601A6">
            <w:pPr>
              <w:pStyle w:val="P0-Paragraph"/>
              <w:jc w:val="left"/>
            </w:pPr>
            <w:r w:rsidRPr="001601A6">
              <w:t xml:space="preserve">CSIRT </w:t>
            </w:r>
            <w:proofErr w:type="gramStart"/>
            <w:r w:rsidRPr="001601A6">
              <w:t>designated</w:t>
            </w:r>
            <w:proofErr w:type="gramEnd"/>
            <w:r w:rsidRPr="001601A6">
              <w:t xml:space="preserve"> as coordinator and ENISA via the single reporting platform</w:t>
            </w:r>
          </w:p>
        </w:tc>
      </w:tr>
    </w:tbl>
    <w:p w14:paraId="2E3B4FD5" w14:textId="44FA69C6" w:rsidR="00BB0DB9" w:rsidRPr="001601A6" w:rsidRDefault="001601A6" w:rsidP="001601A6">
      <w:pPr>
        <w:pStyle w:val="T0-TableCaption"/>
      </w:pPr>
      <w:r w:rsidRPr="001601A6">
        <w:t>Table 1.4</w:t>
      </w:r>
      <w:r>
        <w:t xml:space="preserve"> –</w:t>
      </w:r>
      <w:r w:rsidRPr="001601A6">
        <w:t xml:space="preserve"> Notification timing reference</w:t>
      </w:r>
    </w:p>
    <w:p w14:paraId="34726C9B" w14:textId="77777777" w:rsidR="00BB0DB9" w:rsidRPr="001601A6" w:rsidRDefault="00000000" w:rsidP="001601A6">
      <w:pPr>
        <w:pStyle w:val="P0-Paragraph"/>
      </w:pPr>
      <w:r w:rsidRPr="001601A6">
        <w:t>CRA notification timing is included as a regulatory-timing reference. This ASCR-02 release does not claim a complete row-level CRA control crosswalk. Organizations subject to the CRA must establish deployment-specific CRA mappings and reporting procedures before reliance.</w:t>
      </w:r>
    </w:p>
    <w:p w14:paraId="24BD4210" w14:textId="77777777" w:rsidR="00BB0DB9" w:rsidRPr="001601A6" w:rsidRDefault="00000000" w:rsidP="001601A6">
      <w:pPr>
        <w:pStyle w:val="P0-Paragraph"/>
      </w:pPr>
      <w:r w:rsidRPr="001601A6">
        <w:t>Some mappings depend on external systems not governed directly by ASCR artifacts, including SIEM retention infrastructure, enterprise IAM, PKI/HSM services, safety PLCs, hardware interlocks, regulatory case-management tooling, and legal evidence repositories. Validate those dependencies independently before asserting production readiness. For example, ASCR-04 SPIFFE enforcement can support the technical access-control dimension of NIS2 Art. 21(2)(</w:t>
      </w:r>
      <w:proofErr w:type="spellStart"/>
      <w:r w:rsidRPr="001601A6">
        <w:t>i</w:t>
      </w:r>
      <w:proofErr w:type="spellEnd"/>
      <w:r w:rsidRPr="001601A6">
        <w:t>), while the organization must still maintain the applicable identity-governance policy and evidence.</w:t>
      </w:r>
    </w:p>
    <w:p w14:paraId="0B9C2BCB" w14:textId="77777777" w:rsidR="00BB0DB9" w:rsidRPr="001601A6" w:rsidRDefault="00000000" w:rsidP="00AF59F0">
      <w:pPr>
        <w:pStyle w:val="HS-Heading2"/>
      </w:pPr>
      <w:r w:rsidRPr="001601A6">
        <w:t>1.3 EU AI Act applicability gate</w:t>
      </w:r>
    </w:p>
    <w:p w14:paraId="0148C545" w14:textId="77777777" w:rsidR="00BB0DB9" w:rsidRPr="001601A6" w:rsidRDefault="00000000" w:rsidP="001601A6">
      <w:pPr>
        <w:pStyle w:val="P0-Paragraph"/>
      </w:pPr>
      <w:r w:rsidRPr="001601A6">
        <w:t>Before relying on any EU AI Act mapping, determine the organization's role for the system: provider, deployer, importer, distributor, or downstream / general-purpose AI actor as applicable. A single enterprise can hold more than one role across different systems or lifecycle stages.</w:t>
      </w:r>
    </w:p>
    <w:p w14:paraId="5FC49638" w14:textId="77777777" w:rsidR="00BB0DB9" w:rsidRPr="001601A6" w:rsidRDefault="00000000" w:rsidP="001601A6">
      <w:pPr>
        <w:pStyle w:val="P0-Paragraph"/>
      </w:pPr>
      <w:r w:rsidRPr="001601A6">
        <w:t>Determine whether the system is classified as high-risk under Article 6 and Annex I or Annex III, including any applicable exclusion or notification path. Apply the phased dates in Table 1.2 before treating a high-risk mapping as a current obligation.</w:t>
      </w:r>
    </w:p>
    <w:p w14:paraId="13C3DE5B" w14:textId="77777777" w:rsidR="00BB0DB9" w:rsidRPr="001601A6" w:rsidRDefault="00000000" w:rsidP="001601A6">
      <w:pPr>
        <w:pStyle w:val="P0-Paragraph"/>
      </w:pPr>
      <w:r w:rsidRPr="001601A6">
        <w:t xml:space="preserve">Where the deployment uses or provides a general-purpose AI model, separately </w:t>
      </w:r>
      <w:proofErr w:type="gramStart"/>
      <w:r w:rsidRPr="001601A6">
        <w:t>assess</w:t>
      </w:r>
      <w:proofErr w:type="gramEnd"/>
      <w:r w:rsidRPr="001601A6">
        <w:t xml:space="preserve"> the applicable GPAI obligations and downstream-provider responsibilities. Article </w:t>
      </w:r>
      <w:proofErr w:type="gramStart"/>
      <w:r w:rsidRPr="001601A6">
        <w:t>50</w:t>
      </w:r>
      <w:proofErr w:type="gramEnd"/>
      <w:r w:rsidRPr="001601A6">
        <w:t xml:space="preserve"> transparency obligations must also be assessed independently where they apply.</w:t>
      </w:r>
    </w:p>
    <w:p w14:paraId="5C35F93C" w14:textId="77777777" w:rsidR="00BB0DB9" w:rsidRPr="001601A6" w:rsidRDefault="00000000" w:rsidP="001601A6">
      <w:pPr>
        <w:pStyle w:val="P0-Paragraph"/>
      </w:pPr>
      <w:r w:rsidRPr="001601A6">
        <w:t>The Master Crosswalk records control-to-provision relationships. It does not replace the role, classification, applicability, conformity-assessment, or legal-interpretation decision that determines whether a provision binds the organization.</w:t>
      </w:r>
    </w:p>
    <w:p w14:paraId="1DA76B22" w14:textId="77777777" w:rsidR="00BB0DB9" w:rsidRPr="001601A6" w:rsidRDefault="00BB0DB9" w:rsidP="001601A6">
      <w:pPr>
        <w:pStyle w:val="P0-Paragraph"/>
      </w:pPr>
    </w:p>
    <w:p w14:paraId="3AC5C640" w14:textId="77777777" w:rsidR="00BB0DB9" w:rsidRPr="001601A6" w:rsidRDefault="00000000" w:rsidP="00AF59F0">
      <w:pPr>
        <w:pStyle w:val="HS-Heading2"/>
      </w:pPr>
      <w:r w:rsidRPr="001601A6">
        <w:t>1.4 Practitioner overlays: enterprise integration and GenAI-specific depth</w:t>
      </w:r>
    </w:p>
    <w:p w14:paraId="5053695B" w14:textId="77777777" w:rsidR="00BB0DB9" w:rsidRPr="001601A6" w:rsidRDefault="00000000" w:rsidP="001601A6">
      <w:pPr>
        <w:pStyle w:val="P0-Paragraph"/>
      </w:pPr>
      <w:r w:rsidRPr="001601A6">
        <w:t xml:space="preserve">The core Master Crosswalk answers the regulatory and control-traceability question: which ASCR control supports which requirement, and what evidence does it produce? The practitioner overlays answer a second </w:t>
      </w:r>
      <w:r w:rsidRPr="001601A6">
        <w:lastRenderedPageBreak/>
        <w:t>question: how can that same control and evidence be integrated into the organization’s existing security, assurance, privacy, and AI-risk-management environment?</w:t>
      </w:r>
    </w:p>
    <w:p w14:paraId="2AFD9550" w14:textId="77777777" w:rsidR="00BB0DB9" w:rsidRPr="001601A6" w:rsidRDefault="00000000" w:rsidP="001601A6">
      <w:pPr>
        <w:pStyle w:val="P0-Paragraph"/>
      </w:pPr>
      <w:r w:rsidRPr="001601A6">
        <w:t>The Enterprise &amp; Assurance Overlay maps the ASCR control set to four complementary practitioner views. ISO/IEC 27001 provides the enterprise ISMS bridge. GDPR identifies privacy and personal-data requirements only where the relevant processing and jurisdictional scope apply. The AICPA Trust Services Criteria identify opportunities to reuse ASCR evidence within SOC 2 assurance activities. ISO/IEC 23894 adds AI-specific risk-management guidance that complements the existing ISO/IEC 42001 and NIST AI RMF mappings.</w:t>
      </w:r>
    </w:p>
    <w:p w14:paraId="5D55DBF4" w14:textId="77777777" w:rsidR="00BB0DB9" w:rsidRPr="001601A6" w:rsidRDefault="00000000" w:rsidP="001601A6">
      <w:pPr>
        <w:pStyle w:val="P0-Paragraph"/>
      </w:pPr>
      <w:r w:rsidRPr="001601A6">
        <w:t>The NIST AI 600-1 GenAI Overlay supplements, rather than replaces, the NIST AI RMF 1.0 column in the Master Crosswalk. It maintains a row-for-row practitioner view of the Master Crosswalk, maps candidate GenAI-specific NIST AI 600-1 Action IDs, and separates source-derived official NIST-associated GAI risk labels and AI Actor Tasks from the ASCR lifecycle/applicability interpretation. A populated row identifies candidate GenAI-specific context for practitioner review; it does not mean every listed risk, action, or actor task is material to every deployment.</w:t>
      </w:r>
    </w:p>
    <w:p w14:paraId="41E3FAD4" w14:textId="77777777" w:rsidR="00BB0DB9" w:rsidRPr="001601A6" w:rsidRDefault="00000000" w:rsidP="001601A6">
      <w:pPr>
        <w:pStyle w:val="P0-Paragraph"/>
      </w:pPr>
      <w:r w:rsidRPr="001601A6">
        <w:t>Neither overlay changes the legal-applicability determination, Gap Tracker status, or primary obligation mapping recorded elsewhere in ASCR-02. Overlay mappings identify integration and evidence-reuse opportunities, not equivalence or automatic satisfaction of another framework.</w:t>
      </w:r>
    </w:p>
    <w:p w14:paraId="2BBBAF7B" w14:textId="51DF8792" w:rsidR="00BB0DB9" w:rsidRPr="001601A6" w:rsidRDefault="00000000" w:rsidP="00AF59F0">
      <w:pPr>
        <w:pStyle w:val="HS-Heading1"/>
      </w:pPr>
      <w:r w:rsidRPr="001601A6">
        <w:rPr>
          <w:rFonts w:eastAsia="Arial"/>
        </w:rPr>
        <w:t>Section 2 — Pillar 1: Strategic baseline and risk intelligence</w:t>
      </w:r>
    </w:p>
    <w:p w14:paraId="11029DC3" w14:textId="4154B94F" w:rsidR="00BB0DB9" w:rsidRPr="001601A6" w:rsidRDefault="00000000" w:rsidP="001601A6">
      <w:pPr>
        <w:pStyle w:val="P0-Paragraph"/>
      </w:pPr>
      <w:r w:rsidRPr="001601A6">
        <w:t>Use the companion workbook Master Crosswalk for the complete row-level mappings. The compact table below identifies the mapped artifact set and the practitioner caveats that are not obvious from filtering alone.</w:t>
      </w:r>
    </w:p>
    <w:tbl>
      <w:tblPr>
        <w:tblStyle w:val="af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35"/>
        <w:gridCol w:w="1779"/>
        <w:gridCol w:w="6246"/>
      </w:tblGrid>
      <w:tr w:rsidR="00BB0DB9" w:rsidRPr="001601A6" w14:paraId="10359B25" w14:textId="77777777" w:rsidTr="00AF59F0">
        <w:trPr>
          <w:cantSplit/>
          <w:tblHeader/>
          <w:jc w:val="center"/>
        </w:trPr>
        <w:tc>
          <w:tcPr>
            <w:tcW w:w="1335" w:type="dxa"/>
            <w:shd w:val="clear" w:color="auto" w:fill="1F3864"/>
          </w:tcPr>
          <w:p w14:paraId="2C6AF431" w14:textId="77777777" w:rsidR="00BB0DB9" w:rsidRPr="001601A6" w:rsidRDefault="00000000" w:rsidP="001601A6">
            <w:pPr>
              <w:pStyle w:val="P0-Paragraph"/>
              <w:rPr>
                <w:rStyle w:val="CS-Keyword"/>
              </w:rPr>
            </w:pPr>
            <w:r w:rsidRPr="001601A6">
              <w:rPr>
                <w:rStyle w:val="CS-Keyword"/>
              </w:rPr>
              <w:t>Artifact</w:t>
            </w:r>
          </w:p>
        </w:tc>
        <w:tc>
          <w:tcPr>
            <w:tcW w:w="1779" w:type="dxa"/>
            <w:shd w:val="clear" w:color="auto" w:fill="1F3864"/>
          </w:tcPr>
          <w:p w14:paraId="1E26D80A" w14:textId="77777777" w:rsidR="00BB0DB9" w:rsidRPr="001601A6" w:rsidRDefault="00000000" w:rsidP="001601A6">
            <w:pPr>
              <w:pStyle w:val="P0-Paragraph"/>
              <w:rPr>
                <w:rStyle w:val="CS-Keyword"/>
              </w:rPr>
            </w:pPr>
            <w:r w:rsidRPr="001601A6">
              <w:rPr>
                <w:rStyle w:val="CS-Keyword"/>
              </w:rPr>
              <w:t>Mapped control rows</w:t>
            </w:r>
          </w:p>
        </w:tc>
        <w:tc>
          <w:tcPr>
            <w:tcW w:w="6246" w:type="dxa"/>
            <w:shd w:val="clear" w:color="auto" w:fill="1F3864"/>
          </w:tcPr>
          <w:p w14:paraId="533AC21C" w14:textId="77777777" w:rsidR="00BB0DB9" w:rsidRPr="001601A6" w:rsidRDefault="00000000" w:rsidP="001601A6">
            <w:pPr>
              <w:pStyle w:val="P0-Paragraph"/>
              <w:rPr>
                <w:rStyle w:val="CS-Keyword"/>
              </w:rPr>
            </w:pPr>
            <w:proofErr w:type="gramStart"/>
            <w:r w:rsidRPr="001601A6">
              <w:rPr>
                <w:rStyle w:val="CS-Keyword"/>
              </w:rPr>
              <w:t>Practitioner</w:t>
            </w:r>
            <w:proofErr w:type="gramEnd"/>
            <w:r w:rsidRPr="001601A6">
              <w:rPr>
                <w:rStyle w:val="CS-Keyword"/>
              </w:rPr>
              <w:t xml:space="preserve"> note</w:t>
            </w:r>
          </w:p>
        </w:tc>
      </w:tr>
      <w:tr w:rsidR="00BB0DB9" w:rsidRPr="001601A6" w14:paraId="3C020A13" w14:textId="77777777" w:rsidTr="00AF59F0">
        <w:trPr>
          <w:cantSplit/>
          <w:jc w:val="center"/>
        </w:trPr>
        <w:tc>
          <w:tcPr>
            <w:tcW w:w="1335" w:type="dxa"/>
            <w:shd w:val="clear" w:color="auto" w:fill="FFFFFF"/>
          </w:tcPr>
          <w:p w14:paraId="738D8E4A" w14:textId="77777777" w:rsidR="00BB0DB9" w:rsidRPr="001601A6" w:rsidRDefault="00000000" w:rsidP="00AF59F0">
            <w:pPr>
              <w:pStyle w:val="P0-Paragraph"/>
              <w:jc w:val="left"/>
            </w:pPr>
            <w:r w:rsidRPr="001601A6">
              <w:t>ASCR-01</w:t>
            </w:r>
          </w:p>
        </w:tc>
        <w:tc>
          <w:tcPr>
            <w:tcW w:w="1779" w:type="dxa"/>
            <w:shd w:val="clear" w:color="auto" w:fill="FFFFFF"/>
          </w:tcPr>
          <w:p w14:paraId="1898A166" w14:textId="77777777" w:rsidR="00BB0DB9" w:rsidRPr="001601A6" w:rsidRDefault="00000000" w:rsidP="00AF59F0">
            <w:pPr>
              <w:pStyle w:val="P0-Paragraph"/>
              <w:jc w:val="left"/>
            </w:pPr>
            <w:r w:rsidRPr="001601A6">
              <w:t>4</w:t>
            </w:r>
          </w:p>
        </w:tc>
        <w:tc>
          <w:tcPr>
            <w:tcW w:w="6246" w:type="dxa"/>
            <w:shd w:val="clear" w:color="auto" w:fill="FFFFFF"/>
          </w:tcPr>
          <w:p w14:paraId="32748AEA" w14:textId="77777777" w:rsidR="00BB0DB9" w:rsidRPr="001601A6" w:rsidRDefault="00000000" w:rsidP="00AF59F0">
            <w:pPr>
              <w:pStyle w:val="P0-Paragraph"/>
              <w:jc w:val="left"/>
            </w:pPr>
            <w:r w:rsidRPr="001601A6">
              <w:t>Initial and recurring control-posture and evidence-assurance assessment; use the Master Crosswalk for framework-specific evidence.</w:t>
            </w:r>
          </w:p>
        </w:tc>
      </w:tr>
      <w:tr w:rsidR="00BB0DB9" w:rsidRPr="001601A6" w14:paraId="5B8CFA34" w14:textId="77777777" w:rsidTr="00AF59F0">
        <w:trPr>
          <w:cantSplit/>
          <w:jc w:val="center"/>
        </w:trPr>
        <w:tc>
          <w:tcPr>
            <w:tcW w:w="1335" w:type="dxa"/>
            <w:shd w:val="clear" w:color="auto" w:fill="D9E2F3"/>
          </w:tcPr>
          <w:p w14:paraId="3549574A" w14:textId="77777777" w:rsidR="00BB0DB9" w:rsidRPr="001601A6" w:rsidRDefault="00000000" w:rsidP="00AF59F0">
            <w:pPr>
              <w:pStyle w:val="P0-Paragraph"/>
              <w:jc w:val="left"/>
            </w:pPr>
            <w:r w:rsidRPr="001601A6">
              <w:t>ASCR-02</w:t>
            </w:r>
          </w:p>
        </w:tc>
        <w:tc>
          <w:tcPr>
            <w:tcW w:w="1779" w:type="dxa"/>
            <w:shd w:val="clear" w:color="auto" w:fill="D9E2F3"/>
          </w:tcPr>
          <w:p w14:paraId="59A68A4C" w14:textId="77777777" w:rsidR="00BB0DB9" w:rsidRPr="001601A6" w:rsidRDefault="00000000" w:rsidP="00AF59F0">
            <w:pPr>
              <w:pStyle w:val="P0-Paragraph"/>
              <w:jc w:val="left"/>
            </w:pPr>
            <w:r w:rsidRPr="001601A6">
              <w:t>3</w:t>
            </w:r>
          </w:p>
        </w:tc>
        <w:tc>
          <w:tcPr>
            <w:tcW w:w="6246" w:type="dxa"/>
            <w:shd w:val="clear" w:color="auto" w:fill="D9E2F3"/>
          </w:tcPr>
          <w:p w14:paraId="65146C56" w14:textId="77777777" w:rsidR="00BB0DB9" w:rsidRPr="001601A6" w:rsidRDefault="00000000" w:rsidP="00AF59F0">
            <w:pPr>
              <w:pStyle w:val="P0-Paragraph"/>
              <w:jc w:val="left"/>
            </w:pPr>
            <w:r w:rsidRPr="001601A6">
              <w:t>Governance and traceability mappings support compliance evidence; mapping existence does not establish compliance.</w:t>
            </w:r>
          </w:p>
        </w:tc>
      </w:tr>
      <w:tr w:rsidR="00BB0DB9" w:rsidRPr="001601A6" w14:paraId="1F2FBA61" w14:textId="77777777" w:rsidTr="00AF59F0">
        <w:trPr>
          <w:cantSplit/>
          <w:jc w:val="center"/>
        </w:trPr>
        <w:tc>
          <w:tcPr>
            <w:tcW w:w="1335" w:type="dxa"/>
            <w:shd w:val="clear" w:color="auto" w:fill="FFFFFF"/>
          </w:tcPr>
          <w:p w14:paraId="4A678A5C" w14:textId="77777777" w:rsidR="00BB0DB9" w:rsidRPr="001601A6" w:rsidRDefault="00000000" w:rsidP="00AF59F0">
            <w:pPr>
              <w:pStyle w:val="P0-Paragraph"/>
              <w:jc w:val="left"/>
            </w:pPr>
            <w:r w:rsidRPr="001601A6">
              <w:t>ASCR-03</w:t>
            </w:r>
          </w:p>
        </w:tc>
        <w:tc>
          <w:tcPr>
            <w:tcW w:w="1779" w:type="dxa"/>
            <w:shd w:val="clear" w:color="auto" w:fill="FFFFFF"/>
          </w:tcPr>
          <w:p w14:paraId="0133D3BA" w14:textId="77777777" w:rsidR="00BB0DB9" w:rsidRPr="001601A6" w:rsidRDefault="00000000" w:rsidP="00AF59F0">
            <w:pPr>
              <w:pStyle w:val="P0-Paragraph"/>
              <w:jc w:val="left"/>
            </w:pPr>
            <w:r w:rsidRPr="001601A6">
              <w:t>7</w:t>
            </w:r>
          </w:p>
        </w:tc>
        <w:tc>
          <w:tcPr>
            <w:tcW w:w="6246" w:type="dxa"/>
            <w:shd w:val="clear" w:color="auto" w:fill="FFFFFF"/>
          </w:tcPr>
          <w:p w14:paraId="3C4E340D" w14:textId="77777777" w:rsidR="00BB0DB9" w:rsidRPr="001601A6" w:rsidRDefault="00000000" w:rsidP="00AF59F0">
            <w:pPr>
              <w:pStyle w:val="P0-Paragraph"/>
              <w:jc w:val="left"/>
            </w:pPr>
            <w:r w:rsidRPr="001601A6">
              <w:t xml:space="preserve">Governance, authority, human oversight, and </w:t>
            </w:r>
            <w:proofErr w:type="spellStart"/>
            <w:r w:rsidRPr="001601A6">
              <w:t>programme</w:t>
            </w:r>
            <w:proofErr w:type="spellEnd"/>
            <w:r w:rsidRPr="001601A6">
              <w:t xml:space="preserve"> charter controls.</w:t>
            </w:r>
          </w:p>
        </w:tc>
      </w:tr>
      <w:tr w:rsidR="00BB0DB9" w:rsidRPr="001601A6" w14:paraId="7D37889F" w14:textId="77777777" w:rsidTr="00AF59F0">
        <w:trPr>
          <w:cantSplit/>
          <w:jc w:val="center"/>
        </w:trPr>
        <w:tc>
          <w:tcPr>
            <w:tcW w:w="1335" w:type="dxa"/>
            <w:shd w:val="clear" w:color="auto" w:fill="D9E2F3"/>
          </w:tcPr>
          <w:p w14:paraId="050DF083" w14:textId="77777777" w:rsidR="00BB0DB9" w:rsidRPr="001601A6" w:rsidRDefault="00000000" w:rsidP="00AF59F0">
            <w:pPr>
              <w:pStyle w:val="P0-Paragraph"/>
              <w:jc w:val="left"/>
            </w:pPr>
            <w:r w:rsidRPr="001601A6">
              <w:t>ASCR-15</w:t>
            </w:r>
          </w:p>
        </w:tc>
        <w:tc>
          <w:tcPr>
            <w:tcW w:w="1779" w:type="dxa"/>
            <w:shd w:val="clear" w:color="auto" w:fill="D9E2F3"/>
          </w:tcPr>
          <w:p w14:paraId="02D079D5" w14:textId="77777777" w:rsidR="00BB0DB9" w:rsidRPr="001601A6" w:rsidRDefault="00000000" w:rsidP="00AF59F0">
            <w:pPr>
              <w:pStyle w:val="P0-Paragraph"/>
              <w:jc w:val="left"/>
            </w:pPr>
            <w:r w:rsidRPr="001601A6">
              <w:t>4</w:t>
            </w:r>
          </w:p>
        </w:tc>
        <w:tc>
          <w:tcPr>
            <w:tcW w:w="6246" w:type="dxa"/>
            <w:shd w:val="clear" w:color="auto" w:fill="D9E2F3"/>
          </w:tcPr>
          <w:p w14:paraId="12DE8240" w14:textId="77777777" w:rsidR="00BB0DB9" w:rsidRPr="001601A6" w:rsidRDefault="00000000" w:rsidP="00AF59F0">
            <w:pPr>
              <w:pStyle w:val="P0-Paragraph"/>
              <w:jc w:val="left"/>
            </w:pPr>
            <w:r w:rsidRPr="001601A6">
              <w:t>Threat-informed mapping and exercise/retention calibration inputs.</w:t>
            </w:r>
          </w:p>
        </w:tc>
      </w:tr>
      <w:tr w:rsidR="00BB0DB9" w:rsidRPr="001601A6" w14:paraId="50C4D7E0" w14:textId="77777777" w:rsidTr="00AF59F0">
        <w:trPr>
          <w:cantSplit/>
          <w:jc w:val="center"/>
        </w:trPr>
        <w:tc>
          <w:tcPr>
            <w:tcW w:w="1335" w:type="dxa"/>
            <w:shd w:val="clear" w:color="auto" w:fill="FFFFFF"/>
          </w:tcPr>
          <w:p w14:paraId="56813585" w14:textId="77777777" w:rsidR="00BB0DB9" w:rsidRPr="001601A6" w:rsidRDefault="00000000" w:rsidP="00AF59F0">
            <w:pPr>
              <w:pStyle w:val="P0-Paragraph"/>
              <w:jc w:val="left"/>
            </w:pPr>
            <w:r w:rsidRPr="001601A6">
              <w:t>ASCR-17</w:t>
            </w:r>
          </w:p>
        </w:tc>
        <w:tc>
          <w:tcPr>
            <w:tcW w:w="1779" w:type="dxa"/>
            <w:shd w:val="clear" w:color="auto" w:fill="FFFFFF"/>
          </w:tcPr>
          <w:p w14:paraId="35EF0F9A" w14:textId="77777777" w:rsidR="00BB0DB9" w:rsidRPr="001601A6" w:rsidRDefault="00000000" w:rsidP="00AF59F0">
            <w:pPr>
              <w:pStyle w:val="P0-Paragraph"/>
              <w:jc w:val="left"/>
            </w:pPr>
            <w:r w:rsidRPr="001601A6">
              <w:t>6</w:t>
            </w:r>
          </w:p>
        </w:tc>
        <w:tc>
          <w:tcPr>
            <w:tcW w:w="6246" w:type="dxa"/>
            <w:shd w:val="clear" w:color="auto" w:fill="FFFFFF"/>
          </w:tcPr>
          <w:p w14:paraId="2F364A15" w14:textId="77777777" w:rsidR="00BB0DB9" w:rsidRPr="001601A6" w:rsidRDefault="00000000" w:rsidP="00AF59F0">
            <w:pPr>
              <w:pStyle w:val="P0-Paragraph"/>
              <w:jc w:val="left"/>
            </w:pPr>
            <w:r w:rsidRPr="001601A6">
              <w:t>Vendor qualification evidence covering EU-role determination, pipeline integrity, AI-BOM completeness, adversarial robustness, incident/forensic cooperation, and fourth-party visibility. ASCR-17 assesses supplier evidence and qualification; it does not itself establish supplier regulatory compliance.</w:t>
            </w:r>
          </w:p>
        </w:tc>
      </w:tr>
    </w:tbl>
    <w:p w14:paraId="2A9A9AD2" w14:textId="463BC109" w:rsidR="00BB0DB9" w:rsidRPr="001601A6" w:rsidRDefault="00AF59F0" w:rsidP="00AF59F0">
      <w:pPr>
        <w:pStyle w:val="T0-TableCaption"/>
      </w:pPr>
      <w:r w:rsidRPr="001601A6">
        <w:t>Table 2.1</w:t>
      </w:r>
      <w:r>
        <w:t xml:space="preserve"> –</w:t>
      </w:r>
      <w:r w:rsidRPr="001601A6">
        <w:t xml:space="preserve"> Pillar 1 mapped artifacts</w:t>
      </w:r>
    </w:p>
    <w:p w14:paraId="08323A17" w14:textId="77777777" w:rsidR="00BB0DB9" w:rsidRPr="001601A6" w:rsidRDefault="00BB0DB9" w:rsidP="001601A6">
      <w:pPr>
        <w:pStyle w:val="P0-Paragraph"/>
      </w:pPr>
    </w:p>
    <w:p w14:paraId="225BFA70" w14:textId="7D8A41D5" w:rsidR="00BB0DB9" w:rsidRPr="001601A6" w:rsidRDefault="00000000" w:rsidP="00AF59F0">
      <w:pPr>
        <w:pStyle w:val="HS-Heading1"/>
      </w:pPr>
      <w:r w:rsidRPr="001601A6">
        <w:rPr>
          <w:rFonts w:eastAsia="Arial"/>
        </w:rPr>
        <w:lastRenderedPageBreak/>
        <w:t>Section 3 — Pillar 2: Technical enforcement and active defense</w:t>
      </w:r>
    </w:p>
    <w:p w14:paraId="3F367932" w14:textId="22222214" w:rsidR="00BB0DB9" w:rsidRPr="001601A6" w:rsidRDefault="00000000" w:rsidP="001601A6">
      <w:pPr>
        <w:pStyle w:val="P0-Paragraph"/>
      </w:pPr>
      <w:r w:rsidRPr="001601A6">
        <w:t>Use the companion workbook Master Crosswalk for the complete row-level mappings. The compact table below identifies the mapped artifact set and the practitioner caveats that are not obvious from filtering alone.</w:t>
      </w:r>
    </w:p>
    <w:tbl>
      <w:tblPr>
        <w:tblStyle w:val="af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25"/>
        <w:gridCol w:w="1614"/>
        <w:gridCol w:w="6321"/>
      </w:tblGrid>
      <w:tr w:rsidR="00BB0DB9" w:rsidRPr="001601A6" w14:paraId="6CFC2C44" w14:textId="77777777" w:rsidTr="00AF59F0">
        <w:trPr>
          <w:cantSplit/>
          <w:tblHeader/>
          <w:jc w:val="center"/>
        </w:trPr>
        <w:tc>
          <w:tcPr>
            <w:tcW w:w="1425" w:type="dxa"/>
            <w:shd w:val="clear" w:color="auto" w:fill="1F3864"/>
          </w:tcPr>
          <w:p w14:paraId="27D43E18" w14:textId="77777777" w:rsidR="00BB0DB9" w:rsidRPr="001601A6" w:rsidRDefault="00000000" w:rsidP="001601A6">
            <w:pPr>
              <w:pStyle w:val="P0-Paragraph"/>
              <w:rPr>
                <w:rStyle w:val="CS-Keyword"/>
              </w:rPr>
            </w:pPr>
            <w:r w:rsidRPr="001601A6">
              <w:rPr>
                <w:rStyle w:val="CS-Keyword"/>
              </w:rPr>
              <w:t>Artifact</w:t>
            </w:r>
          </w:p>
        </w:tc>
        <w:tc>
          <w:tcPr>
            <w:tcW w:w="1614" w:type="dxa"/>
            <w:shd w:val="clear" w:color="auto" w:fill="1F3864"/>
          </w:tcPr>
          <w:p w14:paraId="145EEAC6" w14:textId="77777777" w:rsidR="00BB0DB9" w:rsidRPr="001601A6" w:rsidRDefault="00000000" w:rsidP="001601A6">
            <w:pPr>
              <w:pStyle w:val="P0-Paragraph"/>
              <w:rPr>
                <w:rStyle w:val="CS-Keyword"/>
              </w:rPr>
            </w:pPr>
            <w:r w:rsidRPr="001601A6">
              <w:rPr>
                <w:rStyle w:val="CS-Keyword"/>
              </w:rPr>
              <w:t>Mapped control rows</w:t>
            </w:r>
          </w:p>
        </w:tc>
        <w:tc>
          <w:tcPr>
            <w:tcW w:w="6321" w:type="dxa"/>
            <w:shd w:val="clear" w:color="auto" w:fill="1F3864"/>
          </w:tcPr>
          <w:p w14:paraId="18616F6B" w14:textId="77777777" w:rsidR="00BB0DB9" w:rsidRPr="001601A6" w:rsidRDefault="00000000" w:rsidP="001601A6">
            <w:pPr>
              <w:pStyle w:val="P0-Paragraph"/>
              <w:rPr>
                <w:rStyle w:val="CS-Keyword"/>
              </w:rPr>
            </w:pPr>
            <w:proofErr w:type="gramStart"/>
            <w:r w:rsidRPr="001601A6">
              <w:rPr>
                <w:rStyle w:val="CS-Keyword"/>
              </w:rPr>
              <w:t>Practitioner</w:t>
            </w:r>
            <w:proofErr w:type="gramEnd"/>
            <w:r w:rsidRPr="001601A6">
              <w:rPr>
                <w:rStyle w:val="CS-Keyword"/>
              </w:rPr>
              <w:t xml:space="preserve"> note</w:t>
            </w:r>
          </w:p>
        </w:tc>
      </w:tr>
      <w:tr w:rsidR="00BB0DB9" w:rsidRPr="001601A6" w14:paraId="726E61F0" w14:textId="77777777" w:rsidTr="00AF59F0">
        <w:trPr>
          <w:cantSplit/>
          <w:jc w:val="center"/>
        </w:trPr>
        <w:tc>
          <w:tcPr>
            <w:tcW w:w="1425" w:type="dxa"/>
            <w:shd w:val="clear" w:color="auto" w:fill="FFFFFF"/>
          </w:tcPr>
          <w:p w14:paraId="213B2916" w14:textId="77777777" w:rsidR="00BB0DB9" w:rsidRPr="001601A6" w:rsidRDefault="00000000" w:rsidP="00AF59F0">
            <w:pPr>
              <w:pStyle w:val="P0-Paragraph"/>
              <w:jc w:val="left"/>
            </w:pPr>
            <w:r w:rsidRPr="001601A6">
              <w:t>ASCR-04</w:t>
            </w:r>
          </w:p>
        </w:tc>
        <w:tc>
          <w:tcPr>
            <w:tcW w:w="1614" w:type="dxa"/>
            <w:shd w:val="clear" w:color="auto" w:fill="FFFFFF"/>
          </w:tcPr>
          <w:p w14:paraId="75A3F88C" w14:textId="77777777" w:rsidR="00BB0DB9" w:rsidRPr="001601A6" w:rsidRDefault="00000000" w:rsidP="00AF59F0">
            <w:pPr>
              <w:pStyle w:val="P0-Paragraph"/>
              <w:jc w:val="left"/>
            </w:pPr>
            <w:r w:rsidRPr="001601A6">
              <w:t>7</w:t>
            </w:r>
          </w:p>
        </w:tc>
        <w:tc>
          <w:tcPr>
            <w:tcW w:w="6321" w:type="dxa"/>
            <w:shd w:val="clear" w:color="auto" w:fill="FFFFFF"/>
          </w:tcPr>
          <w:p w14:paraId="2E82FE9C" w14:textId="77777777" w:rsidR="00BB0DB9" w:rsidRPr="001601A6" w:rsidRDefault="00000000" w:rsidP="00AF59F0">
            <w:pPr>
              <w:pStyle w:val="P0-Paragraph"/>
              <w:jc w:val="left"/>
            </w:pPr>
            <w:r w:rsidRPr="001601A6">
              <w:t>MCP enforcement, workload identity, least privilege, attestation, request validation, runtime enforcement of ASCR-06 verification dispositions, and governed parameter-bound enforcement with applicable safety-system handoff.</w:t>
            </w:r>
          </w:p>
        </w:tc>
      </w:tr>
      <w:tr w:rsidR="00BB0DB9" w:rsidRPr="001601A6" w14:paraId="68558407" w14:textId="77777777" w:rsidTr="00AF59F0">
        <w:trPr>
          <w:cantSplit/>
          <w:jc w:val="center"/>
        </w:trPr>
        <w:tc>
          <w:tcPr>
            <w:tcW w:w="1425" w:type="dxa"/>
            <w:shd w:val="clear" w:color="auto" w:fill="D9E2F3"/>
          </w:tcPr>
          <w:p w14:paraId="0FB02808" w14:textId="77777777" w:rsidR="00BB0DB9" w:rsidRPr="001601A6" w:rsidRDefault="00000000" w:rsidP="00AF59F0">
            <w:pPr>
              <w:pStyle w:val="P0-Paragraph"/>
              <w:jc w:val="left"/>
            </w:pPr>
            <w:r w:rsidRPr="001601A6">
              <w:t>ASCR-05</w:t>
            </w:r>
          </w:p>
        </w:tc>
        <w:tc>
          <w:tcPr>
            <w:tcW w:w="1614" w:type="dxa"/>
            <w:shd w:val="clear" w:color="auto" w:fill="D9E2F3"/>
          </w:tcPr>
          <w:p w14:paraId="73FC677C" w14:textId="77777777" w:rsidR="00BB0DB9" w:rsidRPr="001601A6" w:rsidRDefault="00000000" w:rsidP="00AF59F0">
            <w:pPr>
              <w:pStyle w:val="P0-Paragraph"/>
              <w:jc w:val="left"/>
            </w:pPr>
            <w:r w:rsidRPr="001601A6">
              <w:t>3</w:t>
            </w:r>
          </w:p>
        </w:tc>
        <w:tc>
          <w:tcPr>
            <w:tcW w:w="6321" w:type="dxa"/>
            <w:shd w:val="clear" w:color="auto" w:fill="D9E2F3"/>
          </w:tcPr>
          <w:p w14:paraId="351B032C" w14:textId="77777777" w:rsidR="00BB0DB9" w:rsidRPr="001601A6" w:rsidRDefault="00000000" w:rsidP="00AF59F0">
            <w:pPr>
              <w:pStyle w:val="P0-Paragraph"/>
              <w:jc w:val="left"/>
            </w:pPr>
            <w:r w:rsidRPr="001601A6">
              <w:t>Architecture, trust-boundary, evidence-generation, and signal-flow documentation.</w:t>
            </w:r>
          </w:p>
        </w:tc>
      </w:tr>
      <w:tr w:rsidR="00BB0DB9" w:rsidRPr="001601A6" w14:paraId="5BE01058" w14:textId="77777777" w:rsidTr="00AF59F0">
        <w:trPr>
          <w:cantSplit/>
          <w:jc w:val="center"/>
        </w:trPr>
        <w:tc>
          <w:tcPr>
            <w:tcW w:w="1425" w:type="dxa"/>
            <w:shd w:val="clear" w:color="auto" w:fill="FFFFFF"/>
          </w:tcPr>
          <w:p w14:paraId="33B6E09A" w14:textId="77777777" w:rsidR="00BB0DB9" w:rsidRPr="001601A6" w:rsidRDefault="00000000" w:rsidP="00AF59F0">
            <w:pPr>
              <w:pStyle w:val="P0-Paragraph"/>
              <w:jc w:val="left"/>
            </w:pPr>
            <w:r w:rsidRPr="001601A6">
              <w:t>ASCR-06</w:t>
            </w:r>
          </w:p>
        </w:tc>
        <w:tc>
          <w:tcPr>
            <w:tcW w:w="1614" w:type="dxa"/>
            <w:shd w:val="clear" w:color="auto" w:fill="FFFFFF"/>
          </w:tcPr>
          <w:p w14:paraId="09D3488B" w14:textId="77777777" w:rsidR="00BB0DB9" w:rsidRPr="001601A6" w:rsidRDefault="00000000" w:rsidP="00AF59F0">
            <w:pPr>
              <w:pStyle w:val="P0-Paragraph"/>
              <w:jc w:val="left"/>
            </w:pPr>
            <w:r w:rsidRPr="001601A6">
              <w:t>5</w:t>
            </w:r>
          </w:p>
        </w:tc>
        <w:tc>
          <w:tcPr>
            <w:tcW w:w="6321" w:type="dxa"/>
            <w:shd w:val="clear" w:color="auto" w:fill="FFFFFF"/>
          </w:tcPr>
          <w:p w14:paraId="0992B2BF" w14:textId="77777777" w:rsidR="00BB0DB9" w:rsidRPr="001601A6" w:rsidRDefault="00000000" w:rsidP="00AF59F0">
            <w:pPr>
              <w:pStyle w:val="P0-Paragraph"/>
              <w:jc w:val="left"/>
            </w:pPr>
            <w:r w:rsidRPr="001601A6">
              <w:t>Step-ahead verification; signed PASS/FAIL/TIMEOUT disposition and handoff; verifier-to-enforcement handoff latency; Safe-State requirement verification; and physical-parameter bounds verification. ASCR-06 does not directly hold or release actuation. Applicable functional-safety or machine-safety functions remain independently governed.</w:t>
            </w:r>
          </w:p>
        </w:tc>
      </w:tr>
      <w:tr w:rsidR="00BB0DB9" w:rsidRPr="001601A6" w14:paraId="3E696610" w14:textId="77777777" w:rsidTr="00AF59F0">
        <w:trPr>
          <w:cantSplit/>
          <w:jc w:val="center"/>
        </w:trPr>
        <w:tc>
          <w:tcPr>
            <w:tcW w:w="1425" w:type="dxa"/>
            <w:shd w:val="clear" w:color="auto" w:fill="D9E2F3"/>
          </w:tcPr>
          <w:p w14:paraId="3DDFDA55" w14:textId="77777777" w:rsidR="00BB0DB9" w:rsidRPr="001601A6" w:rsidRDefault="00000000" w:rsidP="00AF59F0">
            <w:pPr>
              <w:pStyle w:val="P0-Paragraph"/>
              <w:jc w:val="left"/>
            </w:pPr>
            <w:r w:rsidRPr="001601A6">
              <w:t>ASCR-07</w:t>
            </w:r>
          </w:p>
        </w:tc>
        <w:tc>
          <w:tcPr>
            <w:tcW w:w="1614" w:type="dxa"/>
            <w:shd w:val="clear" w:color="auto" w:fill="D9E2F3"/>
          </w:tcPr>
          <w:p w14:paraId="4FC7CAF7" w14:textId="77777777" w:rsidR="00BB0DB9" w:rsidRPr="001601A6" w:rsidRDefault="00000000" w:rsidP="00AF59F0">
            <w:pPr>
              <w:pStyle w:val="P0-Paragraph"/>
              <w:jc w:val="left"/>
            </w:pPr>
            <w:r w:rsidRPr="001601A6">
              <w:t>6</w:t>
            </w:r>
          </w:p>
        </w:tc>
        <w:tc>
          <w:tcPr>
            <w:tcW w:w="6321" w:type="dxa"/>
            <w:shd w:val="clear" w:color="auto" w:fill="D9E2F3"/>
          </w:tcPr>
          <w:p w14:paraId="3EC248A3" w14:textId="77777777" w:rsidR="00BB0DB9" w:rsidRPr="001601A6" w:rsidRDefault="00000000" w:rsidP="00AF59F0">
            <w:pPr>
              <w:pStyle w:val="P0-Paragraph"/>
              <w:jc w:val="left"/>
            </w:pPr>
            <w:r w:rsidRPr="001601A6">
              <w:t>Decision logging, integrity, behavioral monitoring, trace context, actuation linkage, and deployment-specific retention. No universal ASCR-02 retention period is established.</w:t>
            </w:r>
          </w:p>
        </w:tc>
      </w:tr>
      <w:tr w:rsidR="00BB0DB9" w:rsidRPr="001601A6" w14:paraId="1D7486B9" w14:textId="77777777" w:rsidTr="00AF59F0">
        <w:trPr>
          <w:cantSplit/>
          <w:jc w:val="center"/>
        </w:trPr>
        <w:tc>
          <w:tcPr>
            <w:tcW w:w="1425" w:type="dxa"/>
            <w:shd w:val="clear" w:color="auto" w:fill="FFFFFF"/>
          </w:tcPr>
          <w:p w14:paraId="6C7D4D46" w14:textId="77777777" w:rsidR="00BB0DB9" w:rsidRPr="001601A6" w:rsidRDefault="00000000" w:rsidP="00AF59F0">
            <w:pPr>
              <w:pStyle w:val="P0-Paragraph"/>
              <w:jc w:val="left"/>
            </w:pPr>
            <w:r w:rsidRPr="001601A6">
              <w:t>ASCR-16</w:t>
            </w:r>
          </w:p>
        </w:tc>
        <w:tc>
          <w:tcPr>
            <w:tcW w:w="1614" w:type="dxa"/>
            <w:shd w:val="clear" w:color="auto" w:fill="FFFFFF"/>
          </w:tcPr>
          <w:p w14:paraId="1E0A71FD" w14:textId="77777777" w:rsidR="00BB0DB9" w:rsidRPr="001601A6" w:rsidRDefault="00000000" w:rsidP="00AF59F0">
            <w:pPr>
              <w:pStyle w:val="P0-Paragraph"/>
              <w:jc w:val="left"/>
            </w:pPr>
            <w:r w:rsidRPr="001601A6">
              <w:t>3</w:t>
            </w:r>
          </w:p>
        </w:tc>
        <w:tc>
          <w:tcPr>
            <w:tcW w:w="6321" w:type="dxa"/>
            <w:shd w:val="clear" w:color="auto" w:fill="FFFFFF"/>
          </w:tcPr>
          <w:p w14:paraId="11C3BE9F" w14:textId="77777777" w:rsidR="00BB0DB9" w:rsidRPr="001601A6" w:rsidRDefault="00000000" w:rsidP="00AF59F0">
            <w:pPr>
              <w:pStyle w:val="P0-Paragraph"/>
              <w:jc w:val="left"/>
            </w:pPr>
            <w:r w:rsidRPr="001601A6">
              <w:t>Model artifact verification, cross-attestation, and boundary verification / hold-state request-</w:t>
            </w:r>
            <w:proofErr w:type="gramStart"/>
            <w:r w:rsidRPr="001601A6">
              <w:t>handoff evidence</w:t>
            </w:r>
            <w:proofErr w:type="gramEnd"/>
            <w:r w:rsidRPr="001601A6">
              <w:t>; ASCR-04 owns applicable HOLD / HARD_BLOCK enforcement and governed Safe-State handoff.</w:t>
            </w:r>
          </w:p>
        </w:tc>
      </w:tr>
    </w:tbl>
    <w:p w14:paraId="1BB0C59F" w14:textId="12100F39" w:rsidR="00BB0DB9" w:rsidRPr="001601A6" w:rsidRDefault="00AF59F0" w:rsidP="00AF59F0">
      <w:pPr>
        <w:pStyle w:val="T0-TableCaption"/>
      </w:pPr>
      <w:r w:rsidRPr="001601A6">
        <w:t>Table 3.1. Pillar 2 mapped artifacts</w:t>
      </w:r>
    </w:p>
    <w:p w14:paraId="1D41D21A" w14:textId="0D24A7F8" w:rsidR="00BB0DB9" w:rsidRPr="001601A6" w:rsidRDefault="00000000" w:rsidP="00AF59F0">
      <w:pPr>
        <w:pStyle w:val="HS-Heading1"/>
      </w:pPr>
      <w:r w:rsidRPr="001601A6">
        <w:rPr>
          <w:rFonts w:eastAsia="Arial"/>
        </w:rPr>
        <w:t>Section 4 — Pillar 3: Operational response and resilience</w:t>
      </w:r>
    </w:p>
    <w:p w14:paraId="2890061A" w14:textId="23CD618A" w:rsidR="00BB0DB9" w:rsidRPr="001601A6" w:rsidRDefault="00000000" w:rsidP="001601A6">
      <w:pPr>
        <w:pStyle w:val="P0-Paragraph"/>
      </w:pPr>
      <w:r w:rsidRPr="001601A6">
        <w:t>Use the companion workbook Master Crosswalk for the complete row-level mappings. The compact table below identifies the mapped artifact set and the practitioner caveats that are not obvious from filtering alone.</w:t>
      </w:r>
    </w:p>
    <w:tbl>
      <w:tblPr>
        <w:tblStyle w:val="aff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55"/>
        <w:gridCol w:w="2225"/>
        <w:gridCol w:w="5980"/>
      </w:tblGrid>
      <w:tr w:rsidR="00BB0DB9" w:rsidRPr="001601A6" w14:paraId="3CC3A11A" w14:textId="77777777" w:rsidTr="00AF59F0">
        <w:trPr>
          <w:cantSplit/>
          <w:tblHeader/>
          <w:jc w:val="center"/>
        </w:trPr>
        <w:tc>
          <w:tcPr>
            <w:tcW w:w="1155" w:type="dxa"/>
            <w:shd w:val="clear" w:color="auto" w:fill="1F3864"/>
          </w:tcPr>
          <w:p w14:paraId="3846E053" w14:textId="77777777" w:rsidR="00BB0DB9" w:rsidRPr="001601A6" w:rsidRDefault="00000000" w:rsidP="001601A6">
            <w:pPr>
              <w:pStyle w:val="P0-Paragraph"/>
              <w:rPr>
                <w:rStyle w:val="CS-Keyword"/>
              </w:rPr>
            </w:pPr>
            <w:r w:rsidRPr="001601A6">
              <w:rPr>
                <w:rStyle w:val="CS-Keyword"/>
              </w:rPr>
              <w:t>Artifact</w:t>
            </w:r>
          </w:p>
        </w:tc>
        <w:tc>
          <w:tcPr>
            <w:tcW w:w="2225" w:type="dxa"/>
            <w:shd w:val="clear" w:color="auto" w:fill="1F3864"/>
          </w:tcPr>
          <w:p w14:paraId="12189D12" w14:textId="77777777" w:rsidR="00BB0DB9" w:rsidRPr="001601A6" w:rsidRDefault="00000000" w:rsidP="001601A6">
            <w:pPr>
              <w:pStyle w:val="P0-Paragraph"/>
              <w:rPr>
                <w:rStyle w:val="CS-Keyword"/>
              </w:rPr>
            </w:pPr>
            <w:r w:rsidRPr="001601A6">
              <w:rPr>
                <w:rStyle w:val="CS-Keyword"/>
              </w:rPr>
              <w:t>Mapped control rows</w:t>
            </w:r>
          </w:p>
        </w:tc>
        <w:tc>
          <w:tcPr>
            <w:tcW w:w="5980" w:type="dxa"/>
            <w:shd w:val="clear" w:color="auto" w:fill="1F3864"/>
          </w:tcPr>
          <w:p w14:paraId="554E6D4A" w14:textId="77777777" w:rsidR="00BB0DB9" w:rsidRPr="001601A6" w:rsidRDefault="00000000" w:rsidP="001601A6">
            <w:pPr>
              <w:pStyle w:val="P0-Paragraph"/>
              <w:rPr>
                <w:rStyle w:val="CS-Keyword"/>
              </w:rPr>
            </w:pPr>
            <w:proofErr w:type="gramStart"/>
            <w:r w:rsidRPr="001601A6">
              <w:rPr>
                <w:rStyle w:val="CS-Keyword"/>
              </w:rPr>
              <w:t>Practitioner</w:t>
            </w:r>
            <w:proofErr w:type="gramEnd"/>
            <w:r w:rsidRPr="001601A6">
              <w:rPr>
                <w:rStyle w:val="CS-Keyword"/>
              </w:rPr>
              <w:t xml:space="preserve"> note</w:t>
            </w:r>
          </w:p>
        </w:tc>
      </w:tr>
      <w:tr w:rsidR="00BB0DB9" w:rsidRPr="001601A6" w14:paraId="6807A8DC" w14:textId="77777777" w:rsidTr="00AF59F0">
        <w:trPr>
          <w:cantSplit/>
          <w:jc w:val="center"/>
        </w:trPr>
        <w:tc>
          <w:tcPr>
            <w:tcW w:w="1155" w:type="dxa"/>
            <w:shd w:val="clear" w:color="auto" w:fill="FFFFFF"/>
          </w:tcPr>
          <w:p w14:paraId="38082788" w14:textId="77777777" w:rsidR="00BB0DB9" w:rsidRPr="001601A6" w:rsidRDefault="00000000" w:rsidP="00AF59F0">
            <w:pPr>
              <w:pStyle w:val="P0-Paragraph"/>
              <w:jc w:val="left"/>
            </w:pPr>
            <w:r w:rsidRPr="001601A6">
              <w:t>ASCR-08</w:t>
            </w:r>
          </w:p>
        </w:tc>
        <w:tc>
          <w:tcPr>
            <w:tcW w:w="2225" w:type="dxa"/>
            <w:shd w:val="clear" w:color="auto" w:fill="FFFFFF"/>
          </w:tcPr>
          <w:p w14:paraId="2BE15204" w14:textId="77777777" w:rsidR="00BB0DB9" w:rsidRPr="001601A6" w:rsidRDefault="00000000" w:rsidP="00AF59F0">
            <w:pPr>
              <w:pStyle w:val="P0-Paragraph"/>
              <w:jc w:val="left"/>
            </w:pPr>
            <w:r w:rsidRPr="001601A6">
              <w:t>7</w:t>
            </w:r>
          </w:p>
        </w:tc>
        <w:tc>
          <w:tcPr>
            <w:tcW w:w="5980" w:type="dxa"/>
            <w:shd w:val="clear" w:color="auto" w:fill="FFFFFF"/>
          </w:tcPr>
          <w:p w14:paraId="7E143379" w14:textId="77777777" w:rsidR="00BB0DB9" w:rsidRPr="001601A6" w:rsidRDefault="00000000" w:rsidP="00AF59F0">
            <w:pPr>
              <w:pStyle w:val="P0-Paragraph"/>
              <w:jc w:val="left"/>
            </w:pPr>
            <w:r w:rsidRPr="001601A6">
              <w:t>Incident classification, evidence preservation, attribution, declaration, notification preparation, board reporting, and improvement triggers.</w:t>
            </w:r>
          </w:p>
        </w:tc>
      </w:tr>
      <w:tr w:rsidR="00BB0DB9" w:rsidRPr="001601A6" w14:paraId="1E0DDAF9" w14:textId="77777777" w:rsidTr="00AF59F0">
        <w:trPr>
          <w:cantSplit/>
          <w:jc w:val="center"/>
        </w:trPr>
        <w:tc>
          <w:tcPr>
            <w:tcW w:w="1155" w:type="dxa"/>
            <w:shd w:val="clear" w:color="auto" w:fill="D9E2F3"/>
          </w:tcPr>
          <w:p w14:paraId="08E5DC2A" w14:textId="77777777" w:rsidR="00BB0DB9" w:rsidRPr="001601A6" w:rsidRDefault="00000000" w:rsidP="00AF59F0">
            <w:pPr>
              <w:pStyle w:val="P0-Paragraph"/>
              <w:jc w:val="left"/>
            </w:pPr>
            <w:r w:rsidRPr="001601A6">
              <w:t>ASCR-09</w:t>
            </w:r>
          </w:p>
        </w:tc>
        <w:tc>
          <w:tcPr>
            <w:tcW w:w="2225" w:type="dxa"/>
            <w:shd w:val="clear" w:color="auto" w:fill="D9E2F3"/>
          </w:tcPr>
          <w:p w14:paraId="753BDB5F" w14:textId="77777777" w:rsidR="00BB0DB9" w:rsidRPr="001601A6" w:rsidRDefault="00000000" w:rsidP="00AF59F0">
            <w:pPr>
              <w:pStyle w:val="P0-Paragraph"/>
              <w:jc w:val="left"/>
            </w:pPr>
            <w:r w:rsidRPr="001601A6">
              <w:t>4</w:t>
            </w:r>
          </w:p>
        </w:tc>
        <w:tc>
          <w:tcPr>
            <w:tcW w:w="5980" w:type="dxa"/>
            <w:shd w:val="clear" w:color="auto" w:fill="D9E2F3"/>
          </w:tcPr>
          <w:p w14:paraId="145BBA7C" w14:textId="77777777" w:rsidR="00BB0DB9" w:rsidRPr="001601A6" w:rsidRDefault="00000000" w:rsidP="00AF59F0">
            <w:pPr>
              <w:pStyle w:val="P0-Paragraph"/>
              <w:jc w:val="left"/>
            </w:pPr>
            <w:r w:rsidRPr="001601A6">
              <w:t>Instrumentation validation and adversarial exercises. DORA TLPT remains a separate requirement for entities designated under Art. 26(8).</w:t>
            </w:r>
          </w:p>
        </w:tc>
      </w:tr>
      <w:tr w:rsidR="00BB0DB9" w:rsidRPr="001601A6" w14:paraId="0814AC50" w14:textId="77777777" w:rsidTr="00AF59F0">
        <w:trPr>
          <w:cantSplit/>
          <w:jc w:val="center"/>
        </w:trPr>
        <w:tc>
          <w:tcPr>
            <w:tcW w:w="1155" w:type="dxa"/>
            <w:shd w:val="clear" w:color="auto" w:fill="FFFFFF"/>
          </w:tcPr>
          <w:p w14:paraId="14965794" w14:textId="77777777" w:rsidR="00BB0DB9" w:rsidRPr="001601A6" w:rsidRDefault="00000000" w:rsidP="00AF59F0">
            <w:pPr>
              <w:pStyle w:val="P0-Paragraph"/>
              <w:jc w:val="left"/>
            </w:pPr>
            <w:r w:rsidRPr="001601A6">
              <w:t>ASCR-10</w:t>
            </w:r>
          </w:p>
        </w:tc>
        <w:tc>
          <w:tcPr>
            <w:tcW w:w="2225" w:type="dxa"/>
            <w:shd w:val="clear" w:color="auto" w:fill="FFFFFF"/>
          </w:tcPr>
          <w:p w14:paraId="66AA896D" w14:textId="77777777" w:rsidR="00BB0DB9" w:rsidRPr="001601A6" w:rsidRDefault="00000000" w:rsidP="00AF59F0">
            <w:pPr>
              <w:pStyle w:val="P0-Paragraph"/>
              <w:jc w:val="left"/>
            </w:pPr>
            <w:r w:rsidRPr="001601A6">
              <w:t>5</w:t>
            </w:r>
          </w:p>
        </w:tc>
        <w:tc>
          <w:tcPr>
            <w:tcW w:w="5980" w:type="dxa"/>
            <w:shd w:val="clear" w:color="auto" w:fill="FFFFFF"/>
          </w:tcPr>
          <w:p w14:paraId="3767116F" w14:textId="77777777" w:rsidR="00BB0DB9" w:rsidRPr="001601A6" w:rsidRDefault="00000000" w:rsidP="00AF59F0">
            <w:pPr>
              <w:pStyle w:val="P0-Paragraph"/>
              <w:jc w:val="left"/>
            </w:pPr>
            <w:r w:rsidRPr="001601A6">
              <w:t>Shadow-mode baseline, phase gates, AI-BOM change control, hard-block authorization, and rollback. Baseline windows require deployment-specific statistical justification.</w:t>
            </w:r>
          </w:p>
        </w:tc>
      </w:tr>
      <w:tr w:rsidR="00BB0DB9" w:rsidRPr="001601A6" w14:paraId="49E5A57C" w14:textId="77777777" w:rsidTr="00AF59F0">
        <w:trPr>
          <w:cantSplit/>
          <w:jc w:val="center"/>
        </w:trPr>
        <w:tc>
          <w:tcPr>
            <w:tcW w:w="1155" w:type="dxa"/>
            <w:shd w:val="clear" w:color="auto" w:fill="D9E2F3"/>
          </w:tcPr>
          <w:p w14:paraId="1C233C80" w14:textId="77777777" w:rsidR="00BB0DB9" w:rsidRPr="001601A6" w:rsidRDefault="00000000" w:rsidP="00AF59F0">
            <w:pPr>
              <w:pStyle w:val="P0-Paragraph"/>
              <w:jc w:val="left"/>
            </w:pPr>
            <w:r w:rsidRPr="001601A6">
              <w:lastRenderedPageBreak/>
              <w:t>ASCR-14</w:t>
            </w:r>
          </w:p>
        </w:tc>
        <w:tc>
          <w:tcPr>
            <w:tcW w:w="2225" w:type="dxa"/>
            <w:shd w:val="clear" w:color="auto" w:fill="D9E2F3"/>
          </w:tcPr>
          <w:p w14:paraId="0ED4C043" w14:textId="77777777" w:rsidR="00BB0DB9" w:rsidRPr="001601A6" w:rsidRDefault="00000000" w:rsidP="00AF59F0">
            <w:pPr>
              <w:pStyle w:val="P0-Paragraph"/>
              <w:jc w:val="left"/>
            </w:pPr>
            <w:r w:rsidRPr="001601A6">
              <w:t>4</w:t>
            </w:r>
          </w:p>
        </w:tc>
        <w:tc>
          <w:tcPr>
            <w:tcW w:w="5980" w:type="dxa"/>
            <w:shd w:val="clear" w:color="auto" w:fill="D9E2F3"/>
          </w:tcPr>
          <w:p w14:paraId="12E081F1" w14:textId="77777777" w:rsidR="00BB0DB9" w:rsidRPr="001601A6" w:rsidRDefault="00000000" w:rsidP="00AF59F0">
            <w:pPr>
              <w:pStyle w:val="P0-Paragraph"/>
              <w:jc w:val="left"/>
            </w:pPr>
            <w:r w:rsidRPr="001601A6">
              <w:t>Cross-functional tabletop and incident-response rehearsal evidence.</w:t>
            </w:r>
          </w:p>
        </w:tc>
      </w:tr>
    </w:tbl>
    <w:p w14:paraId="4B8333D5" w14:textId="4F11F2C0" w:rsidR="00BB0DB9" w:rsidRPr="001601A6" w:rsidRDefault="00AF59F0" w:rsidP="00AF59F0">
      <w:pPr>
        <w:pStyle w:val="T0-TableCenter"/>
      </w:pPr>
      <w:r w:rsidRPr="001601A6">
        <w:t>Table 4.1. Pillar 3 mapped artifacts</w:t>
      </w:r>
    </w:p>
    <w:p w14:paraId="569C4B59" w14:textId="7E9A9832" w:rsidR="00BB0DB9" w:rsidRPr="001601A6" w:rsidRDefault="00000000" w:rsidP="00AF59F0">
      <w:pPr>
        <w:pStyle w:val="HS-Heading1"/>
      </w:pPr>
      <w:r w:rsidRPr="001601A6">
        <w:rPr>
          <w:rFonts w:eastAsia="Arial"/>
        </w:rPr>
        <w:t>Section 5 — Pillar 4: Governance and continuous assurance</w:t>
      </w:r>
    </w:p>
    <w:p w14:paraId="2F0C2553" w14:textId="4B04DAD2" w:rsidR="00BB0DB9" w:rsidRPr="001601A6" w:rsidRDefault="00000000" w:rsidP="001601A6">
      <w:pPr>
        <w:pStyle w:val="P0-Paragraph"/>
      </w:pPr>
      <w:r w:rsidRPr="001601A6">
        <w:t>Use the companion workbook Master Crosswalk for the complete row-level mappings. The compact table below identifies the mapped artifact set and the practitioner caveats that are not obvious from filtering alone.</w:t>
      </w:r>
    </w:p>
    <w:tbl>
      <w:tblPr>
        <w:tblStyle w:val="aff1"/>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00"/>
        <w:gridCol w:w="1940"/>
        <w:gridCol w:w="6220"/>
      </w:tblGrid>
      <w:tr w:rsidR="00BB0DB9" w:rsidRPr="001601A6" w14:paraId="1052BBCC" w14:textId="77777777" w:rsidTr="00AF59F0">
        <w:trPr>
          <w:cantSplit/>
          <w:tblHeader/>
          <w:jc w:val="center"/>
        </w:trPr>
        <w:tc>
          <w:tcPr>
            <w:tcW w:w="1200" w:type="dxa"/>
            <w:shd w:val="clear" w:color="auto" w:fill="1F3864"/>
          </w:tcPr>
          <w:p w14:paraId="00009BC0" w14:textId="77777777" w:rsidR="00BB0DB9" w:rsidRPr="001601A6" w:rsidRDefault="00000000" w:rsidP="001601A6">
            <w:pPr>
              <w:pStyle w:val="P0-Paragraph"/>
              <w:rPr>
                <w:rStyle w:val="CS-Keyword"/>
              </w:rPr>
            </w:pPr>
            <w:r w:rsidRPr="001601A6">
              <w:rPr>
                <w:rStyle w:val="CS-Keyword"/>
              </w:rPr>
              <w:t>Artifact</w:t>
            </w:r>
          </w:p>
        </w:tc>
        <w:tc>
          <w:tcPr>
            <w:tcW w:w="1940" w:type="dxa"/>
            <w:shd w:val="clear" w:color="auto" w:fill="1F3864"/>
          </w:tcPr>
          <w:p w14:paraId="3263C9E0" w14:textId="77777777" w:rsidR="00BB0DB9" w:rsidRPr="001601A6" w:rsidRDefault="00000000" w:rsidP="001601A6">
            <w:pPr>
              <w:pStyle w:val="P0-Paragraph"/>
              <w:rPr>
                <w:rStyle w:val="CS-Keyword"/>
              </w:rPr>
            </w:pPr>
            <w:r w:rsidRPr="001601A6">
              <w:rPr>
                <w:rStyle w:val="CS-Keyword"/>
              </w:rPr>
              <w:t>Mapped control rows</w:t>
            </w:r>
          </w:p>
        </w:tc>
        <w:tc>
          <w:tcPr>
            <w:tcW w:w="6220" w:type="dxa"/>
            <w:shd w:val="clear" w:color="auto" w:fill="1F3864"/>
          </w:tcPr>
          <w:p w14:paraId="394467E6" w14:textId="77777777" w:rsidR="00BB0DB9" w:rsidRPr="001601A6" w:rsidRDefault="00000000" w:rsidP="001601A6">
            <w:pPr>
              <w:pStyle w:val="P0-Paragraph"/>
              <w:rPr>
                <w:rStyle w:val="CS-Keyword"/>
              </w:rPr>
            </w:pPr>
            <w:proofErr w:type="gramStart"/>
            <w:r w:rsidRPr="001601A6">
              <w:rPr>
                <w:rStyle w:val="CS-Keyword"/>
              </w:rPr>
              <w:t>Practitioner</w:t>
            </w:r>
            <w:proofErr w:type="gramEnd"/>
            <w:r w:rsidRPr="001601A6">
              <w:rPr>
                <w:rStyle w:val="CS-Keyword"/>
              </w:rPr>
              <w:t xml:space="preserve"> note</w:t>
            </w:r>
          </w:p>
        </w:tc>
      </w:tr>
      <w:tr w:rsidR="00BB0DB9" w:rsidRPr="001601A6" w14:paraId="3FC60534" w14:textId="77777777" w:rsidTr="00AF59F0">
        <w:trPr>
          <w:cantSplit/>
          <w:jc w:val="center"/>
        </w:trPr>
        <w:tc>
          <w:tcPr>
            <w:tcW w:w="1200" w:type="dxa"/>
            <w:shd w:val="clear" w:color="auto" w:fill="FFFFFF"/>
          </w:tcPr>
          <w:p w14:paraId="50FB4166" w14:textId="77777777" w:rsidR="00BB0DB9" w:rsidRPr="001601A6" w:rsidRDefault="00000000" w:rsidP="001601A6">
            <w:pPr>
              <w:pStyle w:val="P0-Paragraph"/>
            </w:pPr>
            <w:r w:rsidRPr="001601A6">
              <w:t>ASCR-11</w:t>
            </w:r>
          </w:p>
        </w:tc>
        <w:tc>
          <w:tcPr>
            <w:tcW w:w="1940" w:type="dxa"/>
            <w:shd w:val="clear" w:color="auto" w:fill="FFFFFF"/>
          </w:tcPr>
          <w:p w14:paraId="5208BA0C" w14:textId="77777777" w:rsidR="00BB0DB9" w:rsidRPr="001601A6" w:rsidRDefault="00000000" w:rsidP="001601A6">
            <w:pPr>
              <w:pStyle w:val="P0-Paragraph"/>
            </w:pPr>
            <w:r w:rsidRPr="001601A6">
              <w:t>11</w:t>
            </w:r>
          </w:p>
        </w:tc>
        <w:tc>
          <w:tcPr>
            <w:tcW w:w="6220" w:type="dxa"/>
            <w:shd w:val="clear" w:color="auto" w:fill="FFFFFF"/>
          </w:tcPr>
          <w:p w14:paraId="33D64FF4" w14:textId="77777777" w:rsidR="00BB0DB9" w:rsidRPr="001601A6" w:rsidRDefault="00000000" w:rsidP="00AF59F0">
            <w:pPr>
              <w:pStyle w:val="P0-Paragraph"/>
              <w:jc w:val="left"/>
            </w:pPr>
            <w:r w:rsidRPr="001601A6">
              <w:t>SLA, AI-BOM, lineage, attestation, notification, calibration, threshold/enforcement-state governance, SLO, liability, and semantic-drift threshold mappings. Vendor qualification evidence is owned by ASCR-17.</w:t>
            </w:r>
          </w:p>
        </w:tc>
      </w:tr>
      <w:tr w:rsidR="00BB0DB9" w:rsidRPr="001601A6" w14:paraId="783E498F" w14:textId="77777777" w:rsidTr="00AF59F0">
        <w:trPr>
          <w:cantSplit/>
          <w:jc w:val="center"/>
        </w:trPr>
        <w:tc>
          <w:tcPr>
            <w:tcW w:w="1200" w:type="dxa"/>
            <w:shd w:val="clear" w:color="auto" w:fill="D9E2F3"/>
          </w:tcPr>
          <w:p w14:paraId="2AC27342" w14:textId="77777777" w:rsidR="00BB0DB9" w:rsidRPr="001601A6" w:rsidRDefault="00000000" w:rsidP="001601A6">
            <w:pPr>
              <w:pStyle w:val="P0-Paragraph"/>
            </w:pPr>
            <w:r w:rsidRPr="001601A6">
              <w:t>ASCR-12</w:t>
            </w:r>
          </w:p>
        </w:tc>
        <w:tc>
          <w:tcPr>
            <w:tcW w:w="1940" w:type="dxa"/>
            <w:shd w:val="clear" w:color="auto" w:fill="D9E2F3"/>
          </w:tcPr>
          <w:p w14:paraId="00CC7CE1" w14:textId="77777777" w:rsidR="00BB0DB9" w:rsidRPr="001601A6" w:rsidRDefault="00000000" w:rsidP="001601A6">
            <w:pPr>
              <w:pStyle w:val="P0-Paragraph"/>
            </w:pPr>
            <w:r w:rsidRPr="001601A6">
              <w:t>7</w:t>
            </w:r>
          </w:p>
        </w:tc>
        <w:tc>
          <w:tcPr>
            <w:tcW w:w="6220" w:type="dxa"/>
            <w:shd w:val="clear" w:color="auto" w:fill="D9E2F3"/>
          </w:tcPr>
          <w:p w14:paraId="3FDF654E" w14:textId="77777777" w:rsidR="00BB0DB9" w:rsidRPr="001601A6" w:rsidRDefault="00000000" w:rsidP="00AF59F0">
            <w:pPr>
              <w:pStyle w:val="P0-Paragraph"/>
              <w:jc w:val="left"/>
            </w:pPr>
            <w:r w:rsidRPr="001601A6">
              <w:t>Quarterly behavioral, risk, incident, SLO, exercise, compliance, and vendor-governance evidence.</w:t>
            </w:r>
          </w:p>
        </w:tc>
      </w:tr>
      <w:tr w:rsidR="00BB0DB9" w:rsidRPr="001601A6" w14:paraId="68959958" w14:textId="77777777" w:rsidTr="00AF59F0">
        <w:trPr>
          <w:cantSplit/>
          <w:jc w:val="center"/>
        </w:trPr>
        <w:tc>
          <w:tcPr>
            <w:tcW w:w="1200" w:type="dxa"/>
            <w:shd w:val="clear" w:color="auto" w:fill="FFFFFF"/>
          </w:tcPr>
          <w:p w14:paraId="0898F1A8" w14:textId="77777777" w:rsidR="00BB0DB9" w:rsidRPr="001601A6" w:rsidRDefault="00000000" w:rsidP="001601A6">
            <w:pPr>
              <w:pStyle w:val="P0-Paragraph"/>
            </w:pPr>
            <w:r w:rsidRPr="001601A6">
              <w:t>ASCR-13</w:t>
            </w:r>
          </w:p>
        </w:tc>
        <w:tc>
          <w:tcPr>
            <w:tcW w:w="1940" w:type="dxa"/>
            <w:shd w:val="clear" w:color="auto" w:fill="FFFFFF"/>
          </w:tcPr>
          <w:p w14:paraId="6E7B7380" w14:textId="77777777" w:rsidR="00BB0DB9" w:rsidRPr="001601A6" w:rsidRDefault="00000000" w:rsidP="001601A6">
            <w:pPr>
              <w:pStyle w:val="P0-Paragraph"/>
            </w:pPr>
            <w:r w:rsidRPr="001601A6">
              <w:t>5</w:t>
            </w:r>
          </w:p>
        </w:tc>
        <w:tc>
          <w:tcPr>
            <w:tcW w:w="6220" w:type="dxa"/>
            <w:shd w:val="clear" w:color="auto" w:fill="FFFFFF"/>
          </w:tcPr>
          <w:p w14:paraId="110ADB8E" w14:textId="77777777" w:rsidR="00BB0DB9" w:rsidRPr="001601A6" w:rsidRDefault="00000000" w:rsidP="00AF59F0">
            <w:pPr>
              <w:pStyle w:val="P0-Paragraph"/>
              <w:jc w:val="left"/>
            </w:pPr>
            <w:r w:rsidRPr="001601A6">
              <w:t>Role, competency, capability-gap, ownership, and staffing-risk evidence.</w:t>
            </w:r>
          </w:p>
        </w:tc>
      </w:tr>
    </w:tbl>
    <w:p w14:paraId="0C382523" w14:textId="3D4F08C6" w:rsidR="00BB0DB9" w:rsidRPr="001601A6" w:rsidRDefault="00AF59F0" w:rsidP="00AF59F0">
      <w:pPr>
        <w:pStyle w:val="T0-TableCaption"/>
      </w:pPr>
      <w:r w:rsidRPr="001601A6">
        <w:t>Table 5.1. Pillar 4 mapped artifacts</w:t>
      </w:r>
    </w:p>
    <w:p w14:paraId="3F221509" w14:textId="1C10617C" w:rsidR="00BB0DB9" w:rsidRPr="001601A6" w:rsidRDefault="00000000" w:rsidP="00AF59F0">
      <w:pPr>
        <w:pStyle w:val="HS-Heading1"/>
      </w:pPr>
      <w:r w:rsidRPr="001601A6">
        <w:rPr>
          <w:rFonts w:eastAsia="Arial"/>
        </w:rPr>
        <w:t>Section 6 — Consolidated regulatory obligation index</w:t>
      </w:r>
    </w:p>
    <w:p w14:paraId="7173A351" w14:textId="79FE3703" w:rsidR="00BB0DB9" w:rsidRPr="001601A6" w:rsidRDefault="00000000" w:rsidP="001601A6">
      <w:pPr>
        <w:pStyle w:val="P0-Paragraph"/>
      </w:pPr>
      <w:r w:rsidRPr="001601A6">
        <w:t>The companion workbook Obligation Index is a curated reverse lookup validated against the Master Crosswalk and provides the reverse path from a regulatory or standards provision to the Primary and Supporting ASCR artifacts selected for that provision. Primary and Supporting classifications are maintained explicitly in the Obligation Index rather than inferred from Master Crosswalk row order. The Master Crosswalk remains the complete row-level evidence-context record. Where an Obligation Index relationship cannot be supported by the corresponding Master Crosswalk mapping or the current authoritative ASCR artifact, reconcile the index entry before release rather than inferring a relationship.</w:t>
      </w:r>
    </w:p>
    <w:tbl>
      <w:tblPr>
        <w:tblStyle w:val="aff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46"/>
        <w:gridCol w:w="3095"/>
        <w:gridCol w:w="4119"/>
      </w:tblGrid>
      <w:tr w:rsidR="00BB0DB9" w:rsidRPr="001601A6" w14:paraId="5A73E885" w14:textId="77777777" w:rsidTr="00AF59F0">
        <w:trPr>
          <w:cantSplit/>
          <w:tblHeader/>
        </w:trPr>
        <w:tc>
          <w:tcPr>
            <w:tcW w:w="2146" w:type="dxa"/>
            <w:shd w:val="clear" w:color="auto" w:fill="1F3864"/>
          </w:tcPr>
          <w:p w14:paraId="7C4D3D07" w14:textId="77777777" w:rsidR="00BB0DB9" w:rsidRPr="001601A6" w:rsidRDefault="00000000" w:rsidP="001601A6">
            <w:pPr>
              <w:pStyle w:val="P0-Paragraph"/>
              <w:rPr>
                <w:rStyle w:val="CS-Keyword"/>
              </w:rPr>
            </w:pPr>
            <w:r w:rsidRPr="001601A6">
              <w:rPr>
                <w:rStyle w:val="CS-Keyword"/>
              </w:rPr>
              <w:t>Framework / standard</w:t>
            </w:r>
          </w:p>
        </w:tc>
        <w:tc>
          <w:tcPr>
            <w:tcW w:w="3095" w:type="dxa"/>
            <w:shd w:val="clear" w:color="auto" w:fill="1F3864"/>
          </w:tcPr>
          <w:p w14:paraId="3A2B373F" w14:textId="77777777" w:rsidR="00BB0DB9" w:rsidRPr="001601A6" w:rsidRDefault="00000000" w:rsidP="001601A6">
            <w:pPr>
              <w:pStyle w:val="P0-Paragraph"/>
              <w:rPr>
                <w:rStyle w:val="CS-Keyword"/>
              </w:rPr>
            </w:pPr>
            <w:r w:rsidRPr="001601A6">
              <w:rPr>
                <w:rStyle w:val="CS-Keyword"/>
              </w:rPr>
              <w:t>Reverse-lookup scope</w:t>
            </w:r>
          </w:p>
        </w:tc>
        <w:tc>
          <w:tcPr>
            <w:tcW w:w="4119" w:type="dxa"/>
            <w:shd w:val="clear" w:color="auto" w:fill="1F3864"/>
          </w:tcPr>
          <w:p w14:paraId="26F32F8C" w14:textId="77777777" w:rsidR="00BB0DB9" w:rsidRPr="001601A6" w:rsidRDefault="00000000" w:rsidP="001601A6">
            <w:pPr>
              <w:pStyle w:val="P0-Paragraph"/>
              <w:rPr>
                <w:rStyle w:val="CS-Keyword"/>
              </w:rPr>
            </w:pPr>
            <w:r w:rsidRPr="001601A6">
              <w:rPr>
                <w:rStyle w:val="CS-Keyword"/>
              </w:rPr>
              <w:t>Use note</w:t>
            </w:r>
          </w:p>
        </w:tc>
      </w:tr>
      <w:tr w:rsidR="00BB0DB9" w:rsidRPr="001601A6" w14:paraId="7BF6BDE4" w14:textId="77777777" w:rsidTr="00AF59F0">
        <w:trPr>
          <w:cantSplit/>
        </w:trPr>
        <w:tc>
          <w:tcPr>
            <w:tcW w:w="2146" w:type="dxa"/>
            <w:shd w:val="clear" w:color="auto" w:fill="FFFFFF"/>
          </w:tcPr>
          <w:p w14:paraId="2BAC2E47" w14:textId="77777777" w:rsidR="00BB0DB9" w:rsidRPr="001601A6" w:rsidRDefault="00000000" w:rsidP="00AF59F0">
            <w:pPr>
              <w:pStyle w:val="P0-Paragraph"/>
              <w:jc w:val="left"/>
            </w:pPr>
            <w:r w:rsidRPr="001601A6">
              <w:t>EU AI Act</w:t>
            </w:r>
          </w:p>
        </w:tc>
        <w:tc>
          <w:tcPr>
            <w:tcW w:w="3095" w:type="dxa"/>
            <w:shd w:val="clear" w:color="auto" w:fill="FFFFFF"/>
          </w:tcPr>
          <w:p w14:paraId="07782C38" w14:textId="77777777" w:rsidR="00BB0DB9" w:rsidRPr="001601A6" w:rsidRDefault="00000000" w:rsidP="00AF59F0">
            <w:pPr>
              <w:pStyle w:val="P0-Paragraph"/>
              <w:jc w:val="left"/>
            </w:pPr>
            <w:r w:rsidRPr="001601A6">
              <w:t>Articles and Annex IV references mapped in Master Crosswalk</w:t>
            </w:r>
          </w:p>
        </w:tc>
        <w:tc>
          <w:tcPr>
            <w:tcW w:w="4119" w:type="dxa"/>
            <w:shd w:val="clear" w:color="auto" w:fill="FFFFFF"/>
          </w:tcPr>
          <w:p w14:paraId="28450C54" w14:textId="77777777" w:rsidR="00BB0DB9" w:rsidRPr="001601A6" w:rsidRDefault="00000000" w:rsidP="00AF59F0">
            <w:pPr>
              <w:pStyle w:val="P0-Paragraph"/>
              <w:jc w:val="left"/>
            </w:pPr>
            <w:r w:rsidRPr="001601A6">
              <w:t>Apply only after role, classification, and application-date gate.</w:t>
            </w:r>
          </w:p>
        </w:tc>
      </w:tr>
      <w:tr w:rsidR="00BB0DB9" w:rsidRPr="001601A6" w14:paraId="50EDCDAA" w14:textId="77777777" w:rsidTr="00AF59F0">
        <w:trPr>
          <w:cantSplit/>
        </w:trPr>
        <w:tc>
          <w:tcPr>
            <w:tcW w:w="2146" w:type="dxa"/>
            <w:shd w:val="clear" w:color="auto" w:fill="D9E2F3"/>
          </w:tcPr>
          <w:p w14:paraId="43DFC9B1" w14:textId="77777777" w:rsidR="00BB0DB9" w:rsidRPr="001601A6" w:rsidRDefault="00000000" w:rsidP="00AF59F0">
            <w:pPr>
              <w:pStyle w:val="P0-Paragraph"/>
              <w:jc w:val="left"/>
            </w:pPr>
            <w:r w:rsidRPr="001601A6">
              <w:t>NIS2</w:t>
            </w:r>
          </w:p>
        </w:tc>
        <w:tc>
          <w:tcPr>
            <w:tcW w:w="3095" w:type="dxa"/>
            <w:shd w:val="clear" w:color="auto" w:fill="D9E2F3"/>
          </w:tcPr>
          <w:p w14:paraId="7B495A7F" w14:textId="77777777" w:rsidR="00BB0DB9" w:rsidRPr="001601A6" w:rsidRDefault="00000000" w:rsidP="00AF59F0">
            <w:pPr>
              <w:pStyle w:val="P0-Paragraph"/>
              <w:jc w:val="left"/>
            </w:pPr>
            <w:r w:rsidRPr="001601A6">
              <w:t>Directive article references mapped in Master Crosswalk</w:t>
            </w:r>
          </w:p>
        </w:tc>
        <w:tc>
          <w:tcPr>
            <w:tcW w:w="4119" w:type="dxa"/>
            <w:shd w:val="clear" w:color="auto" w:fill="D9E2F3"/>
          </w:tcPr>
          <w:p w14:paraId="4821BA1D" w14:textId="77777777" w:rsidR="00BB0DB9" w:rsidRPr="001601A6" w:rsidRDefault="00000000" w:rsidP="00AF59F0">
            <w:pPr>
              <w:pStyle w:val="P0-Paragraph"/>
              <w:jc w:val="left"/>
            </w:pPr>
            <w:r w:rsidRPr="001601A6">
              <w:t>Verify national transposition and competent authority.</w:t>
            </w:r>
          </w:p>
        </w:tc>
      </w:tr>
      <w:tr w:rsidR="00BB0DB9" w:rsidRPr="001601A6" w14:paraId="4E5C92D4" w14:textId="77777777" w:rsidTr="00AF59F0">
        <w:trPr>
          <w:cantSplit/>
        </w:trPr>
        <w:tc>
          <w:tcPr>
            <w:tcW w:w="2146" w:type="dxa"/>
            <w:shd w:val="clear" w:color="auto" w:fill="FFFFFF"/>
          </w:tcPr>
          <w:p w14:paraId="4DF7D883" w14:textId="77777777" w:rsidR="00BB0DB9" w:rsidRPr="001601A6" w:rsidRDefault="00000000" w:rsidP="00AF59F0">
            <w:pPr>
              <w:pStyle w:val="P0-Paragraph"/>
              <w:jc w:val="left"/>
            </w:pPr>
            <w:r w:rsidRPr="001601A6">
              <w:t>RPLD</w:t>
            </w:r>
          </w:p>
        </w:tc>
        <w:tc>
          <w:tcPr>
            <w:tcW w:w="3095" w:type="dxa"/>
            <w:shd w:val="clear" w:color="auto" w:fill="FFFFFF"/>
          </w:tcPr>
          <w:p w14:paraId="3839E6B1" w14:textId="77777777" w:rsidR="00BB0DB9" w:rsidRPr="001601A6" w:rsidRDefault="00000000" w:rsidP="00AF59F0">
            <w:pPr>
              <w:pStyle w:val="P0-Paragraph"/>
              <w:jc w:val="left"/>
            </w:pPr>
            <w:r w:rsidRPr="001601A6">
              <w:t>Mapped Directive (EU) 2024/2853 provisions</w:t>
            </w:r>
          </w:p>
        </w:tc>
        <w:tc>
          <w:tcPr>
            <w:tcW w:w="4119" w:type="dxa"/>
            <w:shd w:val="clear" w:color="auto" w:fill="FFFFFF"/>
          </w:tcPr>
          <w:p w14:paraId="2053EA9F" w14:textId="77777777" w:rsidR="00BB0DB9" w:rsidRPr="001601A6" w:rsidRDefault="00000000" w:rsidP="00AF59F0">
            <w:pPr>
              <w:pStyle w:val="P0-Paragraph"/>
              <w:jc w:val="left"/>
            </w:pPr>
            <w:r w:rsidRPr="001601A6">
              <w:t>Verify national transposition and product placement / service date.</w:t>
            </w:r>
          </w:p>
        </w:tc>
      </w:tr>
      <w:tr w:rsidR="00BB0DB9" w:rsidRPr="001601A6" w14:paraId="23A393BB" w14:textId="77777777" w:rsidTr="00AF59F0">
        <w:trPr>
          <w:cantSplit/>
        </w:trPr>
        <w:tc>
          <w:tcPr>
            <w:tcW w:w="2146" w:type="dxa"/>
            <w:shd w:val="clear" w:color="auto" w:fill="D9E2F3"/>
          </w:tcPr>
          <w:p w14:paraId="5079AA47" w14:textId="77777777" w:rsidR="00BB0DB9" w:rsidRPr="001601A6" w:rsidRDefault="00000000" w:rsidP="00AF59F0">
            <w:pPr>
              <w:pStyle w:val="P0-Paragraph"/>
              <w:jc w:val="left"/>
            </w:pPr>
            <w:r w:rsidRPr="001601A6">
              <w:t>DORA</w:t>
            </w:r>
          </w:p>
        </w:tc>
        <w:tc>
          <w:tcPr>
            <w:tcW w:w="3095" w:type="dxa"/>
            <w:shd w:val="clear" w:color="auto" w:fill="D9E2F3"/>
          </w:tcPr>
          <w:p w14:paraId="668648C5" w14:textId="77777777" w:rsidR="00BB0DB9" w:rsidRPr="001601A6" w:rsidRDefault="00000000" w:rsidP="00AF59F0">
            <w:pPr>
              <w:pStyle w:val="P0-Paragraph"/>
              <w:jc w:val="left"/>
            </w:pPr>
            <w:r w:rsidRPr="001601A6">
              <w:t>Mapped DORA provisions plus delegated logging reference</w:t>
            </w:r>
          </w:p>
        </w:tc>
        <w:tc>
          <w:tcPr>
            <w:tcW w:w="4119" w:type="dxa"/>
            <w:shd w:val="clear" w:color="auto" w:fill="D9E2F3"/>
          </w:tcPr>
          <w:p w14:paraId="48A2ABBF" w14:textId="77777777" w:rsidR="00BB0DB9" w:rsidRPr="001601A6" w:rsidRDefault="00000000" w:rsidP="00AF59F0">
            <w:pPr>
              <w:pStyle w:val="P0-Paragraph"/>
              <w:jc w:val="left"/>
            </w:pPr>
            <w:r w:rsidRPr="001601A6">
              <w:t>Confirm financial-entity scope, simplified-framework status, and TLPT designation.</w:t>
            </w:r>
          </w:p>
        </w:tc>
      </w:tr>
      <w:tr w:rsidR="00BB0DB9" w:rsidRPr="001601A6" w14:paraId="11B071EA" w14:textId="77777777" w:rsidTr="00AF59F0">
        <w:trPr>
          <w:cantSplit/>
        </w:trPr>
        <w:tc>
          <w:tcPr>
            <w:tcW w:w="2146" w:type="dxa"/>
            <w:shd w:val="clear" w:color="auto" w:fill="FFFFFF"/>
          </w:tcPr>
          <w:p w14:paraId="55674280" w14:textId="77777777" w:rsidR="00BB0DB9" w:rsidRPr="001601A6" w:rsidRDefault="00000000" w:rsidP="00AF59F0">
            <w:pPr>
              <w:pStyle w:val="P0-Paragraph"/>
              <w:jc w:val="left"/>
            </w:pPr>
            <w:r w:rsidRPr="001601A6">
              <w:lastRenderedPageBreak/>
              <w:t>IEC 62443</w:t>
            </w:r>
          </w:p>
        </w:tc>
        <w:tc>
          <w:tcPr>
            <w:tcW w:w="3095" w:type="dxa"/>
            <w:shd w:val="clear" w:color="auto" w:fill="FFFFFF"/>
          </w:tcPr>
          <w:p w14:paraId="756F12F8" w14:textId="77777777" w:rsidR="00BB0DB9" w:rsidRPr="001601A6" w:rsidRDefault="00000000" w:rsidP="00AF59F0">
            <w:pPr>
              <w:pStyle w:val="P0-Paragraph"/>
              <w:jc w:val="left"/>
            </w:pPr>
            <w:r w:rsidRPr="001601A6">
              <w:t>Mapped SRs, 62443-3-2 references, and security-level references</w:t>
            </w:r>
          </w:p>
        </w:tc>
        <w:tc>
          <w:tcPr>
            <w:tcW w:w="4119" w:type="dxa"/>
            <w:shd w:val="clear" w:color="auto" w:fill="FFFFFF"/>
          </w:tcPr>
          <w:p w14:paraId="4137B891" w14:textId="77777777" w:rsidR="00BB0DB9" w:rsidRPr="001601A6" w:rsidRDefault="00000000" w:rsidP="00AF59F0">
            <w:pPr>
              <w:pStyle w:val="P0-Paragraph"/>
              <w:jc w:val="left"/>
            </w:pPr>
            <w:r w:rsidRPr="001601A6">
              <w:t>Organizational/personnel controls are not forced into unrelated 62443-3-3 SRs.</w:t>
            </w:r>
          </w:p>
        </w:tc>
      </w:tr>
      <w:tr w:rsidR="00BB0DB9" w:rsidRPr="001601A6" w14:paraId="1CC29509" w14:textId="77777777" w:rsidTr="00AF59F0">
        <w:trPr>
          <w:cantSplit/>
        </w:trPr>
        <w:tc>
          <w:tcPr>
            <w:tcW w:w="2146" w:type="dxa"/>
            <w:shd w:val="clear" w:color="auto" w:fill="D9E2F3"/>
          </w:tcPr>
          <w:p w14:paraId="390ECC50" w14:textId="77777777" w:rsidR="00BB0DB9" w:rsidRPr="001601A6" w:rsidRDefault="00000000" w:rsidP="00AF59F0">
            <w:pPr>
              <w:pStyle w:val="P0-Paragraph"/>
              <w:jc w:val="left"/>
            </w:pPr>
            <w:r w:rsidRPr="001601A6">
              <w:t>IEC 61508 / IEC 61511</w:t>
            </w:r>
          </w:p>
        </w:tc>
        <w:tc>
          <w:tcPr>
            <w:tcW w:w="3095" w:type="dxa"/>
            <w:shd w:val="clear" w:color="auto" w:fill="D9E2F3"/>
          </w:tcPr>
          <w:p w14:paraId="07C0FCA5" w14:textId="77777777" w:rsidR="00BB0DB9" w:rsidRPr="001601A6" w:rsidRDefault="00000000" w:rsidP="00AF59F0">
            <w:pPr>
              <w:pStyle w:val="P0-Paragraph"/>
              <w:jc w:val="left"/>
            </w:pPr>
            <w:r w:rsidRPr="001601A6">
              <w:t>Functional-safety boundary reference</w:t>
            </w:r>
          </w:p>
        </w:tc>
        <w:tc>
          <w:tcPr>
            <w:tcW w:w="4119" w:type="dxa"/>
            <w:shd w:val="clear" w:color="auto" w:fill="D9E2F3"/>
          </w:tcPr>
          <w:p w14:paraId="11A908C8" w14:textId="77777777" w:rsidR="00BB0DB9" w:rsidRPr="001601A6" w:rsidRDefault="00000000" w:rsidP="00AF59F0">
            <w:pPr>
              <w:pStyle w:val="P0-Paragraph"/>
              <w:jc w:val="left"/>
            </w:pPr>
            <w:r w:rsidRPr="001601A6">
              <w:t>Referenced for Safe-State/interlock requirements; not comprehensively mapped.</w:t>
            </w:r>
          </w:p>
        </w:tc>
      </w:tr>
      <w:tr w:rsidR="00BB0DB9" w:rsidRPr="001601A6" w14:paraId="7995E4D3" w14:textId="77777777" w:rsidTr="00AF59F0">
        <w:trPr>
          <w:cantSplit/>
        </w:trPr>
        <w:tc>
          <w:tcPr>
            <w:tcW w:w="2146" w:type="dxa"/>
            <w:shd w:val="clear" w:color="auto" w:fill="FFFFFF"/>
          </w:tcPr>
          <w:p w14:paraId="6FDC2C78" w14:textId="77777777" w:rsidR="00BB0DB9" w:rsidRPr="001601A6" w:rsidRDefault="00000000" w:rsidP="00AF59F0">
            <w:pPr>
              <w:pStyle w:val="P0-Paragraph"/>
              <w:jc w:val="left"/>
            </w:pPr>
            <w:r w:rsidRPr="001601A6">
              <w:t>ISO/IEC 42001</w:t>
            </w:r>
          </w:p>
        </w:tc>
        <w:tc>
          <w:tcPr>
            <w:tcW w:w="3095" w:type="dxa"/>
            <w:shd w:val="clear" w:color="auto" w:fill="FFFFFF"/>
          </w:tcPr>
          <w:p w14:paraId="6CA2EC41" w14:textId="77777777" w:rsidR="00BB0DB9" w:rsidRPr="001601A6" w:rsidRDefault="00000000" w:rsidP="00AF59F0">
            <w:pPr>
              <w:pStyle w:val="P0-Paragraph"/>
              <w:jc w:val="left"/>
            </w:pPr>
            <w:r w:rsidRPr="001601A6">
              <w:t>Mapped management-system clauses</w:t>
            </w:r>
          </w:p>
        </w:tc>
        <w:tc>
          <w:tcPr>
            <w:tcW w:w="4119" w:type="dxa"/>
            <w:shd w:val="clear" w:color="auto" w:fill="FFFFFF"/>
          </w:tcPr>
          <w:p w14:paraId="414E72C6" w14:textId="77777777" w:rsidR="00BB0DB9" w:rsidRPr="001601A6" w:rsidRDefault="00000000" w:rsidP="00AF59F0">
            <w:pPr>
              <w:pStyle w:val="P0-Paragraph"/>
              <w:jc w:val="left"/>
            </w:pPr>
            <w:r w:rsidRPr="001601A6">
              <w:t>Clause labels standardized; workbook remains the row-level source.</w:t>
            </w:r>
          </w:p>
        </w:tc>
      </w:tr>
      <w:tr w:rsidR="00BB0DB9" w:rsidRPr="001601A6" w14:paraId="429A7DA8" w14:textId="77777777" w:rsidTr="00AF59F0">
        <w:trPr>
          <w:cantSplit/>
        </w:trPr>
        <w:tc>
          <w:tcPr>
            <w:tcW w:w="2146" w:type="dxa"/>
            <w:shd w:val="clear" w:color="auto" w:fill="D9E2F3"/>
          </w:tcPr>
          <w:p w14:paraId="06787D20" w14:textId="77777777" w:rsidR="00BB0DB9" w:rsidRPr="001601A6" w:rsidRDefault="00000000" w:rsidP="00AF59F0">
            <w:pPr>
              <w:pStyle w:val="P0-Paragraph"/>
              <w:jc w:val="left"/>
            </w:pPr>
            <w:r w:rsidRPr="001601A6">
              <w:t>NIST AI RMF 1.0</w:t>
            </w:r>
          </w:p>
        </w:tc>
        <w:tc>
          <w:tcPr>
            <w:tcW w:w="3095" w:type="dxa"/>
            <w:shd w:val="clear" w:color="auto" w:fill="D9E2F3"/>
          </w:tcPr>
          <w:p w14:paraId="5764DB83" w14:textId="77777777" w:rsidR="00BB0DB9" w:rsidRPr="001601A6" w:rsidRDefault="00000000" w:rsidP="00AF59F0">
            <w:pPr>
              <w:pStyle w:val="P0-Paragraph"/>
              <w:jc w:val="left"/>
            </w:pPr>
            <w:r w:rsidRPr="001601A6">
              <w:t>Mapped GOVERN / MAP / MEASURE / MANAGE subcategories</w:t>
            </w:r>
          </w:p>
        </w:tc>
        <w:tc>
          <w:tcPr>
            <w:tcW w:w="4119" w:type="dxa"/>
            <w:shd w:val="clear" w:color="auto" w:fill="D9E2F3"/>
          </w:tcPr>
          <w:p w14:paraId="534614D8" w14:textId="77777777" w:rsidR="00BB0DB9" w:rsidRPr="001601A6" w:rsidRDefault="00000000" w:rsidP="00AF59F0">
            <w:pPr>
              <w:pStyle w:val="P0-Paragraph"/>
              <w:jc w:val="left"/>
            </w:pPr>
            <w:r w:rsidRPr="001601A6">
              <w:t>Use as voluntary AI risk-management reference.</w:t>
            </w:r>
          </w:p>
        </w:tc>
      </w:tr>
      <w:tr w:rsidR="00BB0DB9" w:rsidRPr="001601A6" w14:paraId="3926B8D6" w14:textId="77777777" w:rsidTr="00AF59F0">
        <w:trPr>
          <w:cantSplit/>
        </w:trPr>
        <w:tc>
          <w:tcPr>
            <w:tcW w:w="2146" w:type="dxa"/>
            <w:shd w:val="clear" w:color="auto" w:fill="FFFFFF"/>
          </w:tcPr>
          <w:p w14:paraId="3BD3720B" w14:textId="77777777" w:rsidR="00BB0DB9" w:rsidRPr="001601A6" w:rsidRDefault="00000000" w:rsidP="00AF59F0">
            <w:pPr>
              <w:pStyle w:val="P0-Paragraph"/>
              <w:jc w:val="left"/>
            </w:pPr>
            <w:r w:rsidRPr="001601A6">
              <w:t>NIST SP 800-53 Rev. 5, Release 5.2.0</w:t>
            </w:r>
          </w:p>
        </w:tc>
        <w:tc>
          <w:tcPr>
            <w:tcW w:w="3095" w:type="dxa"/>
            <w:shd w:val="clear" w:color="auto" w:fill="FFFFFF"/>
          </w:tcPr>
          <w:p w14:paraId="39CAEBEF" w14:textId="77777777" w:rsidR="00BB0DB9" w:rsidRPr="001601A6" w:rsidRDefault="00000000" w:rsidP="00AF59F0">
            <w:pPr>
              <w:pStyle w:val="P0-Paragraph"/>
              <w:jc w:val="left"/>
            </w:pPr>
            <w:r w:rsidRPr="001601A6">
              <w:t>Mapped security and privacy controls</w:t>
            </w:r>
          </w:p>
        </w:tc>
        <w:tc>
          <w:tcPr>
            <w:tcW w:w="4119" w:type="dxa"/>
            <w:shd w:val="clear" w:color="auto" w:fill="FFFFFF"/>
          </w:tcPr>
          <w:p w14:paraId="38CA04CB" w14:textId="77777777" w:rsidR="00BB0DB9" w:rsidRPr="001601A6" w:rsidRDefault="00000000" w:rsidP="00AF59F0">
            <w:pPr>
              <w:pStyle w:val="P0-Paragraph"/>
              <w:jc w:val="left"/>
            </w:pPr>
            <w:r w:rsidRPr="001601A6">
              <w:t>Mappings use the Release 5.2.0 control-catalog baseline; reverse lookup includes mapped control IDs.</w:t>
            </w:r>
          </w:p>
        </w:tc>
      </w:tr>
      <w:tr w:rsidR="00BB0DB9" w:rsidRPr="001601A6" w14:paraId="2914C278" w14:textId="77777777" w:rsidTr="00AF59F0">
        <w:trPr>
          <w:cantSplit/>
        </w:trPr>
        <w:tc>
          <w:tcPr>
            <w:tcW w:w="2146" w:type="dxa"/>
            <w:shd w:val="clear" w:color="auto" w:fill="D9E2F3"/>
          </w:tcPr>
          <w:p w14:paraId="1D8DC276" w14:textId="77777777" w:rsidR="00BB0DB9" w:rsidRPr="001601A6" w:rsidRDefault="00000000" w:rsidP="00AF59F0">
            <w:pPr>
              <w:pStyle w:val="P0-Paragraph"/>
              <w:jc w:val="left"/>
            </w:pPr>
            <w:r w:rsidRPr="001601A6">
              <w:t>NIST SP 800-161 Rev. 1 Update 1</w:t>
            </w:r>
          </w:p>
        </w:tc>
        <w:tc>
          <w:tcPr>
            <w:tcW w:w="3095" w:type="dxa"/>
            <w:shd w:val="clear" w:color="auto" w:fill="D9E2F3"/>
          </w:tcPr>
          <w:p w14:paraId="6269DEBD" w14:textId="77777777" w:rsidR="00BB0DB9" w:rsidRPr="001601A6" w:rsidRDefault="00000000" w:rsidP="00AF59F0">
            <w:pPr>
              <w:pStyle w:val="P0-Paragraph"/>
              <w:jc w:val="left"/>
            </w:pPr>
            <w:r w:rsidRPr="001601A6">
              <w:t>Mapped C-SCRM SR-family references</w:t>
            </w:r>
          </w:p>
        </w:tc>
        <w:tc>
          <w:tcPr>
            <w:tcW w:w="4119" w:type="dxa"/>
            <w:shd w:val="clear" w:color="auto" w:fill="D9E2F3"/>
          </w:tcPr>
          <w:p w14:paraId="1292E981" w14:textId="77777777" w:rsidR="00BB0DB9" w:rsidRPr="001601A6" w:rsidRDefault="00000000" w:rsidP="00AF59F0">
            <w:pPr>
              <w:pStyle w:val="P0-Paragraph"/>
              <w:jc w:val="left"/>
            </w:pPr>
            <w:proofErr w:type="gramStart"/>
            <w:r w:rsidRPr="001601A6">
              <w:t>Uses</w:t>
            </w:r>
            <w:proofErr w:type="gramEnd"/>
            <w:r w:rsidRPr="001601A6">
              <w:t xml:space="preserve"> the applicable C-SCRM control identifiers represented in the Master Crosswalk.</w:t>
            </w:r>
          </w:p>
        </w:tc>
      </w:tr>
    </w:tbl>
    <w:p w14:paraId="5B838659" w14:textId="41A96327" w:rsidR="00BB0DB9" w:rsidRPr="001601A6" w:rsidRDefault="00AF59F0" w:rsidP="00AF59F0">
      <w:pPr>
        <w:pStyle w:val="T0-TableCaption"/>
      </w:pPr>
      <w:r w:rsidRPr="001601A6">
        <w:t>Table 6.1. Consolidated regulatory obligation index scope</w:t>
      </w:r>
    </w:p>
    <w:p w14:paraId="5FC5EF7A" w14:textId="77777777" w:rsidR="00BB0DB9" w:rsidRPr="001601A6" w:rsidRDefault="00000000" w:rsidP="001601A6">
      <w:pPr>
        <w:pStyle w:val="HS-Heading1"/>
      </w:pPr>
      <w:r w:rsidRPr="001601A6">
        <w:rPr>
          <w:rFonts w:eastAsia="Arial"/>
        </w:rPr>
        <w:t xml:space="preserve">Section 7 — Extension </w:t>
      </w:r>
      <w:proofErr w:type="gramStart"/>
      <w:r w:rsidRPr="001601A6">
        <w:rPr>
          <w:rFonts w:eastAsia="Arial"/>
        </w:rPr>
        <w:t>protocol</w:t>
      </w:r>
      <w:proofErr w:type="gramEnd"/>
    </w:p>
    <w:p w14:paraId="478111C8" w14:textId="77777777" w:rsidR="00BB0DB9" w:rsidRPr="001601A6" w:rsidRDefault="00000000" w:rsidP="00AF59F0">
      <w:pPr>
        <w:pStyle w:val="HS-Heading2"/>
      </w:pPr>
      <w:r w:rsidRPr="001601A6">
        <w:rPr>
          <w:rFonts w:eastAsia="Arial"/>
        </w:rPr>
        <w:t>7.1 Adding a regulatory framework</w:t>
      </w:r>
    </w:p>
    <w:p w14:paraId="3D94062A" w14:textId="77777777" w:rsidR="00BB0DB9" w:rsidRPr="001601A6" w:rsidRDefault="00000000" w:rsidP="001601A6">
      <w:pPr>
        <w:pStyle w:val="P0-Paragraph"/>
      </w:pPr>
      <w:r w:rsidRPr="001601A6">
        <w:t>Organizations operating under regulatory frameworks not covered in this matrix may extend it by inserting a new framework column in the Master Crosswalk immediately before the gap working fields, populating that column for each applicable control row, assigning the next unused Mapping ID to any new Master row, and adding one Obligation Index row for each mapped provision. Re-apply filters and update the Read Me sheet when the workbook structure changes.</w:t>
      </w:r>
    </w:p>
    <w:p w14:paraId="72BD514C" w14:textId="77777777" w:rsidR="00BB0DB9" w:rsidRPr="001601A6" w:rsidRDefault="00000000" w:rsidP="001601A6">
      <w:pPr>
        <w:pStyle w:val="P0-Paragraph"/>
      </w:pPr>
      <w:r w:rsidRPr="001601A6">
        <w:t>Each extension requires:</w:t>
      </w:r>
    </w:p>
    <w:p w14:paraId="63E4BADB" w14:textId="77777777" w:rsidR="00BB0DB9" w:rsidRPr="001601A6" w:rsidRDefault="00000000" w:rsidP="00AF59F0">
      <w:pPr>
        <w:pStyle w:val="L1-Bullet"/>
      </w:pPr>
      <w:r w:rsidRPr="001601A6">
        <w:rPr>
          <w:rFonts w:eastAsia="Arial"/>
        </w:rPr>
        <w:t>Identification of the specific articles or provisions applicable to the deployment</w:t>
      </w:r>
    </w:p>
    <w:p w14:paraId="58E15347" w14:textId="77777777" w:rsidR="00BB0DB9" w:rsidRPr="001601A6" w:rsidRDefault="00000000" w:rsidP="00AF59F0">
      <w:pPr>
        <w:pStyle w:val="L1-Bullet"/>
      </w:pPr>
      <w:r w:rsidRPr="001601A6">
        <w:t>Mapping to the ASCR control or artifact function that supports each provision or control objective</w:t>
      </w:r>
    </w:p>
    <w:p w14:paraId="57449DF6" w14:textId="77777777" w:rsidR="00BB0DB9" w:rsidRPr="001601A6" w:rsidRDefault="00000000" w:rsidP="00AF59F0">
      <w:pPr>
        <w:pStyle w:val="L1-Bullet"/>
      </w:pPr>
      <w:r w:rsidRPr="001601A6">
        <w:rPr>
          <w:rFonts w:eastAsia="Arial"/>
        </w:rPr>
        <w:t>Specification of the evidence produced by that control</w:t>
      </w:r>
    </w:p>
    <w:p w14:paraId="7E6CD808" w14:textId="77777777" w:rsidR="00BB0DB9" w:rsidRPr="001601A6" w:rsidRDefault="00000000" w:rsidP="00AF59F0">
      <w:pPr>
        <w:pStyle w:val="L1-Bullet"/>
      </w:pPr>
      <w:r w:rsidRPr="001601A6">
        <w:rPr>
          <w:rFonts w:eastAsia="Arial"/>
        </w:rPr>
        <w:t>Legal Counsel review of the mapping before the organization relies on it operationally</w:t>
      </w:r>
    </w:p>
    <w:p w14:paraId="30A899CD" w14:textId="77777777" w:rsidR="00BB0DB9" w:rsidRPr="001601A6" w:rsidRDefault="00000000" w:rsidP="00AF59F0">
      <w:pPr>
        <w:pStyle w:val="L1-Bullet"/>
      </w:pPr>
      <w:r w:rsidRPr="001601A6">
        <w:rPr>
          <w:rFonts w:eastAsia="Arial"/>
        </w:rPr>
        <w:t>Update of ASCR-12 to include the new framework in quarterly compliance posture reporting</w:t>
      </w:r>
    </w:p>
    <w:p w14:paraId="4F2120B8" w14:textId="77777777" w:rsidR="00BB0DB9" w:rsidRPr="001601A6" w:rsidRDefault="00000000" w:rsidP="00AF59F0">
      <w:pPr>
        <w:pStyle w:val="L1-Bullet"/>
      </w:pPr>
      <w:r w:rsidRPr="001601A6">
        <w:rPr>
          <w:rFonts w:eastAsia="Arial"/>
        </w:rPr>
        <w:t xml:space="preserve">Synchronized update of the same Mapping ID row in both overlays and, when a </w:t>
      </w:r>
      <w:r w:rsidRPr="001601A6">
        <w:rPr>
          <w:rFonts w:ascii="Segoe UI Symbol" w:eastAsia="Arial" w:hAnsi="Segoe UI Symbol" w:cs="Segoe UI Symbol"/>
        </w:rPr>
        <w:t>⚠</w:t>
      </w:r>
      <w:r w:rsidRPr="001601A6">
        <w:rPr>
          <w:rFonts w:eastAsia="Arial"/>
        </w:rPr>
        <w:t xml:space="preserve"> condition is introduced, the Gap Tracker; update the Obligation Index Mapping ID(s) for every affected provision</w:t>
      </w:r>
    </w:p>
    <w:p w14:paraId="44F1051D" w14:textId="77777777" w:rsidR="00BB0DB9" w:rsidRPr="001601A6" w:rsidRDefault="00000000" w:rsidP="001601A6">
      <w:pPr>
        <w:pStyle w:val="P0-Paragraph"/>
      </w:pPr>
      <w:r w:rsidRPr="001601A6">
        <w:rPr>
          <w:rFonts w:eastAsia="Arial"/>
        </w:rPr>
        <w:t>Candidate frameworks for row-level crosswalk extension based on deployment context include:</w:t>
      </w:r>
    </w:p>
    <w:p w14:paraId="6D5E144E" w14:textId="77777777" w:rsidR="00BB0DB9" w:rsidRPr="001601A6" w:rsidRDefault="00000000" w:rsidP="00AF59F0">
      <w:pPr>
        <w:pStyle w:val="L1-Bullet"/>
      </w:pPr>
      <w:r w:rsidRPr="001601A6">
        <w:t>ISO/SAE 21434:2021 (automotive cybersecurity)</w:t>
      </w:r>
    </w:p>
    <w:p w14:paraId="4D3DEE52" w14:textId="77777777" w:rsidR="00BB0DB9" w:rsidRPr="001601A6" w:rsidRDefault="00000000" w:rsidP="00AF59F0">
      <w:pPr>
        <w:pStyle w:val="L1-Bullet"/>
      </w:pPr>
      <w:r w:rsidRPr="001601A6">
        <w:rPr>
          <w:rFonts w:eastAsia="Arial"/>
        </w:rPr>
        <w:lastRenderedPageBreak/>
        <w:t>NIST CSF 2.0 — supersedes CSF 1.1; the Govern function is new in 2.0 and aligns directly with ASCR-03 and ASCR-13 obligations; organizations currently mapped to CSF 1.1 should plan migration to the 2.0 mapping</w:t>
      </w:r>
    </w:p>
    <w:p w14:paraId="5BEC8E8A" w14:textId="77777777" w:rsidR="00BB0DB9" w:rsidRPr="001601A6" w:rsidRDefault="00000000" w:rsidP="00AF59F0">
      <w:pPr>
        <w:pStyle w:val="L1-Bullet"/>
      </w:pPr>
      <w:r w:rsidRPr="001601A6">
        <w:t>EU Cyber Resilience Act, Regulation (EU) 2024/2847 (where applicable). Article 14 manufacturer reporting obligations apply from 11 Sep 2026; this release provides the notification-timing reference in Table 1.4 but does not yet provide a complete row-level CRA crosswalk.</w:t>
      </w:r>
    </w:p>
    <w:p w14:paraId="1D251A4E" w14:textId="77777777" w:rsidR="00BB0DB9" w:rsidRPr="001601A6" w:rsidRDefault="00000000" w:rsidP="00AF59F0">
      <w:pPr>
        <w:pStyle w:val="L1-Bullet"/>
      </w:pPr>
      <w:r w:rsidRPr="001601A6">
        <w:rPr>
          <w:rFonts w:eastAsia="Arial"/>
        </w:rPr>
        <w:t>UK Product Security and Telecommunications Infrastructure Act 2022</w:t>
      </w:r>
    </w:p>
    <w:p w14:paraId="336ED178" w14:textId="77777777" w:rsidR="00BB0DB9" w:rsidRPr="001601A6" w:rsidRDefault="00000000" w:rsidP="00AF59F0">
      <w:pPr>
        <w:pStyle w:val="L1-Bullet"/>
      </w:pPr>
      <w:r w:rsidRPr="001601A6">
        <w:rPr>
          <w:rFonts w:eastAsia="Arial"/>
        </w:rPr>
        <w:t>Australian Security of Critical Infrastructure Act 2018</w:t>
      </w:r>
    </w:p>
    <w:p w14:paraId="3D66A5BC" w14:textId="77777777" w:rsidR="00BB0DB9" w:rsidRPr="001601A6" w:rsidRDefault="00000000" w:rsidP="00AF59F0">
      <w:pPr>
        <w:pStyle w:val="L1-Bullet"/>
      </w:pPr>
      <w:r w:rsidRPr="001601A6">
        <w:rPr>
          <w:rFonts w:eastAsia="Arial"/>
        </w:rPr>
        <w:t>Singapore Cybersecurity Act (amended)</w:t>
      </w:r>
    </w:p>
    <w:p w14:paraId="25F0FF88" w14:textId="77777777" w:rsidR="00BB0DB9" w:rsidRPr="001601A6" w:rsidRDefault="00000000" w:rsidP="00AF59F0">
      <w:pPr>
        <w:pStyle w:val="L1-Bullet"/>
      </w:pPr>
      <w:r w:rsidRPr="001601A6">
        <w:rPr>
          <w:rFonts w:eastAsia="Arial"/>
        </w:rPr>
        <w:t>NERC CIP (energy sector)</w:t>
      </w:r>
    </w:p>
    <w:p w14:paraId="5766C21C" w14:textId="306D11C6" w:rsidR="00BB0DB9" w:rsidRPr="001601A6" w:rsidRDefault="00000000" w:rsidP="001601A6">
      <w:pPr>
        <w:pStyle w:val="L1-Bullet"/>
      </w:pPr>
      <w:r w:rsidRPr="001601A6">
        <w:rPr>
          <w:rFonts w:eastAsia="Arial"/>
        </w:rPr>
        <w:t>FDA cybersecurity guidance (medical device sector)</w:t>
      </w:r>
    </w:p>
    <w:p w14:paraId="1C317DFF" w14:textId="77777777" w:rsidR="00BB0DB9" w:rsidRPr="001601A6" w:rsidRDefault="00000000" w:rsidP="00AF59F0">
      <w:pPr>
        <w:pStyle w:val="HS-Heading2"/>
      </w:pPr>
      <w:r w:rsidRPr="001601A6">
        <w:rPr>
          <w:rFonts w:eastAsia="Arial"/>
        </w:rPr>
        <w:t>7.2 Updating for regulatory change</w:t>
      </w:r>
    </w:p>
    <w:p w14:paraId="7C75B9ED" w14:textId="634FB923" w:rsidR="00BB0DB9" w:rsidRPr="001601A6" w:rsidRDefault="00000000" w:rsidP="001601A6">
      <w:pPr>
        <w:pStyle w:val="P0-Paragraph"/>
      </w:pPr>
      <w:r w:rsidRPr="001601A6">
        <w:t xml:space="preserve">When a mapped regulatory framework or supplemental overlay source is amended, review and update the affected crosswalk or overlay rows in the companion workbook before the next ASCR-12 quarterly scorecard cycle. Triggers include EU AI Act amendments or implementing/delegated acts, NIS2 national transposition updates, new IEC 62443 revisions, material changes to ISO/IEC 27001, GDPR requirements relevant to mapped controls, the AICPA Trust Services Criteria, ISO/IEC 23894, or NIST AI 600-1. The Regulatory/Compliance Officer holds responsibility for initiating the update within [DEFAULT: 30 days] of the triggering event. The Security Architect reviews and approves the technical accuracy of any modified mapping before the update is filed. The </w:t>
      </w:r>
      <w:proofErr w:type="gramStart"/>
      <w:r w:rsidRPr="001601A6">
        <w:t>update</w:t>
      </w:r>
      <w:proofErr w:type="gramEnd"/>
      <w:r w:rsidRPr="001601A6">
        <w:t xml:space="preserve"> record is retained as EU AI Act Art. 17 quality-management-system evidence where applicable and filed in the same location as the ASCR-12 scorecard for that quarter. If the update cannot be completed before the next ASCR-12 cycle, the affected rows must be flagged as under review in the scorecard.</w:t>
      </w:r>
    </w:p>
    <w:p w14:paraId="4B6AABF6" w14:textId="77777777" w:rsidR="00BB0DB9" w:rsidRPr="001601A6" w:rsidRDefault="00000000" w:rsidP="00AF59F0">
      <w:pPr>
        <w:pStyle w:val="HS-Heading2"/>
      </w:pPr>
      <w:r w:rsidRPr="001601A6">
        <w:rPr>
          <w:rFonts w:eastAsia="Arial"/>
        </w:rPr>
        <w:t>7.3 Crosswalk rollback and historical preservation</w:t>
      </w:r>
    </w:p>
    <w:p w14:paraId="29B4A7E7" w14:textId="7305E1C7" w:rsidR="00BB0DB9" w:rsidRPr="001601A6" w:rsidRDefault="00000000" w:rsidP="001601A6">
      <w:pPr>
        <w:pStyle w:val="P0-Paragraph"/>
      </w:pPr>
      <w:r w:rsidRPr="001601A6">
        <w:t>When a regulatory interpretation changes materially, prior versions of the crosswalk should remain immutable and historically accessible for audit defense, litigation support, and post-incident reconstruction. Updated mappings should never overwrite prior regulatory interpretations without version preservation, effective-date annotation, and named approver attribution. The Regulatory/Compliance Officer records each superseded version, its effective dates, and the named approver when the corresponding Section 7.2 update is filed. A rollback is complete only when the superseded version remains retrievable and the update record identifies it.</w:t>
      </w:r>
    </w:p>
    <w:p w14:paraId="3E1D3F2F" w14:textId="43B37379" w:rsidR="00BB0DB9" w:rsidRPr="001601A6" w:rsidRDefault="00000000" w:rsidP="00AF59F0">
      <w:pPr>
        <w:pStyle w:val="HS-Heading1"/>
      </w:pPr>
      <w:r w:rsidRPr="001601A6">
        <w:rPr>
          <w:rFonts w:eastAsia="Arial"/>
        </w:rPr>
        <w:t>Summary</w:t>
      </w:r>
    </w:p>
    <w:p w14:paraId="030DC213" w14:textId="77777777" w:rsidR="00BB0DB9" w:rsidRPr="001601A6" w:rsidRDefault="00000000" w:rsidP="001601A6">
      <w:pPr>
        <w:pStyle w:val="P0-Paragraph"/>
      </w:pPr>
      <w:r w:rsidRPr="001601A6">
        <w:t>Most ASCR controls support obligations or control objectives under more than one framework. The workbook records those overlaps so that evidence produced by one control can be traced to multiple applicable requirements. A mapping identifies support and evidence; it does not by itself establish compliance.</w:t>
      </w:r>
    </w:p>
    <w:p w14:paraId="41DAF7C4" w14:textId="77777777" w:rsidR="00BB0DB9" w:rsidRPr="001601A6" w:rsidRDefault="00000000" w:rsidP="001601A6">
      <w:pPr>
        <w:pStyle w:val="P0-Paragraph"/>
      </w:pPr>
      <w:r w:rsidRPr="001601A6">
        <w:t xml:space="preserve">Two examples illustrate the model. First, an ASCR-07 log set can support EU AI Act Article 12 record-keeping where the high-risk provisions apply, NIS2 Article 21(2)(b) incident handling by providing logging and audit-trail evidence, and, where the RPLD applies, Article 9 court-process disclosure of relevant evidence subject to the applicable conditions, proportionality, and confidentiality safeguards. Second, ASCR-09 exercise evidence can support NIS2 Article 21(2)(f) effectiveness assessment and relevant IEC 62443 security/resilience verification. DORA Arts. 24-26 impose a separate and more prescriptive resilience-testing framework, including TLPT for designated entities; ASCR-09 evidence can support that </w:t>
      </w:r>
      <w:proofErr w:type="spellStart"/>
      <w:r w:rsidRPr="001601A6">
        <w:t>programme</w:t>
      </w:r>
      <w:proofErr w:type="spellEnd"/>
      <w:r w:rsidRPr="001601A6">
        <w:t xml:space="preserve"> but does not replace it.</w:t>
      </w:r>
    </w:p>
    <w:p w14:paraId="08600222" w14:textId="77777777" w:rsidR="00BB0DB9" w:rsidRPr="001601A6" w:rsidRDefault="00000000" w:rsidP="001601A6">
      <w:pPr>
        <w:pStyle w:val="P0-Paragraph"/>
      </w:pPr>
      <w:r w:rsidRPr="001601A6">
        <w:lastRenderedPageBreak/>
        <w:t>The companion workbook makes these overlaps visible and traceable. Use it as a shared evidence map rather than as proof of compliance: update mappings when a framework changes, reconcile confirmed gaps through the Gap Tracker and ASCR-12, and review the evidence jointly with security, safety, compliance, and legal stakeholders as applicable.</w:t>
      </w:r>
    </w:p>
    <w:p w14:paraId="663E9A5B" w14:textId="77777777" w:rsidR="00BB0DB9" w:rsidRPr="001601A6" w:rsidRDefault="00000000" w:rsidP="001601A6">
      <w:pPr>
        <w:pStyle w:val="P0-Paragraph"/>
      </w:pPr>
      <w:r w:rsidRPr="001601A6">
        <w:t>The practitioner overlays extend that evidence map without changing the core obligation model. When the working question is “How does the ASCR control set plug into the security management system we already have?”, use the Enterprise &amp; Assurance Overlay for ISMS, privacy, assurance, and AI risk-management integration, and use the NIST AI 600-1 GenAI Overlay for GenAI-specific risk, testing, provenance, supply-chain, incident-response, and governance depth.</w:t>
      </w:r>
    </w:p>
    <w:p w14:paraId="0AB48441" w14:textId="77777777" w:rsidR="00BB0DB9" w:rsidRPr="001601A6" w:rsidRDefault="00000000" w:rsidP="001601A6">
      <w:pPr>
        <w:pStyle w:val="P0-Paragraph"/>
        <w:rPr>
          <w:sz w:val="22"/>
          <w:szCs w:val="22"/>
        </w:rPr>
      </w:pPr>
      <w:r w:rsidRPr="001601A6">
        <w:t>ASCR-02 gives both teams a shared language. A practitioner starting from an ASCR-07 record should filter the Master Crosswalk on ASCR Artifact = ASCR-07 to identify the complete set of mapped provisions that the record supports. The Obligation Index is the reverse path for a practitioner starting from a regulatory or standards provision. Both views point back to the same row-level evidence context.</w:t>
      </w:r>
    </w:p>
    <w:p w14:paraId="4A427A5E" w14:textId="77777777" w:rsidR="00BB0DB9" w:rsidRPr="001601A6" w:rsidRDefault="00000000" w:rsidP="001601A6">
      <w:pPr>
        <w:pStyle w:val="P0-Paragraph"/>
      </w:pPr>
      <w:r w:rsidRPr="001601A6">
        <w:t>One final reminder: before sharing this matrix with regulators, make a clean copy first. Remove internal-only details, keep only the content that applies to that jurisdiction, and add legal-review notes before sending it out.</w:t>
      </w:r>
    </w:p>
    <w:sectPr w:rsidR="00BB0DB9" w:rsidRPr="001601A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8A845E8-7A97-40B7-8ED2-02969E00A03B}"/>
    <w:embedBold r:id="rId2" w:fontKey="{2D6CBA70-848C-45EE-9F0A-A51056A5AD4E}"/>
    <w:embedItalic r:id="rId3" w:fontKey="{D9BCFD76-FEA6-47CB-A6FC-5EECC25E8695}"/>
  </w:font>
  <w:font w:name="Calibri">
    <w:panose1 w:val="020F0502020204030204"/>
    <w:charset w:val="00"/>
    <w:family w:val="swiss"/>
    <w:pitch w:val="variable"/>
    <w:sig w:usb0="E4002EFF" w:usb1="C200247B" w:usb2="00000009" w:usb3="00000000" w:csb0="000001FF" w:csb1="00000000"/>
    <w:embedRegular r:id="rId4" w:fontKey="{92F5E0A5-E031-4F2E-B2FB-121BB8250B89}"/>
    <w:embedBold r:id="rId5" w:fontKey="{309D5C52-9DAF-4709-ACBA-A30313BB11D0}"/>
    <w:embedItalic r:id="rId6" w:fontKey="{2E7DD253-FDD0-4DEB-889A-1F68C45429BA}"/>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E27171D9-6061-47A0-9BA0-2AD4E58BF445}"/>
    <w:embedBold r:id="rId8" w:fontKey="{32A99F0B-1118-43B1-9B5A-9256D44FC938}"/>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ECB2E4D3-C7F3-4733-ABB6-BBEB07DA1C8F}"/>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BF5E445E-6FD5-43C3-904E-1DC27184DE24}"/>
  </w:font>
  <w:font w:name="Segoe UI Symbol">
    <w:panose1 w:val="020B0502040204020203"/>
    <w:charset w:val="00"/>
    <w:family w:val="swiss"/>
    <w:pitch w:val="variable"/>
    <w:sig w:usb0="800001E3" w:usb1="1200FFEF" w:usb2="00040000" w:usb3="00000000" w:csb0="00000001" w:csb1="00000000"/>
    <w:embedRegular r:id="rId11" w:fontKey="{C7AEC7FA-E6C7-48E9-B63F-898DB4A6F0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6795D6F"/>
    <w:multiLevelType w:val="multilevel"/>
    <w:tmpl w:val="6F36F34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CD6C93"/>
    <w:multiLevelType w:val="multilevel"/>
    <w:tmpl w:val="12B40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6"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14480056">
    <w:abstractNumId w:val="7"/>
  </w:num>
  <w:num w:numId="2" w16cid:durableId="1112359885">
    <w:abstractNumId w:val="3"/>
  </w:num>
  <w:num w:numId="3" w16cid:durableId="512497296">
    <w:abstractNumId w:val="18"/>
  </w:num>
  <w:num w:numId="4" w16cid:durableId="1730574350">
    <w:abstractNumId w:val="4"/>
  </w:num>
  <w:num w:numId="5" w16cid:durableId="264657427">
    <w:abstractNumId w:val="0"/>
  </w:num>
  <w:num w:numId="6" w16cid:durableId="1399671067">
    <w:abstractNumId w:val="5"/>
  </w:num>
  <w:num w:numId="7" w16cid:durableId="1604025277">
    <w:abstractNumId w:val="11"/>
  </w:num>
  <w:num w:numId="8" w16cid:durableId="1253124087">
    <w:abstractNumId w:val="9"/>
  </w:num>
  <w:num w:numId="9" w16cid:durableId="1655912333">
    <w:abstractNumId w:val="13"/>
  </w:num>
  <w:num w:numId="10" w16cid:durableId="722173098">
    <w:abstractNumId w:val="8"/>
  </w:num>
  <w:num w:numId="11" w16cid:durableId="1279526178">
    <w:abstractNumId w:val="2"/>
  </w:num>
  <w:num w:numId="12" w16cid:durableId="696858381">
    <w:abstractNumId w:val="12"/>
  </w:num>
  <w:num w:numId="13" w16cid:durableId="984697512">
    <w:abstractNumId w:val="1"/>
  </w:num>
  <w:num w:numId="14" w16cid:durableId="1314287334">
    <w:abstractNumId w:val="6"/>
  </w:num>
  <w:num w:numId="15" w16cid:durableId="529880452">
    <w:abstractNumId w:val="10"/>
  </w:num>
  <w:num w:numId="16" w16cid:durableId="957100090">
    <w:abstractNumId w:val="16"/>
  </w:num>
  <w:num w:numId="17" w16cid:durableId="500195562">
    <w:abstractNumId w:val="14"/>
  </w:num>
  <w:num w:numId="18" w16cid:durableId="427190788">
    <w:abstractNumId w:val="17"/>
  </w:num>
  <w:num w:numId="19" w16cid:durableId="1438672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DB9"/>
    <w:rsid w:val="001601A6"/>
    <w:rsid w:val="004D01AC"/>
    <w:rsid w:val="00AF59F0"/>
    <w:rsid w:val="00B24F2E"/>
    <w:rsid w:val="00BB0DB9"/>
    <w:rsid w:val="00D55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138F"/>
  <w15:docId w15:val="{9D4F01D2-0B4D-473E-85CB-DF161BEE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1A6"/>
    <w:pPr>
      <w:spacing w:before="0"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1601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1601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1601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1601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1601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160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160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160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160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01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1A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601A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link w:val="SubtitleChar"/>
    <w:uiPriority w:val="11"/>
    <w:qFormat/>
    <w:rsid w:val="001601A6"/>
    <w:pPr>
      <w:numPr>
        <w:ilvl w:val="1"/>
      </w:numPr>
    </w:pPr>
    <w:rPr>
      <w:rFonts w:eastAsiaTheme="majorEastAsia" w:cstheme="majorBidi"/>
      <w:color w:val="595959" w:themeColor="text1" w:themeTint="A6"/>
      <w:spacing w:val="15"/>
      <w:sz w:val="28"/>
      <w:szCs w:val="28"/>
    </w:r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1601A6"/>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1601A6"/>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1601A6"/>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BM-BookCover">
    <w:name w:val="BM - BookCover"/>
    <w:basedOn w:val="Normal"/>
    <w:rsid w:val="001601A6"/>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1601A6"/>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1601A6"/>
    <w:pPr>
      <w:spacing w:before="0" w:after="120" w:line="276" w:lineRule="auto"/>
      <w:jc w:val="both"/>
    </w:pPr>
    <w:rPr>
      <w:rFonts w:ascii="Crimson Pro" w:eastAsia="Times New Roman" w:hAnsi="Crimson Pro" w:cs="Times New Roman"/>
      <w:sz w:val="21"/>
      <w:szCs w:val="24"/>
    </w:rPr>
  </w:style>
  <w:style w:type="paragraph" w:customStyle="1" w:styleId="C-Comment">
    <w:name w:val="C - Comment"/>
    <w:basedOn w:val="P0-Paragraph"/>
    <w:next w:val="P0-Paragraph"/>
    <w:rsid w:val="001601A6"/>
    <w:pPr>
      <w:spacing w:line="360" w:lineRule="auto"/>
    </w:pPr>
    <w:rPr>
      <w:rFonts w:ascii="Arial" w:hAnsi="Arial"/>
      <w:b/>
      <w:color w:val="FF0000"/>
      <w:sz w:val="28"/>
      <w:szCs w:val="28"/>
    </w:rPr>
  </w:style>
  <w:style w:type="paragraph" w:customStyle="1" w:styleId="C-Citation">
    <w:name w:val="C - Citation"/>
    <w:basedOn w:val="C-Comment"/>
    <w:qFormat/>
    <w:rsid w:val="001601A6"/>
    <w:rPr>
      <w:color w:val="FFFF00"/>
      <w:sz w:val="20"/>
    </w:rPr>
  </w:style>
  <w:style w:type="paragraph" w:customStyle="1" w:styleId="C0-CodeBlock">
    <w:name w:val="C0 - CodeBlock"/>
    <w:basedOn w:val="Normal"/>
    <w:rsid w:val="001601A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1601A6"/>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1601A6"/>
    <w:pPr>
      <w:ind w:left="907"/>
    </w:pPr>
  </w:style>
  <w:style w:type="paragraph" w:customStyle="1" w:styleId="C1-ConsoleBlock">
    <w:name w:val="C1 - ConsoleBlock"/>
    <w:basedOn w:val="C1-CodeBlock"/>
    <w:rsid w:val="001601A6"/>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1601A6"/>
    <w:pPr>
      <w:ind w:left="1526"/>
    </w:pPr>
  </w:style>
  <w:style w:type="paragraph" w:customStyle="1" w:styleId="C2-ConsoleBlock">
    <w:name w:val="C2 - ConsoleBlock"/>
    <w:basedOn w:val="C0-ConsoleBlock"/>
    <w:rsid w:val="001601A6"/>
    <w:pPr>
      <w:ind w:left="2074"/>
    </w:pPr>
  </w:style>
  <w:style w:type="character" w:customStyle="1" w:styleId="CS-BoldItalic">
    <w:name w:val="CS - BoldItalic"/>
    <w:basedOn w:val="DefaultParagraphFont"/>
    <w:rsid w:val="001601A6"/>
    <w:rPr>
      <w:b/>
      <w:i/>
    </w:rPr>
  </w:style>
  <w:style w:type="character" w:customStyle="1" w:styleId="CS-HighlightedCode">
    <w:name w:val="CS - HighlightedCode"/>
    <w:qFormat/>
    <w:rsid w:val="001601A6"/>
    <w:rPr>
      <w:rFonts w:ascii="Consolas" w:hAnsi="Consolas"/>
      <w:b/>
      <w:color w:val="747959"/>
      <w:sz w:val="19"/>
      <w:szCs w:val="18"/>
    </w:rPr>
  </w:style>
  <w:style w:type="character" w:customStyle="1" w:styleId="CS-InlineCode">
    <w:name w:val="CS - InlineCode"/>
    <w:rsid w:val="001601A6"/>
    <w:rPr>
      <w:rFonts w:ascii="Consolas" w:hAnsi="Consolas"/>
      <w:color w:val="747959"/>
      <w:sz w:val="19"/>
      <w:szCs w:val="18"/>
    </w:rPr>
  </w:style>
  <w:style w:type="character" w:customStyle="1" w:styleId="CS-Italic">
    <w:name w:val="CS - Italic"/>
    <w:rsid w:val="001601A6"/>
    <w:rPr>
      <w:i/>
      <w:color w:val="FF99CC"/>
    </w:rPr>
  </w:style>
  <w:style w:type="character" w:customStyle="1" w:styleId="CS-Keyword">
    <w:name w:val="CS - Keyword"/>
    <w:rsid w:val="001601A6"/>
    <w:rPr>
      <w:b/>
    </w:rPr>
  </w:style>
  <w:style w:type="character" w:customStyle="1" w:styleId="CS-Screentext">
    <w:name w:val="CS - Screentext"/>
    <w:rsid w:val="001601A6"/>
    <w:rPr>
      <w:b/>
      <w:color w:val="008000"/>
    </w:rPr>
  </w:style>
  <w:style w:type="character" w:customStyle="1" w:styleId="CS-Subscript">
    <w:name w:val="CS - Subscript"/>
    <w:basedOn w:val="DefaultParagraphFont"/>
    <w:rsid w:val="001601A6"/>
    <w:rPr>
      <w:i w:val="0"/>
      <w:vertAlign w:val="subscript"/>
    </w:rPr>
  </w:style>
  <w:style w:type="character" w:customStyle="1" w:styleId="CS-SubscriptBold">
    <w:name w:val="CS - SubscriptBold"/>
    <w:basedOn w:val="DefaultParagraphFont"/>
    <w:rsid w:val="001601A6"/>
    <w:rPr>
      <w:b/>
      <w:vertAlign w:val="subscript"/>
    </w:rPr>
  </w:style>
  <w:style w:type="character" w:customStyle="1" w:styleId="CS-SubscriptBoldItalic">
    <w:name w:val="CS - SubscriptBoldItalic"/>
    <w:basedOn w:val="DefaultParagraphFont"/>
    <w:rsid w:val="001601A6"/>
    <w:rPr>
      <w:b/>
      <w:i/>
      <w:vertAlign w:val="subscript"/>
    </w:rPr>
  </w:style>
  <w:style w:type="character" w:customStyle="1" w:styleId="CS-SubscriptItalic">
    <w:name w:val="CS - SubscriptItalic"/>
    <w:basedOn w:val="DefaultParagraphFont"/>
    <w:rsid w:val="001601A6"/>
    <w:rPr>
      <w:i/>
      <w:vertAlign w:val="subscript"/>
    </w:rPr>
  </w:style>
  <w:style w:type="character" w:customStyle="1" w:styleId="CS-Superscript">
    <w:name w:val="CS - Superscript"/>
    <w:basedOn w:val="DefaultParagraphFont"/>
    <w:rsid w:val="001601A6"/>
    <w:rPr>
      <w:vertAlign w:val="superscript"/>
    </w:rPr>
  </w:style>
  <w:style w:type="character" w:customStyle="1" w:styleId="CS-SuperscriptBold">
    <w:name w:val="CS - SuperscriptBold"/>
    <w:basedOn w:val="DefaultParagraphFont"/>
    <w:rsid w:val="001601A6"/>
    <w:rPr>
      <w:b/>
      <w:vertAlign w:val="superscript"/>
    </w:rPr>
  </w:style>
  <w:style w:type="character" w:customStyle="1" w:styleId="CS-SuperscriptBoldItalic">
    <w:name w:val="CS - SuperscriptBoldItalic"/>
    <w:basedOn w:val="DefaultParagraphFont"/>
    <w:rsid w:val="001601A6"/>
    <w:rPr>
      <w:b/>
      <w:i/>
      <w:vertAlign w:val="superscript"/>
    </w:rPr>
  </w:style>
  <w:style w:type="character" w:customStyle="1" w:styleId="CS-SuperscriptItalic">
    <w:name w:val="CS - SuperscriptItalic"/>
    <w:basedOn w:val="DefaultParagraphFont"/>
    <w:rsid w:val="001601A6"/>
    <w:rPr>
      <w:i/>
      <w:vertAlign w:val="superscript"/>
    </w:rPr>
  </w:style>
  <w:style w:type="character" w:customStyle="1" w:styleId="CS-URL">
    <w:name w:val="CS - URL"/>
    <w:rsid w:val="001601A6"/>
    <w:rPr>
      <w:rFonts w:ascii="Consolas" w:hAnsi="Consolas"/>
      <w:color w:val="0000FF"/>
      <w:sz w:val="19"/>
      <w:szCs w:val="18"/>
    </w:rPr>
  </w:style>
  <w:style w:type="paragraph" w:customStyle="1" w:styleId="F0-Figure">
    <w:name w:val="F0 - Figure"/>
    <w:basedOn w:val="P0-Paragraph"/>
    <w:next w:val="Normal"/>
    <w:rsid w:val="001601A6"/>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1601A6"/>
    <w:pPr>
      <w:ind w:left="630" w:right="630"/>
    </w:pPr>
  </w:style>
  <w:style w:type="paragraph" w:customStyle="1" w:styleId="F1-Figure">
    <w:name w:val="F1 - Figure"/>
    <w:basedOn w:val="F0-Figure"/>
    <w:next w:val="F0-FigureCaption"/>
    <w:qFormat/>
    <w:rsid w:val="001601A6"/>
    <w:pPr>
      <w:ind w:left="630"/>
    </w:pPr>
  </w:style>
  <w:style w:type="paragraph" w:customStyle="1" w:styleId="F1-FigureCaption">
    <w:name w:val="F1 - FigureCaption"/>
    <w:basedOn w:val="F0-FigureCaption"/>
    <w:rsid w:val="001601A6"/>
    <w:pPr>
      <w:ind w:left="1260"/>
    </w:pPr>
  </w:style>
  <w:style w:type="paragraph" w:customStyle="1" w:styleId="F2-Figure">
    <w:name w:val="F2 - Figure"/>
    <w:basedOn w:val="F0-Figure"/>
    <w:rsid w:val="001601A6"/>
    <w:pPr>
      <w:ind w:left="1260"/>
    </w:pPr>
  </w:style>
  <w:style w:type="paragraph" w:customStyle="1" w:styleId="F2-FigureCaption">
    <w:name w:val="F2 - FigureCaption"/>
    <w:basedOn w:val="F0-FigureCaption"/>
    <w:rsid w:val="001601A6"/>
    <w:pPr>
      <w:ind w:left="1890"/>
    </w:pPr>
  </w:style>
  <w:style w:type="paragraph" w:customStyle="1" w:styleId="FM-Acknowledgement">
    <w:name w:val="FM - Acknowledgement"/>
    <w:basedOn w:val="Normal"/>
    <w:rsid w:val="001601A6"/>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1601A6"/>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1601A6"/>
    <w:rPr>
      <w:b/>
      <w:sz w:val="28"/>
    </w:rPr>
  </w:style>
  <w:style w:type="character" w:customStyle="1" w:styleId="FM-AuthorNameinBio">
    <w:name w:val="FM - AuthorNameinBio"/>
    <w:uiPriority w:val="1"/>
    <w:rsid w:val="001601A6"/>
    <w:rPr>
      <w:b/>
      <w:color w:val="FF0000"/>
      <w:sz w:val="24"/>
    </w:rPr>
  </w:style>
  <w:style w:type="paragraph" w:customStyle="1" w:styleId="FM-BookEdition">
    <w:name w:val="FM - BookEdition"/>
    <w:basedOn w:val="FM-BookTitle"/>
    <w:rsid w:val="001601A6"/>
    <w:rPr>
      <w:sz w:val="28"/>
    </w:rPr>
  </w:style>
  <w:style w:type="paragraph" w:customStyle="1" w:styleId="FM-CopyrightPageBookEdition">
    <w:name w:val="FM - CopyrightPageBookEdition"/>
    <w:basedOn w:val="FM-BookTitle"/>
    <w:rsid w:val="001601A6"/>
    <w:pPr>
      <w:spacing w:before="0"/>
    </w:pPr>
    <w:rPr>
      <w:sz w:val="26"/>
    </w:rPr>
  </w:style>
  <w:style w:type="paragraph" w:customStyle="1" w:styleId="FM-CopyrightPageBookTitle">
    <w:name w:val="FM - CopyrightPageBookTitle"/>
    <w:basedOn w:val="FM-BookTitle"/>
    <w:rsid w:val="001601A6"/>
    <w:rPr>
      <w:sz w:val="32"/>
    </w:rPr>
  </w:style>
  <w:style w:type="paragraph" w:customStyle="1" w:styleId="FM-CopyrightPageText">
    <w:name w:val="FM - CopyrightPageText"/>
    <w:basedOn w:val="Normal"/>
    <w:rsid w:val="001601A6"/>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1601A6"/>
    <w:pPr>
      <w:spacing w:after="80"/>
    </w:pPr>
  </w:style>
  <w:style w:type="paragraph" w:customStyle="1" w:styleId="FM-Subtitle">
    <w:name w:val="FM - Subtitle"/>
    <w:basedOn w:val="FM-BookTitle"/>
    <w:rsid w:val="001601A6"/>
    <w:rPr>
      <w:sz w:val="32"/>
    </w:rPr>
  </w:style>
  <w:style w:type="paragraph" w:customStyle="1" w:styleId="FM-TitlePageLogo">
    <w:name w:val="FM - TitlePageLogo"/>
    <w:basedOn w:val="FM-BookTitle"/>
    <w:rsid w:val="001601A6"/>
    <w:rPr>
      <w:noProof/>
      <w:sz w:val="22"/>
    </w:rPr>
  </w:style>
  <w:style w:type="paragraph" w:customStyle="1" w:styleId="FM-TitlePageLogoFooter">
    <w:name w:val="FM - TitlePageLogoFooter"/>
    <w:basedOn w:val="FM-BookTitle"/>
    <w:rsid w:val="001601A6"/>
    <w:rPr>
      <w:sz w:val="22"/>
    </w:rPr>
  </w:style>
  <w:style w:type="paragraph" w:customStyle="1" w:styleId="hljs">
    <w:name w:val="hljs"/>
    <w:basedOn w:val="Normal"/>
    <w:uiPriority w:val="1"/>
    <w:unhideWhenUsed/>
    <w:rsid w:val="001601A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1601A6"/>
    <w:rPr>
      <w:color w:val="50A14F"/>
    </w:rPr>
  </w:style>
  <w:style w:type="character" w:customStyle="1" w:styleId="hljs-addition-slc">
    <w:name w:val="hljs-addition-slc"/>
    <w:basedOn w:val="hljs-addition"/>
    <w:uiPriority w:val="1"/>
    <w:unhideWhenUsed/>
    <w:rsid w:val="001601A6"/>
    <w:rPr>
      <w:b/>
      <w:bCs/>
      <w:color w:val="50A14F"/>
      <w:sz w:val="20"/>
      <w:shd w:val="clear" w:color="auto" w:fill="D4D4D4"/>
    </w:rPr>
  </w:style>
  <w:style w:type="character" w:customStyle="1" w:styleId="hljs-attr">
    <w:name w:val="hljs-attr"/>
    <w:basedOn w:val="DefaultParagraphFont"/>
    <w:uiPriority w:val="1"/>
    <w:unhideWhenUsed/>
    <w:rsid w:val="001601A6"/>
    <w:rPr>
      <w:color w:val="986801"/>
    </w:rPr>
  </w:style>
  <w:style w:type="character" w:customStyle="1" w:styleId="hljs-attribute">
    <w:name w:val="hljs-attribute"/>
    <w:basedOn w:val="DefaultParagraphFont"/>
    <w:uiPriority w:val="1"/>
    <w:unhideWhenUsed/>
    <w:rsid w:val="001601A6"/>
    <w:rPr>
      <w:color w:val="50A14F"/>
    </w:rPr>
  </w:style>
  <w:style w:type="character" w:customStyle="1" w:styleId="hljs-attribute-slc">
    <w:name w:val="hljs-attribute-slc"/>
    <w:basedOn w:val="hljs-attribute"/>
    <w:uiPriority w:val="1"/>
    <w:unhideWhenUsed/>
    <w:rsid w:val="001601A6"/>
    <w:rPr>
      <w:b/>
      <w:bCs/>
      <w:color w:val="50A14F"/>
      <w:sz w:val="20"/>
      <w:shd w:val="clear" w:color="auto" w:fill="D4D4D4"/>
    </w:rPr>
  </w:style>
  <w:style w:type="character" w:customStyle="1" w:styleId="hljs-attr-slc">
    <w:name w:val="hljs-attr-slc"/>
    <w:basedOn w:val="hljs-attr"/>
    <w:uiPriority w:val="1"/>
    <w:unhideWhenUsed/>
    <w:rsid w:val="001601A6"/>
    <w:rPr>
      <w:b/>
      <w:bCs/>
      <w:color w:val="986801"/>
      <w:sz w:val="20"/>
      <w:shd w:val="clear" w:color="auto" w:fill="D4D4D4"/>
    </w:rPr>
  </w:style>
  <w:style w:type="character" w:customStyle="1" w:styleId="hljs-builtin">
    <w:name w:val="hljs-built_in"/>
    <w:basedOn w:val="DefaultParagraphFont"/>
    <w:unhideWhenUsed/>
    <w:rsid w:val="001601A6"/>
    <w:rPr>
      <w:color w:val="C18401"/>
    </w:rPr>
  </w:style>
  <w:style w:type="character" w:customStyle="1" w:styleId="hljs-builtin-slc">
    <w:name w:val="hljs-built_in-slc"/>
    <w:basedOn w:val="hljs-builtin"/>
    <w:uiPriority w:val="1"/>
    <w:unhideWhenUsed/>
    <w:rsid w:val="001601A6"/>
    <w:rPr>
      <w:b/>
      <w:bCs/>
      <w:color w:val="C18401"/>
      <w:sz w:val="20"/>
      <w:shd w:val="clear" w:color="auto" w:fill="D4D4D4"/>
    </w:rPr>
  </w:style>
  <w:style w:type="character" w:customStyle="1" w:styleId="hljs-builtin-name">
    <w:name w:val="hljs-builtin-name"/>
    <w:basedOn w:val="DefaultParagraphFont"/>
    <w:uiPriority w:val="1"/>
    <w:unhideWhenUsed/>
    <w:rsid w:val="001601A6"/>
  </w:style>
  <w:style w:type="character" w:customStyle="1" w:styleId="hljs-builtin-name-slc">
    <w:name w:val="hljs-builtin-name-slc"/>
    <w:basedOn w:val="hljs-builtin-name"/>
    <w:uiPriority w:val="1"/>
    <w:unhideWhenUsed/>
    <w:rsid w:val="001601A6"/>
    <w:rPr>
      <w:b/>
      <w:bCs/>
      <w:sz w:val="20"/>
      <w:shd w:val="clear" w:color="auto" w:fill="D4D4D4"/>
    </w:rPr>
  </w:style>
  <w:style w:type="character" w:customStyle="1" w:styleId="hljs-bullet">
    <w:name w:val="hljs-bullet"/>
    <w:basedOn w:val="DefaultParagraphFont"/>
    <w:uiPriority w:val="1"/>
    <w:unhideWhenUsed/>
    <w:rsid w:val="001601A6"/>
    <w:rPr>
      <w:color w:val="4078F2"/>
    </w:rPr>
  </w:style>
  <w:style w:type="character" w:customStyle="1" w:styleId="hljs-bullet-slc">
    <w:name w:val="hljs-bullet-slc"/>
    <w:basedOn w:val="hljs-bullet"/>
    <w:uiPriority w:val="1"/>
    <w:unhideWhenUsed/>
    <w:rsid w:val="001601A6"/>
    <w:rPr>
      <w:b/>
      <w:bCs/>
      <w:color w:val="4078F2"/>
      <w:sz w:val="20"/>
      <w:shd w:val="clear" w:color="auto" w:fill="D4D4D4"/>
    </w:rPr>
  </w:style>
  <w:style w:type="character" w:customStyle="1" w:styleId="hljs-class">
    <w:name w:val="hljs-class"/>
    <w:basedOn w:val="DefaultParagraphFont"/>
    <w:uiPriority w:val="1"/>
    <w:unhideWhenUsed/>
    <w:rsid w:val="001601A6"/>
  </w:style>
  <w:style w:type="character" w:customStyle="1" w:styleId="hljs-class-slc">
    <w:name w:val="hljs-class-slc"/>
    <w:basedOn w:val="hljs-class"/>
    <w:uiPriority w:val="1"/>
    <w:unhideWhenUsed/>
    <w:rsid w:val="001601A6"/>
    <w:rPr>
      <w:b/>
      <w:bCs/>
      <w:sz w:val="20"/>
      <w:shd w:val="clear" w:color="auto" w:fill="D4D4D4"/>
    </w:rPr>
  </w:style>
  <w:style w:type="character" w:customStyle="1" w:styleId="hljs-code">
    <w:name w:val="hljs-code"/>
    <w:basedOn w:val="DefaultParagraphFont"/>
    <w:uiPriority w:val="1"/>
    <w:unhideWhenUsed/>
    <w:rsid w:val="001601A6"/>
  </w:style>
  <w:style w:type="character" w:customStyle="1" w:styleId="hljs-code-slc">
    <w:name w:val="hljs-code-slc"/>
    <w:basedOn w:val="hljs-code"/>
    <w:uiPriority w:val="1"/>
    <w:unhideWhenUsed/>
    <w:rsid w:val="001601A6"/>
    <w:rPr>
      <w:b/>
      <w:bCs/>
      <w:sz w:val="20"/>
      <w:shd w:val="clear" w:color="auto" w:fill="D4D4D4"/>
    </w:rPr>
  </w:style>
  <w:style w:type="character" w:customStyle="1" w:styleId="hljs-comment">
    <w:name w:val="hljs-comment"/>
    <w:basedOn w:val="DefaultParagraphFont"/>
    <w:uiPriority w:val="1"/>
    <w:unhideWhenUsed/>
    <w:rsid w:val="001601A6"/>
    <w:rPr>
      <w:i/>
      <w:iCs/>
      <w:color w:val="A0A1A7"/>
    </w:rPr>
  </w:style>
  <w:style w:type="character" w:customStyle="1" w:styleId="hljs-comment-slc">
    <w:name w:val="hljs-comment-slc"/>
    <w:basedOn w:val="hljs-comment"/>
    <w:uiPriority w:val="1"/>
    <w:unhideWhenUsed/>
    <w:rsid w:val="001601A6"/>
    <w:rPr>
      <w:b/>
      <w:bCs/>
      <w:i/>
      <w:iCs/>
      <w:color w:val="A0A1A7"/>
      <w:sz w:val="20"/>
      <w:shd w:val="clear" w:color="auto" w:fill="D4D4D4"/>
    </w:rPr>
  </w:style>
  <w:style w:type="paragraph" w:customStyle="1" w:styleId="hljs-con">
    <w:name w:val="hljs-con"/>
    <w:basedOn w:val="Normal"/>
    <w:uiPriority w:val="1"/>
    <w:unhideWhenUsed/>
    <w:rsid w:val="001601A6"/>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1601A6"/>
    <w:rPr>
      <w:color w:val="F1FA8C"/>
    </w:rPr>
  </w:style>
  <w:style w:type="character" w:customStyle="1" w:styleId="hljs-con-addition-slc">
    <w:name w:val="hljs-con-addition-slc"/>
    <w:basedOn w:val="DefaultParagraphFont"/>
    <w:uiPriority w:val="1"/>
    <w:unhideWhenUsed/>
    <w:rsid w:val="001601A6"/>
    <w:rPr>
      <w:b/>
      <w:bCs/>
      <w:color w:val="F1FA8C"/>
      <w:shd w:val="clear" w:color="auto" w:fill="44475A"/>
    </w:rPr>
  </w:style>
  <w:style w:type="character" w:customStyle="1" w:styleId="hljs-con-attr">
    <w:name w:val="hljs-con-attr"/>
    <w:basedOn w:val="DefaultParagraphFont"/>
    <w:uiPriority w:val="1"/>
    <w:unhideWhenUsed/>
    <w:rsid w:val="001601A6"/>
    <w:rPr>
      <w:color w:val="F1FA8C"/>
    </w:rPr>
  </w:style>
  <w:style w:type="character" w:customStyle="1" w:styleId="hljs-con-attribute">
    <w:name w:val="hljs-con-attribute"/>
    <w:basedOn w:val="DefaultParagraphFont"/>
    <w:uiPriority w:val="1"/>
    <w:unhideWhenUsed/>
    <w:rsid w:val="001601A6"/>
    <w:rPr>
      <w:color w:val="F8F8F2"/>
      <w:shd w:val="clear" w:color="auto" w:fill="282A36"/>
    </w:rPr>
  </w:style>
  <w:style w:type="character" w:customStyle="1" w:styleId="Heading1Char">
    <w:name w:val="Heading 1 Char"/>
    <w:basedOn w:val="DefaultParagraphFont"/>
    <w:link w:val="Heading1"/>
    <w:uiPriority w:val="9"/>
    <w:rsid w:val="001601A6"/>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1601A6"/>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1601A6"/>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1601A6"/>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1601A6"/>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1601A6"/>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ljs-con-attribute-slc">
    <w:name w:val="hljs-con-attribute-slc"/>
    <w:basedOn w:val="DefaultParagraphFont"/>
    <w:uiPriority w:val="1"/>
    <w:unhideWhenUsed/>
    <w:rsid w:val="001601A6"/>
    <w:rPr>
      <w:b/>
      <w:bCs/>
      <w:color w:val="F8F8F2"/>
      <w:shd w:val="clear" w:color="auto" w:fill="44475A"/>
    </w:rPr>
  </w:style>
  <w:style w:type="character" w:customStyle="1" w:styleId="hljs-con-attr-slc">
    <w:name w:val="hljs-con-attr-slc"/>
    <w:basedOn w:val="DefaultParagraphFont"/>
    <w:uiPriority w:val="1"/>
    <w:unhideWhenUsed/>
    <w:rsid w:val="001601A6"/>
    <w:rPr>
      <w:b/>
      <w:bCs/>
      <w:color w:val="F1FA8C"/>
      <w:shd w:val="clear" w:color="auto" w:fill="44475A"/>
    </w:rPr>
  </w:style>
  <w:style w:type="character" w:customStyle="1" w:styleId="hljs-con-builtin">
    <w:name w:val="hljs-con-built_in"/>
    <w:basedOn w:val="DefaultParagraphFont"/>
    <w:uiPriority w:val="1"/>
    <w:unhideWhenUsed/>
    <w:rsid w:val="001601A6"/>
    <w:rPr>
      <w:color w:val="8BE9FD"/>
    </w:rPr>
  </w:style>
  <w:style w:type="character" w:customStyle="1" w:styleId="hljs-con-builtin-slc">
    <w:name w:val="hljs-con-built_in-slc"/>
    <w:basedOn w:val="DefaultParagraphFont"/>
    <w:uiPriority w:val="1"/>
    <w:unhideWhenUsed/>
    <w:rsid w:val="001601A6"/>
    <w:rPr>
      <w:b/>
      <w:bCs/>
      <w:color w:val="8BE9FD"/>
      <w:shd w:val="clear" w:color="auto" w:fill="44475A"/>
    </w:rPr>
  </w:style>
  <w:style w:type="character" w:customStyle="1" w:styleId="hljs-con-builtin-name">
    <w:name w:val="hljs-con-builtin-name"/>
    <w:basedOn w:val="DefaultParagraphFont"/>
    <w:uiPriority w:val="1"/>
    <w:unhideWhenUsed/>
    <w:rsid w:val="001601A6"/>
    <w:rPr>
      <w:color w:val="F8F8F2"/>
      <w:shd w:val="clear" w:color="auto" w:fill="282A36"/>
    </w:rPr>
  </w:style>
  <w:style w:type="character" w:customStyle="1" w:styleId="hljs-con-builtin-name-slc">
    <w:name w:val="hljs-con-builtin-name-slc"/>
    <w:basedOn w:val="DefaultParagraphFont"/>
    <w:uiPriority w:val="1"/>
    <w:unhideWhenUsed/>
    <w:rsid w:val="001601A6"/>
    <w:rPr>
      <w:b/>
      <w:bCs/>
      <w:color w:val="F8F8F2"/>
      <w:shd w:val="clear" w:color="auto" w:fill="44475A"/>
    </w:rPr>
  </w:style>
  <w:style w:type="character" w:customStyle="1" w:styleId="hljs-con-bullet">
    <w:name w:val="hljs-con-bullet"/>
    <w:basedOn w:val="DefaultParagraphFont"/>
    <w:uiPriority w:val="1"/>
    <w:unhideWhenUsed/>
    <w:rsid w:val="001601A6"/>
    <w:rPr>
      <w:color w:val="F1FA8C"/>
    </w:rPr>
  </w:style>
  <w:style w:type="character" w:customStyle="1" w:styleId="hljs-con-bullet-slc">
    <w:name w:val="hljs-con-bullet-slc"/>
    <w:basedOn w:val="DefaultParagraphFont"/>
    <w:uiPriority w:val="1"/>
    <w:unhideWhenUsed/>
    <w:rsid w:val="001601A6"/>
    <w:rPr>
      <w:b/>
      <w:bCs/>
      <w:color w:val="F1FA8C"/>
      <w:shd w:val="clear" w:color="auto" w:fill="44475A"/>
    </w:rPr>
  </w:style>
  <w:style w:type="character" w:customStyle="1" w:styleId="hljs-con-class">
    <w:name w:val="hljs-con-class"/>
    <w:basedOn w:val="DefaultParagraphFont"/>
    <w:uiPriority w:val="1"/>
    <w:unhideWhenUsed/>
    <w:rsid w:val="001601A6"/>
    <w:rPr>
      <w:color w:val="F8F8F2"/>
      <w:shd w:val="clear" w:color="auto" w:fill="282A36"/>
    </w:rPr>
  </w:style>
  <w:style w:type="character" w:customStyle="1" w:styleId="hljs-con-class-slc">
    <w:name w:val="hljs-con-class-slc"/>
    <w:basedOn w:val="DefaultParagraphFont"/>
    <w:uiPriority w:val="1"/>
    <w:unhideWhenUsed/>
    <w:rsid w:val="001601A6"/>
    <w:rPr>
      <w:b/>
      <w:bCs/>
      <w:color w:val="F8F8F2"/>
      <w:shd w:val="clear" w:color="auto" w:fill="44475A"/>
    </w:rPr>
  </w:style>
  <w:style w:type="character" w:customStyle="1" w:styleId="hljs-con-code">
    <w:name w:val="hljs-con-code"/>
    <w:basedOn w:val="DefaultParagraphFont"/>
    <w:uiPriority w:val="1"/>
    <w:unhideWhenUsed/>
    <w:rsid w:val="001601A6"/>
    <w:rPr>
      <w:color w:val="F8F8F2"/>
      <w:shd w:val="clear" w:color="auto" w:fill="282A36"/>
    </w:rPr>
  </w:style>
  <w:style w:type="character" w:customStyle="1" w:styleId="hljs-con-code-slc">
    <w:name w:val="hljs-con-code-slc"/>
    <w:basedOn w:val="DefaultParagraphFont"/>
    <w:uiPriority w:val="1"/>
    <w:unhideWhenUsed/>
    <w:rsid w:val="001601A6"/>
    <w:rPr>
      <w:b/>
      <w:bCs/>
      <w:color w:val="F8F8F2"/>
      <w:shd w:val="clear" w:color="auto" w:fill="44475A"/>
    </w:rPr>
  </w:style>
  <w:style w:type="character" w:customStyle="1" w:styleId="hljs-con-comment">
    <w:name w:val="hljs-con-comment"/>
    <w:basedOn w:val="DefaultParagraphFont"/>
    <w:uiPriority w:val="1"/>
    <w:unhideWhenUsed/>
    <w:rsid w:val="001601A6"/>
    <w:rPr>
      <w:color w:val="6272A4"/>
    </w:rPr>
  </w:style>
  <w:style w:type="character" w:customStyle="1" w:styleId="hljs-con-comment-slc">
    <w:name w:val="hljs-con-comment-slc"/>
    <w:basedOn w:val="DefaultParagraphFont"/>
    <w:uiPriority w:val="1"/>
    <w:unhideWhenUsed/>
    <w:rsid w:val="001601A6"/>
    <w:rPr>
      <w:b/>
      <w:bCs/>
      <w:color w:val="6272A4"/>
      <w:shd w:val="clear" w:color="auto" w:fill="44475A"/>
    </w:rPr>
  </w:style>
  <w:style w:type="character" w:customStyle="1" w:styleId="hljs-con-constructor">
    <w:name w:val="hljs-con-constructor"/>
    <w:basedOn w:val="DefaultParagraphFont"/>
    <w:uiPriority w:val="1"/>
    <w:unhideWhenUsed/>
    <w:rsid w:val="001601A6"/>
    <w:rPr>
      <w:color w:val="F8F8F2"/>
      <w:shd w:val="clear" w:color="auto" w:fill="282A36"/>
    </w:rPr>
  </w:style>
  <w:style w:type="character" w:customStyle="1" w:styleId="hljs-con-constructor-slc">
    <w:name w:val="hljs-con-constructor-slc"/>
    <w:basedOn w:val="DefaultParagraphFont"/>
    <w:uiPriority w:val="1"/>
    <w:unhideWhenUsed/>
    <w:rsid w:val="001601A6"/>
    <w:rPr>
      <w:b/>
      <w:bCs/>
      <w:color w:val="F8F8F2"/>
      <w:shd w:val="clear" w:color="auto" w:fill="44475A"/>
    </w:rPr>
  </w:style>
  <w:style w:type="character" w:customStyle="1" w:styleId="hljs-con-deletion">
    <w:name w:val="hljs-con-deletion"/>
    <w:basedOn w:val="DefaultParagraphFont"/>
    <w:uiPriority w:val="1"/>
    <w:unhideWhenUsed/>
    <w:rsid w:val="001601A6"/>
    <w:rPr>
      <w:color w:val="6272A4"/>
    </w:rPr>
  </w:style>
  <w:style w:type="character" w:customStyle="1" w:styleId="hljs-con-deletion-slc">
    <w:name w:val="hljs-con-deletion-slc"/>
    <w:basedOn w:val="DefaultParagraphFont"/>
    <w:uiPriority w:val="1"/>
    <w:unhideWhenUsed/>
    <w:rsid w:val="001601A6"/>
    <w:rPr>
      <w:b/>
      <w:bCs/>
      <w:color w:val="6272A4"/>
      <w:shd w:val="clear" w:color="auto" w:fill="44475A"/>
    </w:rPr>
  </w:style>
  <w:style w:type="character" w:customStyle="1" w:styleId="hljs-con-doctag">
    <w:name w:val="hljs-con-doctag"/>
    <w:basedOn w:val="DefaultParagraphFont"/>
    <w:uiPriority w:val="1"/>
    <w:unhideWhenUsed/>
    <w:rsid w:val="001601A6"/>
    <w:rPr>
      <w:b/>
      <w:bCs/>
    </w:rPr>
  </w:style>
  <w:style w:type="character" w:customStyle="1" w:styleId="hljs-con-doctag-slc">
    <w:name w:val="hljs-con-doctag-slc"/>
    <w:basedOn w:val="DefaultParagraphFont"/>
    <w:uiPriority w:val="1"/>
    <w:unhideWhenUsed/>
    <w:rsid w:val="001601A6"/>
    <w:rPr>
      <w:b/>
      <w:bCs/>
      <w:shd w:val="clear" w:color="auto" w:fill="44475A"/>
    </w:rPr>
  </w:style>
  <w:style w:type="character" w:customStyle="1" w:styleId="hljs-con-emphasis">
    <w:name w:val="hljs-con-emphasis"/>
    <w:basedOn w:val="DefaultParagraphFont"/>
    <w:uiPriority w:val="1"/>
    <w:unhideWhenUsed/>
    <w:rsid w:val="001601A6"/>
    <w:rPr>
      <w:i/>
      <w:iCs/>
    </w:rPr>
  </w:style>
  <w:style w:type="character" w:customStyle="1" w:styleId="hljs-con-emphasis-slc">
    <w:name w:val="hljs-con-emphasis-slc"/>
    <w:basedOn w:val="DefaultParagraphFont"/>
    <w:uiPriority w:val="1"/>
    <w:unhideWhenUsed/>
    <w:rsid w:val="001601A6"/>
    <w:rPr>
      <w:b/>
      <w:bCs/>
      <w:i/>
      <w:iCs/>
      <w:shd w:val="clear" w:color="auto" w:fill="44475A"/>
    </w:rPr>
  </w:style>
  <w:style w:type="character" w:customStyle="1" w:styleId="hljs-con-formula">
    <w:name w:val="hljs-con-formula"/>
    <w:basedOn w:val="DefaultParagraphFont"/>
    <w:uiPriority w:val="1"/>
    <w:unhideWhenUsed/>
    <w:rsid w:val="001601A6"/>
    <w:rPr>
      <w:color w:val="F8F8F2"/>
      <w:shd w:val="clear" w:color="auto" w:fill="282A36"/>
    </w:rPr>
  </w:style>
  <w:style w:type="character" w:customStyle="1" w:styleId="hljs-con-formula-slc">
    <w:name w:val="hljs-con-formula-slc"/>
    <w:basedOn w:val="DefaultParagraphFont"/>
    <w:uiPriority w:val="1"/>
    <w:unhideWhenUsed/>
    <w:rsid w:val="001601A6"/>
    <w:rPr>
      <w:b/>
      <w:bCs/>
      <w:color w:val="F8F8F2"/>
      <w:shd w:val="clear" w:color="auto" w:fill="44475A"/>
    </w:rPr>
  </w:style>
  <w:style w:type="character" w:customStyle="1" w:styleId="hljs-con-function">
    <w:name w:val="hljs-con-function"/>
    <w:basedOn w:val="DefaultParagraphFont"/>
    <w:uiPriority w:val="1"/>
    <w:unhideWhenUsed/>
    <w:rsid w:val="001601A6"/>
    <w:rPr>
      <w:color w:val="F8F8F2"/>
      <w:shd w:val="clear" w:color="auto" w:fill="282A36"/>
    </w:rPr>
  </w:style>
  <w:style w:type="character" w:customStyle="1" w:styleId="hljs-con-function-slc">
    <w:name w:val="hljs-con-function-slc"/>
    <w:basedOn w:val="DefaultParagraphFont"/>
    <w:uiPriority w:val="1"/>
    <w:unhideWhenUsed/>
    <w:rsid w:val="001601A6"/>
    <w:rPr>
      <w:b/>
      <w:bCs/>
      <w:color w:val="F8F8F2"/>
      <w:shd w:val="clear" w:color="auto" w:fill="44475A"/>
    </w:rPr>
  </w:style>
  <w:style w:type="character" w:customStyle="1" w:styleId="hljs-con-keyword">
    <w:name w:val="hljs-con-keyword"/>
    <w:basedOn w:val="DefaultParagraphFont"/>
    <w:uiPriority w:val="1"/>
    <w:unhideWhenUsed/>
    <w:rsid w:val="001601A6"/>
    <w:rPr>
      <w:b/>
      <w:bCs/>
      <w:color w:val="FF79C6"/>
    </w:rPr>
  </w:style>
  <w:style w:type="character" w:customStyle="1" w:styleId="hljs-con-keyword-slc">
    <w:name w:val="hljs-con-keyword-slc"/>
    <w:basedOn w:val="DefaultParagraphFont"/>
    <w:uiPriority w:val="1"/>
    <w:unhideWhenUsed/>
    <w:rsid w:val="001601A6"/>
    <w:rPr>
      <w:b/>
      <w:bCs/>
      <w:color w:val="FF79C6"/>
      <w:shd w:val="clear" w:color="auto" w:fill="44475A"/>
    </w:rPr>
  </w:style>
  <w:style w:type="character" w:customStyle="1" w:styleId="hljs-con-link">
    <w:name w:val="hljs-con-link"/>
    <w:basedOn w:val="DefaultParagraphFont"/>
    <w:uiPriority w:val="1"/>
    <w:unhideWhenUsed/>
    <w:rsid w:val="001601A6"/>
    <w:rPr>
      <w:color w:val="8BE9FD"/>
    </w:rPr>
  </w:style>
  <w:style w:type="character" w:customStyle="1" w:styleId="hljs-con-link-slc">
    <w:name w:val="hljs-con-link-slc"/>
    <w:basedOn w:val="DefaultParagraphFont"/>
    <w:uiPriority w:val="1"/>
    <w:unhideWhenUsed/>
    <w:rsid w:val="001601A6"/>
    <w:rPr>
      <w:b/>
      <w:bCs/>
      <w:color w:val="8BE9FD"/>
      <w:shd w:val="clear" w:color="auto" w:fill="44475A"/>
    </w:rPr>
  </w:style>
  <w:style w:type="character" w:customStyle="1" w:styleId="hljs-con-literal">
    <w:name w:val="hljs-con-literal"/>
    <w:basedOn w:val="DefaultParagraphFont"/>
    <w:uiPriority w:val="1"/>
    <w:unhideWhenUsed/>
    <w:rsid w:val="001601A6"/>
    <w:rPr>
      <w:b/>
      <w:bCs/>
      <w:color w:val="BD93F9"/>
    </w:rPr>
  </w:style>
  <w:style w:type="character" w:customStyle="1" w:styleId="hljs-con-literal-slc">
    <w:name w:val="hljs-con-literal-slc"/>
    <w:basedOn w:val="DefaultParagraphFont"/>
    <w:uiPriority w:val="1"/>
    <w:unhideWhenUsed/>
    <w:rsid w:val="001601A6"/>
    <w:rPr>
      <w:b/>
      <w:bCs/>
      <w:color w:val="BD93F9"/>
      <w:shd w:val="clear" w:color="auto" w:fill="44475A"/>
    </w:rPr>
  </w:style>
  <w:style w:type="character" w:customStyle="1" w:styleId="hljs-con-meta">
    <w:name w:val="hljs-con-meta"/>
    <w:basedOn w:val="DefaultParagraphFont"/>
    <w:uiPriority w:val="1"/>
    <w:unhideWhenUsed/>
    <w:rsid w:val="001601A6"/>
    <w:rPr>
      <w:b/>
      <w:color w:val="50FA7B"/>
    </w:rPr>
  </w:style>
  <w:style w:type="character" w:customStyle="1" w:styleId="hljs-con-meta-keyword">
    <w:name w:val="hljs-con-meta-keyword"/>
    <w:basedOn w:val="DefaultParagraphFont"/>
    <w:uiPriority w:val="1"/>
    <w:unhideWhenUsed/>
    <w:rsid w:val="001601A6"/>
    <w:rPr>
      <w:color w:val="F8F8F2"/>
      <w:shd w:val="clear" w:color="auto" w:fill="282A36"/>
    </w:rPr>
  </w:style>
  <w:style w:type="character" w:customStyle="1" w:styleId="hljs-con-meta-keyword-slc">
    <w:name w:val="hljs-con-meta-keyword-slc"/>
    <w:basedOn w:val="DefaultParagraphFont"/>
    <w:uiPriority w:val="1"/>
    <w:unhideWhenUsed/>
    <w:rsid w:val="001601A6"/>
    <w:rPr>
      <w:b/>
      <w:bCs/>
      <w:color w:val="F8F8F2"/>
      <w:shd w:val="clear" w:color="auto" w:fill="44475A"/>
    </w:rPr>
  </w:style>
  <w:style w:type="character" w:customStyle="1" w:styleId="hljs-con-meta-slc">
    <w:name w:val="hljs-con-meta-slc"/>
    <w:basedOn w:val="DefaultParagraphFont"/>
    <w:uiPriority w:val="1"/>
    <w:unhideWhenUsed/>
    <w:rsid w:val="001601A6"/>
    <w:rPr>
      <w:b/>
      <w:bCs/>
      <w:color w:val="50FA7B"/>
      <w:shd w:val="clear" w:color="auto" w:fill="44475A"/>
    </w:rPr>
  </w:style>
  <w:style w:type="character" w:customStyle="1" w:styleId="hljs-con-meta-string">
    <w:name w:val="hljs-con-meta-string"/>
    <w:basedOn w:val="DefaultParagraphFont"/>
    <w:uiPriority w:val="1"/>
    <w:unhideWhenUsed/>
    <w:rsid w:val="001601A6"/>
    <w:rPr>
      <w:color w:val="F8F8F2"/>
      <w:shd w:val="clear" w:color="auto" w:fill="282A36"/>
    </w:rPr>
  </w:style>
  <w:style w:type="character" w:customStyle="1" w:styleId="hljs-con-meta-string-slc">
    <w:name w:val="hljs-con-meta-string-slc"/>
    <w:basedOn w:val="DefaultParagraphFont"/>
    <w:uiPriority w:val="1"/>
    <w:unhideWhenUsed/>
    <w:rsid w:val="001601A6"/>
    <w:rPr>
      <w:b/>
      <w:bCs/>
      <w:color w:val="F8F8F2"/>
      <w:shd w:val="clear" w:color="auto" w:fill="44475A"/>
    </w:rPr>
  </w:style>
  <w:style w:type="character" w:customStyle="1" w:styleId="hljs-con-module">
    <w:name w:val="hljs-con-module"/>
    <w:basedOn w:val="DefaultParagraphFont"/>
    <w:uiPriority w:val="1"/>
    <w:unhideWhenUsed/>
    <w:rsid w:val="001601A6"/>
    <w:rPr>
      <w:color w:val="F8F8F2"/>
      <w:shd w:val="clear" w:color="auto" w:fill="282A36"/>
    </w:rPr>
  </w:style>
  <w:style w:type="character" w:customStyle="1" w:styleId="hljs-con-module-access">
    <w:name w:val="hljs-con-module-access"/>
    <w:basedOn w:val="DefaultParagraphFont"/>
    <w:uiPriority w:val="1"/>
    <w:unhideWhenUsed/>
    <w:rsid w:val="001601A6"/>
    <w:rPr>
      <w:color w:val="F8F8F2"/>
      <w:shd w:val="clear" w:color="auto" w:fill="282A36"/>
    </w:rPr>
  </w:style>
  <w:style w:type="character" w:customStyle="1" w:styleId="hljs-con-module-access-slc">
    <w:name w:val="hljs-con-module-access-slc"/>
    <w:basedOn w:val="DefaultParagraphFont"/>
    <w:uiPriority w:val="1"/>
    <w:unhideWhenUsed/>
    <w:rsid w:val="001601A6"/>
    <w:rPr>
      <w:b/>
      <w:bCs/>
      <w:color w:val="F8F8F2"/>
      <w:shd w:val="clear" w:color="auto" w:fill="44475A"/>
    </w:rPr>
  </w:style>
  <w:style w:type="character" w:customStyle="1" w:styleId="hljs-con-module-slc">
    <w:name w:val="hljs-con-module-slc"/>
    <w:basedOn w:val="DefaultParagraphFont"/>
    <w:uiPriority w:val="1"/>
    <w:unhideWhenUsed/>
    <w:rsid w:val="001601A6"/>
    <w:rPr>
      <w:b/>
      <w:bCs/>
      <w:color w:val="F8F8F2"/>
      <w:shd w:val="clear" w:color="auto" w:fill="44475A"/>
    </w:rPr>
  </w:style>
  <w:style w:type="character" w:customStyle="1" w:styleId="hljs-con-name">
    <w:name w:val="hljs-con-name"/>
    <w:basedOn w:val="DefaultParagraphFont"/>
    <w:uiPriority w:val="1"/>
    <w:unhideWhenUsed/>
    <w:rsid w:val="001601A6"/>
    <w:rPr>
      <w:b/>
      <w:bCs/>
      <w:color w:val="F1FA8C"/>
    </w:rPr>
  </w:style>
  <w:style w:type="character" w:customStyle="1" w:styleId="hljs-con-name-slc">
    <w:name w:val="hljs-con-name-slc"/>
    <w:basedOn w:val="DefaultParagraphFont"/>
    <w:uiPriority w:val="1"/>
    <w:unhideWhenUsed/>
    <w:rsid w:val="001601A6"/>
    <w:rPr>
      <w:b/>
      <w:bCs/>
      <w:color w:val="F1FA8C"/>
      <w:shd w:val="clear" w:color="auto" w:fill="44475A"/>
    </w:rPr>
  </w:style>
  <w:style w:type="character" w:customStyle="1" w:styleId="hljs-con-number">
    <w:name w:val="hljs-con-number"/>
    <w:basedOn w:val="DefaultParagraphFont"/>
    <w:uiPriority w:val="1"/>
    <w:unhideWhenUsed/>
    <w:rsid w:val="001601A6"/>
    <w:rPr>
      <w:color w:val="BD93F9"/>
    </w:rPr>
  </w:style>
  <w:style w:type="character" w:customStyle="1" w:styleId="hljs-con-number-slc">
    <w:name w:val="hljs-con-number-slc"/>
    <w:basedOn w:val="DefaultParagraphFont"/>
    <w:uiPriority w:val="1"/>
    <w:unhideWhenUsed/>
    <w:rsid w:val="001601A6"/>
    <w:rPr>
      <w:b/>
      <w:bCs/>
      <w:color w:val="BD93F9"/>
      <w:shd w:val="clear" w:color="auto" w:fill="44475A"/>
    </w:rPr>
  </w:style>
  <w:style w:type="character" w:customStyle="1" w:styleId="hljs-con-operator">
    <w:name w:val="hljs-con-operator"/>
    <w:basedOn w:val="DefaultParagraphFont"/>
    <w:uiPriority w:val="1"/>
    <w:unhideWhenUsed/>
    <w:rsid w:val="001601A6"/>
    <w:rPr>
      <w:color w:val="F8F8F2"/>
      <w:shd w:val="clear" w:color="auto" w:fill="282A36"/>
    </w:rPr>
  </w:style>
  <w:style w:type="character" w:customStyle="1" w:styleId="hljs-con-operator-slc">
    <w:name w:val="hljs-con-operator-slc"/>
    <w:basedOn w:val="DefaultParagraphFont"/>
    <w:uiPriority w:val="1"/>
    <w:unhideWhenUsed/>
    <w:rsid w:val="001601A6"/>
    <w:rPr>
      <w:b/>
      <w:bCs/>
      <w:color w:val="F8F8F2"/>
      <w:shd w:val="clear" w:color="auto" w:fill="44475A"/>
    </w:rPr>
  </w:style>
  <w:style w:type="character" w:customStyle="1" w:styleId="hljs-con-params">
    <w:name w:val="hljs-con-params"/>
    <w:basedOn w:val="DefaultParagraphFont"/>
    <w:uiPriority w:val="1"/>
    <w:unhideWhenUsed/>
    <w:rsid w:val="001601A6"/>
    <w:rPr>
      <w:color w:val="F8F8F2"/>
      <w:shd w:val="clear" w:color="auto" w:fill="282A36"/>
    </w:rPr>
  </w:style>
  <w:style w:type="character" w:customStyle="1" w:styleId="hljs-con-params-slc">
    <w:name w:val="hljs-con-params-slc"/>
    <w:basedOn w:val="DefaultParagraphFont"/>
    <w:uiPriority w:val="1"/>
    <w:unhideWhenUsed/>
    <w:rsid w:val="001601A6"/>
    <w:rPr>
      <w:b/>
      <w:bCs/>
      <w:color w:val="F8F8F2"/>
      <w:shd w:val="clear" w:color="auto" w:fill="44475A"/>
    </w:rPr>
  </w:style>
  <w:style w:type="character" w:customStyle="1" w:styleId="hljs-con-pattern-match">
    <w:name w:val="hljs-con-pattern-match"/>
    <w:basedOn w:val="DefaultParagraphFont"/>
    <w:uiPriority w:val="1"/>
    <w:unhideWhenUsed/>
    <w:rsid w:val="001601A6"/>
    <w:rPr>
      <w:color w:val="F8F8F2"/>
      <w:shd w:val="clear" w:color="auto" w:fill="282A36"/>
    </w:rPr>
  </w:style>
  <w:style w:type="character" w:customStyle="1" w:styleId="hljs-con-pattern-match-slc">
    <w:name w:val="hljs-con-pattern-match-slc"/>
    <w:basedOn w:val="DefaultParagraphFont"/>
    <w:uiPriority w:val="1"/>
    <w:unhideWhenUsed/>
    <w:rsid w:val="001601A6"/>
    <w:rPr>
      <w:b/>
      <w:bCs/>
      <w:color w:val="F8F8F2"/>
      <w:shd w:val="clear" w:color="auto" w:fill="44475A"/>
    </w:rPr>
  </w:style>
  <w:style w:type="character" w:customStyle="1" w:styleId="hljs-con-quote">
    <w:name w:val="hljs-con-quote"/>
    <w:basedOn w:val="DefaultParagraphFont"/>
    <w:uiPriority w:val="1"/>
    <w:unhideWhenUsed/>
    <w:rsid w:val="001601A6"/>
    <w:rPr>
      <w:color w:val="6272A4"/>
    </w:rPr>
  </w:style>
  <w:style w:type="character" w:customStyle="1" w:styleId="hljs-con-quote-slc">
    <w:name w:val="hljs-con-quote-slc"/>
    <w:basedOn w:val="DefaultParagraphFont"/>
    <w:uiPriority w:val="1"/>
    <w:unhideWhenUsed/>
    <w:rsid w:val="001601A6"/>
    <w:rPr>
      <w:b/>
      <w:bCs/>
      <w:color w:val="6272A4"/>
      <w:shd w:val="clear" w:color="auto" w:fill="44475A"/>
    </w:rPr>
  </w:style>
  <w:style w:type="character" w:customStyle="1" w:styleId="hljs-con-regexp">
    <w:name w:val="hljs-con-regexp"/>
    <w:basedOn w:val="DefaultParagraphFont"/>
    <w:uiPriority w:val="1"/>
    <w:unhideWhenUsed/>
    <w:rsid w:val="001601A6"/>
    <w:rPr>
      <w:color w:val="F8F8F2"/>
      <w:shd w:val="clear" w:color="auto" w:fill="282A36"/>
    </w:rPr>
  </w:style>
  <w:style w:type="character" w:customStyle="1" w:styleId="hljs-con-regexp-slc">
    <w:name w:val="hljs-con-regexp-slc"/>
    <w:basedOn w:val="DefaultParagraphFont"/>
    <w:uiPriority w:val="1"/>
    <w:unhideWhenUsed/>
    <w:rsid w:val="001601A6"/>
    <w:rPr>
      <w:b/>
      <w:bCs/>
      <w:color w:val="F8F8F2"/>
      <w:shd w:val="clear" w:color="auto" w:fill="44475A"/>
    </w:rPr>
  </w:style>
  <w:style w:type="character" w:customStyle="1" w:styleId="hljs-con-section">
    <w:name w:val="hljs-con-section"/>
    <w:basedOn w:val="DefaultParagraphFont"/>
    <w:uiPriority w:val="1"/>
    <w:unhideWhenUsed/>
    <w:rsid w:val="001601A6"/>
    <w:rPr>
      <w:b/>
      <w:bCs/>
      <w:color w:val="8BE9FD"/>
    </w:rPr>
  </w:style>
  <w:style w:type="character" w:customStyle="1" w:styleId="hljs-con-section-slc">
    <w:name w:val="hljs-con-section-slc"/>
    <w:basedOn w:val="DefaultParagraphFont"/>
    <w:uiPriority w:val="1"/>
    <w:unhideWhenUsed/>
    <w:rsid w:val="001601A6"/>
    <w:rPr>
      <w:b/>
      <w:bCs/>
      <w:color w:val="8BE9FD"/>
      <w:shd w:val="clear" w:color="auto" w:fill="44475A"/>
    </w:rPr>
  </w:style>
  <w:style w:type="character" w:customStyle="1" w:styleId="hljs-con-selector-attr">
    <w:name w:val="hljs-con-selector-attr"/>
    <w:basedOn w:val="DefaultParagraphFont"/>
    <w:uiPriority w:val="1"/>
    <w:unhideWhenUsed/>
    <w:rsid w:val="001601A6"/>
    <w:rPr>
      <w:color w:val="F8F8F2"/>
      <w:shd w:val="clear" w:color="auto" w:fill="282A36"/>
    </w:rPr>
  </w:style>
  <w:style w:type="character" w:customStyle="1" w:styleId="hljs-con-selector-attr-slc">
    <w:name w:val="hljs-con-selector-attr-slc"/>
    <w:basedOn w:val="DefaultParagraphFont"/>
    <w:uiPriority w:val="1"/>
    <w:unhideWhenUsed/>
    <w:rsid w:val="001601A6"/>
    <w:rPr>
      <w:b/>
      <w:bCs/>
      <w:color w:val="F8F8F2"/>
      <w:shd w:val="clear" w:color="auto" w:fill="44475A"/>
    </w:rPr>
  </w:style>
  <w:style w:type="character" w:customStyle="1" w:styleId="hljs-con-selector-class">
    <w:name w:val="hljs-con-selector-class"/>
    <w:basedOn w:val="DefaultParagraphFont"/>
    <w:uiPriority w:val="1"/>
    <w:unhideWhenUsed/>
    <w:rsid w:val="001601A6"/>
    <w:rPr>
      <w:color w:val="F8F8F2"/>
      <w:shd w:val="clear" w:color="auto" w:fill="282A36"/>
    </w:rPr>
  </w:style>
  <w:style w:type="character" w:customStyle="1" w:styleId="hljs-con-selector-class-slc">
    <w:name w:val="hljs-con-selector-class-slc"/>
    <w:basedOn w:val="DefaultParagraphFont"/>
    <w:uiPriority w:val="1"/>
    <w:unhideWhenUsed/>
    <w:rsid w:val="001601A6"/>
    <w:rPr>
      <w:b/>
      <w:bCs/>
      <w:color w:val="F8F8F2"/>
      <w:shd w:val="clear" w:color="auto" w:fill="44475A"/>
    </w:rPr>
  </w:style>
  <w:style w:type="character" w:customStyle="1" w:styleId="hljs-con-selector-id">
    <w:name w:val="hljs-con-selector-id"/>
    <w:basedOn w:val="DefaultParagraphFont"/>
    <w:uiPriority w:val="1"/>
    <w:unhideWhenUsed/>
    <w:rsid w:val="001601A6"/>
    <w:rPr>
      <w:color w:val="F8F8F2"/>
      <w:shd w:val="clear" w:color="auto" w:fill="282A36"/>
    </w:rPr>
  </w:style>
  <w:style w:type="character" w:customStyle="1" w:styleId="hljs-con-selector-id-slc">
    <w:name w:val="hljs-con-selector-id-slc"/>
    <w:basedOn w:val="DefaultParagraphFont"/>
    <w:uiPriority w:val="1"/>
    <w:unhideWhenUsed/>
    <w:rsid w:val="001601A6"/>
    <w:rPr>
      <w:b/>
      <w:bCs/>
      <w:color w:val="F8F8F2"/>
      <w:shd w:val="clear" w:color="auto" w:fill="44475A"/>
    </w:rPr>
  </w:style>
  <w:style w:type="character" w:customStyle="1" w:styleId="hljs-con-selector-pseudo">
    <w:name w:val="hljs-con-selector-pseudo"/>
    <w:basedOn w:val="DefaultParagraphFont"/>
    <w:uiPriority w:val="1"/>
    <w:unhideWhenUsed/>
    <w:rsid w:val="001601A6"/>
    <w:rPr>
      <w:color w:val="F8F8F2"/>
      <w:shd w:val="clear" w:color="auto" w:fill="282A36"/>
    </w:rPr>
  </w:style>
  <w:style w:type="character" w:customStyle="1" w:styleId="hljs-con-selector-pseudo-slc">
    <w:name w:val="hljs-con-selector-pseudo-slc"/>
    <w:basedOn w:val="DefaultParagraphFont"/>
    <w:uiPriority w:val="1"/>
    <w:unhideWhenUsed/>
    <w:rsid w:val="001601A6"/>
    <w:rPr>
      <w:b/>
      <w:bCs/>
      <w:color w:val="F8F8F2"/>
      <w:shd w:val="clear" w:color="auto" w:fill="44475A"/>
    </w:rPr>
  </w:style>
  <w:style w:type="character" w:customStyle="1" w:styleId="hljs-con-selector-tag">
    <w:name w:val="hljs-con-selector-tag"/>
    <w:basedOn w:val="DefaultParagraphFont"/>
    <w:uiPriority w:val="1"/>
    <w:unhideWhenUsed/>
    <w:rsid w:val="001601A6"/>
    <w:rPr>
      <w:b/>
      <w:bCs/>
      <w:color w:val="8BE9FD"/>
    </w:rPr>
  </w:style>
  <w:style w:type="character" w:customStyle="1" w:styleId="hljs-con-selector-tag-slc">
    <w:name w:val="hljs-con-selector-tag-slc"/>
    <w:basedOn w:val="DefaultParagraphFont"/>
    <w:uiPriority w:val="1"/>
    <w:unhideWhenUsed/>
    <w:rsid w:val="001601A6"/>
    <w:rPr>
      <w:b/>
      <w:bCs/>
      <w:color w:val="8BE9FD"/>
      <w:shd w:val="clear" w:color="auto" w:fill="44475A"/>
    </w:rPr>
  </w:style>
  <w:style w:type="character" w:customStyle="1" w:styleId="hljs-con-slc">
    <w:name w:val="hljs-con-slc"/>
    <w:basedOn w:val="DefaultParagraphFont"/>
    <w:uiPriority w:val="1"/>
    <w:unhideWhenUsed/>
    <w:rsid w:val="001601A6"/>
    <w:rPr>
      <w:b/>
      <w:color w:val="F8F8F2"/>
      <w:bdr w:val="none" w:sz="0" w:space="0" w:color="auto"/>
      <w:shd w:val="clear" w:color="auto" w:fill="44475A"/>
    </w:rPr>
  </w:style>
  <w:style w:type="character" w:customStyle="1" w:styleId="hljs-con-string">
    <w:name w:val="hljs-con-string"/>
    <w:basedOn w:val="DefaultParagraphFont"/>
    <w:uiPriority w:val="1"/>
    <w:unhideWhenUsed/>
    <w:rsid w:val="001601A6"/>
    <w:rPr>
      <w:color w:val="F1FA8C"/>
    </w:rPr>
  </w:style>
  <w:style w:type="character" w:customStyle="1" w:styleId="hljs-con-string-slc">
    <w:name w:val="hljs-con-string-slc"/>
    <w:basedOn w:val="DefaultParagraphFont"/>
    <w:uiPriority w:val="1"/>
    <w:unhideWhenUsed/>
    <w:rsid w:val="001601A6"/>
    <w:rPr>
      <w:b/>
      <w:bCs/>
      <w:color w:val="F1FA8C"/>
      <w:shd w:val="clear" w:color="auto" w:fill="44475A"/>
    </w:rPr>
  </w:style>
  <w:style w:type="character" w:customStyle="1" w:styleId="hljs-con-strong">
    <w:name w:val="hljs-con-strong"/>
    <w:basedOn w:val="DefaultParagraphFont"/>
    <w:uiPriority w:val="1"/>
    <w:unhideWhenUsed/>
    <w:rsid w:val="001601A6"/>
    <w:rPr>
      <w:b/>
      <w:bCs/>
    </w:rPr>
  </w:style>
  <w:style w:type="character" w:customStyle="1" w:styleId="hljs-con-strong-slc">
    <w:name w:val="hljs-con-strong-slc"/>
    <w:basedOn w:val="DefaultParagraphFont"/>
    <w:uiPriority w:val="1"/>
    <w:unhideWhenUsed/>
    <w:rsid w:val="001601A6"/>
    <w:rPr>
      <w:b/>
      <w:bCs/>
      <w:shd w:val="clear" w:color="auto" w:fill="44475A"/>
    </w:rPr>
  </w:style>
  <w:style w:type="character" w:customStyle="1" w:styleId="hljs-constructor">
    <w:name w:val="hljs-constructor"/>
    <w:basedOn w:val="DefaultParagraphFont"/>
    <w:uiPriority w:val="1"/>
    <w:unhideWhenUsed/>
    <w:rsid w:val="001601A6"/>
  </w:style>
  <w:style w:type="character" w:customStyle="1" w:styleId="hljs-constructor-slc">
    <w:name w:val="hljs-constructor-slc"/>
    <w:basedOn w:val="hljs-constructor"/>
    <w:uiPriority w:val="1"/>
    <w:unhideWhenUsed/>
    <w:rsid w:val="001601A6"/>
    <w:rPr>
      <w:b/>
      <w:bCs/>
      <w:sz w:val="20"/>
      <w:shd w:val="clear" w:color="auto" w:fill="D4D4D4"/>
    </w:rPr>
  </w:style>
  <w:style w:type="character" w:customStyle="1" w:styleId="hljs-con-subst">
    <w:name w:val="hljs-con-subst"/>
    <w:basedOn w:val="DefaultParagraphFont"/>
    <w:uiPriority w:val="1"/>
    <w:unhideWhenUsed/>
    <w:rsid w:val="001601A6"/>
    <w:rPr>
      <w:color w:val="F8F8F2"/>
    </w:rPr>
  </w:style>
  <w:style w:type="character" w:customStyle="1" w:styleId="hljs-con-subst-slc">
    <w:name w:val="hljs-con-subst-slc"/>
    <w:basedOn w:val="DefaultParagraphFont"/>
    <w:uiPriority w:val="1"/>
    <w:unhideWhenUsed/>
    <w:rsid w:val="001601A6"/>
    <w:rPr>
      <w:b/>
      <w:bCs/>
      <w:color w:val="F8F8F2"/>
      <w:shd w:val="clear" w:color="auto" w:fill="44475A"/>
    </w:rPr>
  </w:style>
  <w:style w:type="character" w:customStyle="1" w:styleId="hljs-con-symbol">
    <w:name w:val="hljs-con-symbol"/>
    <w:basedOn w:val="DefaultParagraphFont"/>
    <w:uiPriority w:val="1"/>
    <w:unhideWhenUsed/>
    <w:rsid w:val="001601A6"/>
    <w:rPr>
      <w:color w:val="F1FA8C"/>
    </w:rPr>
  </w:style>
  <w:style w:type="character" w:customStyle="1" w:styleId="hljs-con-symbol-slc">
    <w:name w:val="hljs-con-symbol-slc"/>
    <w:basedOn w:val="DefaultParagraphFont"/>
    <w:uiPriority w:val="1"/>
    <w:unhideWhenUsed/>
    <w:rsid w:val="001601A6"/>
    <w:rPr>
      <w:b/>
      <w:bCs/>
      <w:color w:val="F1FA8C"/>
      <w:shd w:val="clear" w:color="auto" w:fill="44475A"/>
    </w:rPr>
  </w:style>
  <w:style w:type="character" w:customStyle="1" w:styleId="hljs-con-tag">
    <w:name w:val="hljs-con-tag"/>
    <w:basedOn w:val="DefaultParagraphFont"/>
    <w:uiPriority w:val="1"/>
    <w:unhideWhenUsed/>
    <w:rsid w:val="001601A6"/>
    <w:rPr>
      <w:color w:val="F8F8F2"/>
      <w:shd w:val="clear" w:color="auto" w:fill="282A36"/>
    </w:rPr>
  </w:style>
  <w:style w:type="character" w:customStyle="1" w:styleId="hljs-con-tag-slc">
    <w:name w:val="hljs-con-tag-slc"/>
    <w:basedOn w:val="DefaultParagraphFont"/>
    <w:uiPriority w:val="1"/>
    <w:unhideWhenUsed/>
    <w:rsid w:val="001601A6"/>
    <w:rPr>
      <w:b/>
      <w:bCs/>
      <w:color w:val="F8F8F2"/>
      <w:shd w:val="clear" w:color="auto" w:fill="44475A"/>
    </w:rPr>
  </w:style>
  <w:style w:type="character" w:customStyle="1" w:styleId="hljs-con-template-tag">
    <w:name w:val="hljs-con-template-tag"/>
    <w:basedOn w:val="DefaultParagraphFont"/>
    <w:uiPriority w:val="1"/>
    <w:unhideWhenUsed/>
    <w:rsid w:val="001601A6"/>
    <w:rPr>
      <w:color w:val="F1FA8C"/>
    </w:rPr>
  </w:style>
  <w:style w:type="character" w:customStyle="1" w:styleId="hljs-con-template-tag-slc">
    <w:name w:val="hljs-con-template-tag-slc"/>
    <w:basedOn w:val="DefaultParagraphFont"/>
    <w:uiPriority w:val="1"/>
    <w:unhideWhenUsed/>
    <w:rsid w:val="001601A6"/>
    <w:rPr>
      <w:b/>
      <w:bCs/>
      <w:color w:val="F1FA8C"/>
      <w:shd w:val="clear" w:color="auto" w:fill="44475A"/>
    </w:rPr>
  </w:style>
  <w:style w:type="character" w:customStyle="1" w:styleId="hljs-con-template-variable">
    <w:name w:val="hljs-con-template-variable"/>
    <w:basedOn w:val="DefaultParagraphFont"/>
    <w:uiPriority w:val="1"/>
    <w:unhideWhenUsed/>
    <w:rsid w:val="001601A6"/>
    <w:rPr>
      <w:color w:val="F1FA8C"/>
    </w:rPr>
  </w:style>
  <w:style w:type="character" w:customStyle="1" w:styleId="hljs-con-template-variable-slc">
    <w:name w:val="hljs-con-template-variable-slc"/>
    <w:basedOn w:val="DefaultParagraphFont"/>
    <w:uiPriority w:val="1"/>
    <w:unhideWhenUsed/>
    <w:rsid w:val="001601A6"/>
    <w:rPr>
      <w:b/>
      <w:bCs/>
      <w:color w:val="F1FA8C"/>
      <w:shd w:val="clear" w:color="auto" w:fill="44475A"/>
    </w:rPr>
  </w:style>
  <w:style w:type="character" w:customStyle="1" w:styleId="hljs-con-title">
    <w:name w:val="hljs-con-title"/>
    <w:basedOn w:val="DefaultParagraphFont"/>
    <w:uiPriority w:val="1"/>
    <w:unhideWhenUsed/>
    <w:rsid w:val="001601A6"/>
    <w:rPr>
      <w:b/>
      <w:bCs/>
      <w:color w:val="50FA7B"/>
    </w:rPr>
  </w:style>
  <w:style w:type="character" w:customStyle="1" w:styleId="hljs-con-title-slc">
    <w:name w:val="hljs-con-title-slc"/>
    <w:basedOn w:val="DefaultParagraphFont"/>
    <w:uiPriority w:val="1"/>
    <w:unhideWhenUsed/>
    <w:rsid w:val="001601A6"/>
    <w:rPr>
      <w:b/>
      <w:bCs/>
      <w:color w:val="50FA7B"/>
      <w:shd w:val="clear" w:color="auto" w:fill="44475A"/>
    </w:rPr>
  </w:style>
  <w:style w:type="character" w:customStyle="1" w:styleId="hljs-con-type">
    <w:name w:val="hljs-con-type"/>
    <w:basedOn w:val="DefaultParagraphFont"/>
    <w:uiPriority w:val="1"/>
    <w:unhideWhenUsed/>
    <w:rsid w:val="001601A6"/>
    <w:rPr>
      <w:b/>
      <w:bCs/>
      <w:color w:val="F1FA8C"/>
    </w:rPr>
  </w:style>
  <w:style w:type="character" w:customStyle="1" w:styleId="hljs-con-type-slc">
    <w:name w:val="hljs-con-type-slc"/>
    <w:basedOn w:val="DefaultParagraphFont"/>
    <w:uiPriority w:val="1"/>
    <w:unhideWhenUsed/>
    <w:rsid w:val="001601A6"/>
    <w:rPr>
      <w:b/>
      <w:bCs/>
      <w:color w:val="F1FA8C"/>
      <w:shd w:val="clear" w:color="auto" w:fill="44475A"/>
    </w:rPr>
  </w:style>
  <w:style w:type="character" w:customStyle="1" w:styleId="hljs-con-typing">
    <w:name w:val="hljs-con-typing"/>
    <w:basedOn w:val="DefaultParagraphFont"/>
    <w:uiPriority w:val="1"/>
    <w:unhideWhenUsed/>
    <w:rsid w:val="001601A6"/>
    <w:rPr>
      <w:color w:val="F8F8F2"/>
      <w:shd w:val="clear" w:color="auto" w:fill="282A36"/>
    </w:rPr>
  </w:style>
  <w:style w:type="character" w:customStyle="1" w:styleId="hljs-con-typing-slc">
    <w:name w:val="hljs-con-typing-slc"/>
    <w:basedOn w:val="DefaultParagraphFont"/>
    <w:uiPriority w:val="1"/>
    <w:unhideWhenUsed/>
    <w:rsid w:val="001601A6"/>
    <w:rPr>
      <w:b/>
      <w:bCs/>
      <w:color w:val="F8F8F2"/>
      <w:shd w:val="clear" w:color="auto" w:fill="44475A"/>
    </w:rPr>
  </w:style>
  <w:style w:type="character" w:customStyle="1" w:styleId="hljs-con-variable">
    <w:name w:val="hljs-con-variable"/>
    <w:basedOn w:val="DefaultParagraphFont"/>
    <w:uiPriority w:val="1"/>
    <w:unhideWhenUsed/>
    <w:rsid w:val="001601A6"/>
    <w:rPr>
      <w:color w:val="F1FA8C"/>
    </w:rPr>
  </w:style>
  <w:style w:type="character" w:customStyle="1" w:styleId="hljs-con-variable-slc">
    <w:name w:val="hljs-con-variable-slc"/>
    <w:basedOn w:val="DefaultParagraphFont"/>
    <w:uiPriority w:val="1"/>
    <w:unhideWhenUsed/>
    <w:rsid w:val="001601A6"/>
    <w:rPr>
      <w:b/>
      <w:bCs/>
      <w:color w:val="F1FA8C"/>
      <w:shd w:val="clear" w:color="auto" w:fill="44475A"/>
    </w:rPr>
  </w:style>
  <w:style w:type="character" w:customStyle="1" w:styleId="hljs-deletion">
    <w:name w:val="hljs-deletion"/>
    <w:basedOn w:val="DefaultParagraphFont"/>
    <w:uiPriority w:val="1"/>
    <w:unhideWhenUsed/>
    <w:rsid w:val="001601A6"/>
    <w:rPr>
      <w:color w:val="E45649"/>
    </w:rPr>
  </w:style>
  <w:style w:type="character" w:customStyle="1" w:styleId="hljs-deletion-slc">
    <w:name w:val="hljs-deletion-slc"/>
    <w:basedOn w:val="hljs-deletion"/>
    <w:uiPriority w:val="1"/>
    <w:unhideWhenUsed/>
    <w:rsid w:val="001601A6"/>
    <w:rPr>
      <w:b/>
      <w:bCs/>
      <w:color w:val="E45649"/>
      <w:sz w:val="20"/>
      <w:shd w:val="clear" w:color="auto" w:fill="D4D4D4"/>
    </w:rPr>
  </w:style>
  <w:style w:type="character" w:customStyle="1" w:styleId="hljs-doctag">
    <w:name w:val="hljs-doctag"/>
    <w:basedOn w:val="DefaultParagraphFont"/>
    <w:uiPriority w:val="1"/>
    <w:unhideWhenUsed/>
    <w:rsid w:val="001601A6"/>
    <w:rPr>
      <w:color w:val="A626A4"/>
    </w:rPr>
  </w:style>
  <w:style w:type="character" w:customStyle="1" w:styleId="hljs-doctag-slc">
    <w:name w:val="hljs-doctag-slc"/>
    <w:basedOn w:val="hljs-doctag"/>
    <w:uiPriority w:val="1"/>
    <w:unhideWhenUsed/>
    <w:rsid w:val="001601A6"/>
    <w:rPr>
      <w:b/>
      <w:bCs/>
      <w:color w:val="A626A4"/>
      <w:sz w:val="20"/>
      <w:shd w:val="clear" w:color="auto" w:fill="D4D4D4"/>
    </w:rPr>
  </w:style>
  <w:style w:type="character" w:customStyle="1" w:styleId="hljs-emphasis">
    <w:name w:val="hljs-emphasis"/>
    <w:basedOn w:val="DefaultParagraphFont"/>
    <w:uiPriority w:val="1"/>
    <w:unhideWhenUsed/>
    <w:rsid w:val="001601A6"/>
    <w:rPr>
      <w:i/>
      <w:iCs/>
    </w:rPr>
  </w:style>
  <w:style w:type="character" w:customStyle="1" w:styleId="hljs-emphasis-slc">
    <w:name w:val="hljs-emphasis-slc"/>
    <w:basedOn w:val="hljs-emphasis"/>
    <w:uiPriority w:val="1"/>
    <w:unhideWhenUsed/>
    <w:rsid w:val="001601A6"/>
    <w:rPr>
      <w:b/>
      <w:bCs/>
      <w:i/>
      <w:iCs/>
      <w:sz w:val="20"/>
      <w:shd w:val="clear" w:color="auto" w:fill="D4D4D4"/>
    </w:rPr>
  </w:style>
  <w:style w:type="character" w:customStyle="1" w:styleId="hljs-formula">
    <w:name w:val="hljs-formula"/>
    <w:basedOn w:val="DefaultParagraphFont"/>
    <w:uiPriority w:val="1"/>
    <w:unhideWhenUsed/>
    <w:rsid w:val="001601A6"/>
    <w:rPr>
      <w:color w:val="A626A4"/>
    </w:rPr>
  </w:style>
  <w:style w:type="character" w:customStyle="1" w:styleId="hljs-formula-slc">
    <w:name w:val="hljs-formula-slc"/>
    <w:basedOn w:val="hljs-formula"/>
    <w:uiPriority w:val="1"/>
    <w:unhideWhenUsed/>
    <w:rsid w:val="001601A6"/>
    <w:rPr>
      <w:b/>
      <w:bCs/>
      <w:color w:val="A626A4"/>
      <w:sz w:val="20"/>
      <w:shd w:val="clear" w:color="auto" w:fill="D4D4D4"/>
    </w:rPr>
  </w:style>
  <w:style w:type="character" w:customStyle="1" w:styleId="hljs-function">
    <w:name w:val="hljs-function"/>
    <w:basedOn w:val="DefaultParagraphFont"/>
    <w:uiPriority w:val="1"/>
    <w:unhideWhenUsed/>
    <w:rsid w:val="001601A6"/>
  </w:style>
  <w:style w:type="character" w:customStyle="1" w:styleId="hljs-function-slc">
    <w:name w:val="hljs-function-slc"/>
    <w:basedOn w:val="hljs-function"/>
    <w:uiPriority w:val="1"/>
    <w:unhideWhenUsed/>
    <w:rsid w:val="001601A6"/>
    <w:rPr>
      <w:b/>
      <w:bCs/>
      <w:sz w:val="20"/>
      <w:shd w:val="clear" w:color="auto" w:fill="D4D4D4"/>
    </w:rPr>
  </w:style>
  <w:style w:type="character" w:customStyle="1" w:styleId="hljs-keyword">
    <w:name w:val="hljs-keyword"/>
    <w:basedOn w:val="DefaultParagraphFont"/>
    <w:uiPriority w:val="1"/>
    <w:unhideWhenUsed/>
    <w:rsid w:val="001601A6"/>
    <w:rPr>
      <w:color w:val="A626A4"/>
    </w:rPr>
  </w:style>
  <w:style w:type="character" w:customStyle="1" w:styleId="hljs-keyword-slc">
    <w:name w:val="hljs-keyword-slc"/>
    <w:basedOn w:val="hljs-keyword"/>
    <w:uiPriority w:val="1"/>
    <w:unhideWhenUsed/>
    <w:rsid w:val="001601A6"/>
    <w:rPr>
      <w:b/>
      <w:bCs/>
      <w:color w:val="A626A4"/>
      <w:sz w:val="20"/>
      <w:shd w:val="clear" w:color="auto" w:fill="D4D4D4"/>
    </w:rPr>
  </w:style>
  <w:style w:type="character" w:customStyle="1" w:styleId="hljs-link">
    <w:name w:val="hljs-link"/>
    <w:basedOn w:val="DefaultParagraphFont"/>
    <w:uiPriority w:val="1"/>
    <w:unhideWhenUsed/>
    <w:rsid w:val="001601A6"/>
    <w:rPr>
      <w:color w:val="4078F2"/>
      <w:u w:val="single"/>
    </w:rPr>
  </w:style>
  <w:style w:type="character" w:customStyle="1" w:styleId="hljs-link-slc">
    <w:name w:val="hljs-link-slc"/>
    <w:basedOn w:val="hljs-link"/>
    <w:uiPriority w:val="1"/>
    <w:unhideWhenUsed/>
    <w:rsid w:val="001601A6"/>
    <w:rPr>
      <w:b/>
      <w:bCs/>
      <w:color w:val="4078F2"/>
      <w:sz w:val="20"/>
      <w:u w:val="single"/>
      <w:shd w:val="clear" w:color="auto" w:fill="D4D4D4"/>
    </w:rPr>
  </w:style>
  <w:style w:type="character" w:customStyle="1" w:styleId="hljs-literal">
    <w:name w:val="hljs-literal"/>
    <w:basedOn w:val="DefaultParagraphFont"/>
    <w:uiPriority w:val="1"/>
    <w:unhideWhenUsed/>
    <w:rsid w:val="001601A6"/>
    <w:rPr>
      <w:color w:val="0184BB"/>
    </w:rPr>
  </w:style>
  <w:style w:type="character" w:customStyle="1" w:styleId="hljs-literal-slc">
    <w:name w:val="hljs-literal-slc"/>
    <w:basedOn w:val="hljs-literal"/>
    <w:uiPriority w:val="1"/>
    <w:unhideWhenUsed/>
    <w:rsid w:val="001601A6"/>
    <w:rPr>
      <w:b/>
      <w:bCs/>
      <w:color w:val="0184BB"/>
      <w:sz w:val="20"/>
      <w:shd w:val="clear" w:color="auto" w:fill="D4D4D4"/>
    </w:rPr>
  </w:style>
  <w:style w:type="character" w:customStyle="1" w:styleId="hljs-meta">
    <w:name w:val="hljs-meta"/>
    <w:basedOn w:val="DefaultParagraphFont"/>
    <w:uiPriority w:val="1"/>
    <w:unhideWhenUsed/>
    <w:rsid w:val="001601A6"/>
    <w:rPr>
      <w:color w:val="4078F2"/>
    </w:rPr>
  </w:style>
  <w:style w:type="character" w:customStyle="1" w:styleId="hljs-meta-keyword">
    <w:name w:val="hljs-meta-keyword"/>
    <w:basedOn w:val="DefaultParagraphFont"/>
    <w:uiPriority w:val="1"/>
    <w:unhideWhenUsed/>
    <w:rsid w:val="001601A6"/>
  </w:style>
  <w:style w:type="character" w:customStyle="1" w:styleId="hljs-meta-keyword-slc">
    <w:name w:val="hljs-meta-keyword-slc"/>
    <w:basedOn w:val="hljs-meta-keyword"/>
    <w:uiPriority w:val="1"/>
    <w:unhideWhenUsed/>
    <w:rsid w:val="001601A6"/>
    <w:rPr>
      <w:b/>
      <w:bCs/>
      <w:sz w:val="20"/>
      <w:shd w:val="clear" w:color="auto" w:fill="D4D4D4"/>
    </w:rPr>
  </w:style>
  <w:style w:type="character" w:customStyle="1" w:styleId="hljs-meta-slc">
    <w:name w:val="hljs-meta-slc"/>
    <w:basedOn w:val="hljs-meta"/>
    <w:uiPriority w:val="1"/>
    <w:unhideWhenUsed/>
    <w:rsid w:val="001601A6"/>
    <w:rPr>
      <w:b/>
      <w:bCs/>
      <w:color w:val="4078F2"/>
      <w:sz w:val="20"/>
      <w:shd w:val="clear" w:color="auto" w:fill="D4D4D4"/>
    </w:rPr>
  </w:style>
  <w:style w:type="character" w:customStyle="1" w:styleId="hljs-meta-string">
    <w:name w:val="hljs-meta-string"/>
    <w:basedOn w:val="DefaultParagraphFont"/>
    <w:uiPriority w:val="1"/>
    <w:unhideWhenUsed/>
    <w:rsid w:val="001601A6"/>
    <w:rPr>
      <w:color w:val="50A14F"/>
    </w:rPr>
  </w:style>
  <w:style w:type="character" w:customStyle="1" w:styleId="hljs-meta-string-slc">
    <w:name w:val="hljs-meta-string-slc"/>
    <w:basedOn w:val="hljs-meta-string"/>
    <w:uiPriority w:val="1"/>
    <w:unhideWhenUsed/>
    <w:rsid w:val="001601A6"/>
    <w:rPr>
      <w:b/>
      <w:bCs/>
      <w:color w:val="50A14F"/>
      <w:sz w:val="20"/>
      <w:shd w:val="clear" w:color="auto" w:fill="D4D4D4"/>
    </w:rPr>
  </w:style>
  <w:style w:type="character" w:customStyle="1" w:styleId="hljs-module">
    <w:name w:val="hljs-module"/>
    <w:basedOn w:val="DefaultParagraphFont"/>
    <w:uiPriority w:val="1"/>
    <w:unhideWhenUsed/>
    <w:rsid w:val="001601A6"/>
  </w:style>
  <w:style w:type="character" w:customStyle="1" w:styleId="hljs-module-access">
    <w:name w:val="hljs-module-access"/>
    <w:basedOn w:val="DefaultParagraphFont"/>
    <w:uiPriority w:val="1"/>
    <w:unhideWhenUsed/>
    <w:rsid w:val="001601A6"/>
  </w:style>
  <w:style w:type="character" w:customStyle="1" w:styleId="hljs-module-access-slc">
    <w:name w:val="hljs-module-access-slc"/>
    <w:basedOn w:val="hljs-module-access"/>
    <w:uiPriority w:val="1"/>
    <w:unhideWhenUsed/>
    <w:rsid w:val="001601A6"/>
    <w:rPr>
      <w:b/>
      <w:bCs/>
      <w:sz w:val="20"/>
      <w:shd w:val="clear" w:color="auto" w:fill="D4D4D4"/>
    </w:rPr>
  </w:style>
  <w:style w:type="character" w:customStyle="1" w:styleId="hljs-module-slc">
    <w:name w:val="hljs-module-slc"/>
    <w:basedOn w:val="hljs-module"/>
    <w:uiPriority w:val="1"/>
    <w:unhideWhenUsed/>
    <w:rsid w:val="001601A6"/>
    <w:rPr>
      <w:b/>
      <w:bCs/>
      <w:sz w:val="20"/>
      <w:shd w:val="clear" w:color="auto" w:fill="D4D4D4"/>
    </w:rPr>
  </w:style>
  <w:style w:type="character" w:customStyle="1" w:styleId="hljs-name">
    <w:name w:val="hljs-name"/>
    <w:basedOn w:val="DefaultParagraphFont"/>
    <w:uiPriority w:val="1"/>
    <w:unhideWhenUsed/>
    <w:rsid w:val="001601A6"/>
    <w:rPr>
      <w:color w:val="E45649"/>
    </w:rPr>
  </w:style>
  <w:style w:type="character" w:customStyle="1" w:styleId="hljs-name-slc">
    <w:name w:val="hljs-name-slc"/>
    <w:basedOn w:val="hljs-name"/>
    <w:uiPriority w:val="1"/>
    <w:unhideWhenUsed/>
    <w:rsid w:val="001601A6"/>
    <w:rPr>
      <w:b/>
      <w:bCs/>
      <w:color w:val="E45649"/>
      <w:sz w:val="20"/>
      <w:shd w:val="clear" w:color="auto" w:fill="D4D4D4"/>
    </w:rPr>
  </w:style>
  <w:style w:type="character" w:customStyle="1" w:styleId="hljs-number">
    <w:name w:val="hljs-number"/>
    <w:basedOn w:val="DefaultParagraphFont"/>
    <w:unhideWhenUsed/>
    <w:rsid w:val="001601A6"/>
    <w:rPr>
      <w:color w:val="986801"/>
    </w:rPr>
  </w:style>
  <w:style w:type="character" w:customStyle="1" w:styleId="hljs-number-slc">
    <w:name w:val="hljs-number-slc"/>
    <w:basedOn w:val="hljs-number"/>
    <w:uiPriority w:val="1"/>
    <w:unhideWhenUsed/>
    <w:rsid w:val="001601A6"/>
    <w:rPr>
      <w:b/>
      <w:bCs/>
      <w:color w:val="986801"/>
      <w:sz w:val="20"/>
      <w:shd w:val="clear" w:color="auto" w:fill="D4D4D4"/>
    </w:rPr>
  </w:style>
  <w:style w:type="character" w:customStyle="1" w:styleId="hljs-operator">
    <w:name w:val="hljs-operator"/>
    <w:basedOn w:val="DefaultParagraphFont"/>
    <w:unhideWhenUsed/>
    <w:rsid w:val="001601A6"/>
  </w:style>
  <w:style w:type="character" w:customStyle="1" w:styleId="hljs-operator-slc">
    <w:name w:val="hljs-operator-slc"/>
    <w:basedOn w:val="hljs-operator"/>
    <w:uiPriority w:val="1"/>
    <w:unhideWhenUsed/>
    <w:rsid w:val="001601A6"/>
    <w:rPr>
      <w:b/>
      <w:bCs/>
      <w:sz w:val="20"/>
      <w:shd w:val="clear" w:color="auto" w:fill="D4D4D4"/>
    </w:rPr>
  </w:style>
  <w:style w:type="character" w:customStyle="1" w:styleId="hljs-params">
    <w:name w:val="hljs-params"/>
    <w:basedOn w:val="DefaultParagraphFont"/>
    <w:uiPriority w:val="1"/>
    <w:unhideWhenUsed/>
    <w:rsid w:val="001601A6"/>
  </w:style>
  <w:style w:type="character" w:customStyle="1" w:styleId="hljs-params-slc">
    <w:name w:val="hljs-params-slc"/>
    <w:basedOn w:val="hljs-params"/>
    <w:uiPriority w:val="1"/>
    <w:unhideWhenUsed/>
    <w:rsid w:val="001601A6"/>
    <w:rPr>
      <w:b/>
      <w:bCs/>
      <w:sz w:val="20"/>
      <w:shd w:val="clear" w:color="auto" w:fill="D4D4D4"/>
    </w:rPr>
  </w:style>
  <w:style w:type="character" w:customStyle="1" w:styleId="hljs-pattern-match">
    <w:name w:val="hljs-pattern-match"/>
    <w:basedOn w:val="DefaultParagraphFont"/>
    <w:uiPriority w:val="1"/>
    <w:unhideWhenUsed/>
    <w:rsid w:val="001601A6"/>
  </w:style>
  <w:style w:type="character" w:customStyle="1" w:styleId="hljs-pattern-match-slc">
    <w:name w:val="hljs-pattern-match-slc"/>
    <w:basedOn w:val="hljs-pattern-match"/>
    <w:uiPriority w:val="1"/>
    <w:unhideWhenUsed/>
    <w:rsid w:val="001601A6"/>
    <w:rPr>
      <w:b/>
      <w:bCs/>
      <w:sz w:val="20"/>
      <w:shd w:val="clear" w:color="auto" w:fill="D4D4D4"/>
    </w:rPr>
  </w:style>
  <w:style w:type="character" w:customStyle="1" w:styleId="hljs-quote">
    <w:name w:val="hljs-quote"/>
    <w:basedOn w:val="DefaultParagraphFont"/>
    <w:uiPriority w:val="1"/>
    <w:unhideWhenUsed/>
    <w:rsid w:val="001601A6"/>
    <w:rPr>
      <w:i/>
      <w:iCs/>
      <w:color w:val="A0A1A7"/>
    </w:rPr>
  </w:style>
  <w:style w:type="character" w:customStyle="1" w:styleId="hljs-quote-slc">
    <w:name w:val="hljs-quote-slc"/>
    <w:basedOn w:val="hljs-quote"/>
    <w:uiPriority w:val="1"/>
    <w:unhideWhenUsed/>
    <w:rsid w:val="001601A6"/>
    <w:rPr>
      <w:b/>
      <w:bCs/>
      <w:i/>
      <w:iCs/>
      <w:color w:val="A0A1A7"/>
      <w:sz w:val="20"/>
      <w:shd w:val="clear" w:color="auto" w:fill="D4D4D4"/>
    </w:rPr>
  </w:style>
  <w:style w:type="character" w:customStyle="1" w:styleId="hljs-regexp">
    <w:name w:val="hljs-regexp"/>
    <w:basedOn w:val="DefaultParagraphFont"/>
    <w:uiPriority w:val="1"/>
    <w:unhideWhenUsed/>
    <w:rsid w:val="001601A6"/>
    <w:rPr>
      <w:color w:val="50A14F"/>
    </w:rPr>
  </w:style>
  <w:style w:type="character" w:customStyle="1" w:styleId="hljs-regexp-slc">
    <w:name w:val="hljs-regexp-slc"/>
    <w:basedOn w:val="hljs-regexp"/>
    <w:uiPriority w:val="1"/>
    <w:unhideWhenUsed/>
    <w:rsid w:val="001601A6"/>
    <w:rPr>
      <w:b/>
      <w:bCs/>
      <w:color w:val="50A14F"/>
      <w:sz w:val="20"/>
      <w:shd w:val="clear" w:color="auto" w:fill="D4D4D4"/>
    </w:rPr>
  </w:style>
  <w:style w:type="character" w:customStyle="1" w:styleId="hljs-section">
    <w:name w:val="hljs-section"/>
    <w:basedOn w:val="DefaultParagraphFont"/>
    <w:uiPriority w:val="1"/>
    <w:unhideWhenUsed/>
    <w:rsid w:val="001601A6"/>
    <w:rPr>
      <w:color w:val="E45649"/>
    </w:rPr>
  </w:style>
  <w:style w:type="character" w:customStyle="1" w:styleId="hljs-section-slc">
    <w:name w:val="hljs-section-slc"/>
    <w:basedOn w:val="hljs-section"/>
    <w:uiPriority w:val="1"/>
    <w:unhideWhenUsed/>
    <w:rsid w:val="001601A6"/>
    <w:rPr>
      <w:b/>
      <w:bCs/>
      <w:color w:val="E45649"/>
      <w:sz w:val="20"/>
      <w:shd w:val="clear" w:color="auto" w:fill="D4D4D4"/>
    </w:rPr>
  </w:style>
  <w:style w:type="character" w:customStyle="1" w:styleId="hljs-selector-attr">
    <w:name w:val="hljs-selector-attr"/>
    <w:basedOn w:val="DefaultParagraphFont"/>
    <w:uiPriority w:val="1"/>
    <w:unhideWhenUsed/>
    <w:rsid w:val="001601A6"/>
    <w:rPr>
      <w:color w:val="986801"/>
    </w:rPr>
  </w:style>
  <w:style w:type="character" w:customStyle="1" w:styleId="hljs-selector-attr-slc">
    <w:name w:val="hljs-selector-attr-slc"/>
    <w:basedOn w:val="hljs-selector-attr"/>
    <w:uiPriority w:val="1"/>
    <w:unhideWhenUsed/>
    <w:rsid w:val="001601A6"/>
    <w:rPr>
      <w:b/>
      <w:bCs/>
      <w:color w:val="986801"/>
      <w:sz w:val="20"/>
      <w:shd w:val="clear" w:color="auto" w:fill="D4D4D4"/>
    </w:rPr>
  </w:style>
  <w:style w:type="character" w:customStyle="1" w:styleId="hljs-selector-class">
    <w:name w:val="hljs-selector-class"/>
    <w:basedOn w:val="DefaultParagraphFont"/>
    <w:uiPriority w:val="1"/>
    <w:unhideWhenUsed/>
    <w:rsid w:val="001601A6"/>
    <w:rPr>
      <w:color w:val="986801"/>
    </w:rPr>
  </w:style>
  <w:style w:type="character" w:customStyle="1" w:styleId="hljs-selector-class-slc">
    <w:name w:val="hljs-selector-class-slc"/>
    <w:basedOn w:val="hljs-selector-class"/>
    <w:uiPriority w:val="1"/>
    <w:unhideWhenUsed/>
    <w:rsid w:val="001601A6"/>
    <w:rPr>
      <w:b/>
      <w:bCs/>
      <w:color w:val="986801"/>
      <w:sz w:val="20"/>
      <w:shd w:val="clear" w:color="auto" w:fill="D4D4D4"/>
    </w:rPr>
  </w:style>
  <w:style w:type="character" w:customStyle="1" w:styleId="hljs-selector-id">
    <w:name w:val="hljs-selector-id"/>
    <w:basedOn w:val="DefaultParagraphFont"/>
    <w:uiPriority w:val="1"/>
    <w:unhideWhenUsed/>
    <w:rsid w:val="001601A6"/>
    <w:rPr>
      <w:color w:val="4078F2"/>
    </w:rPr>
  </w:style>
  <w:style w:type="character" w:customStyle="1" w:styleId="hljs-selector-id-slc">
    <w:name w:val="hljs-selector-id-slc"/>
    <w:basedOn w:val="hljs-selector-id"/>
    <w:uiPriority w:val="1"/>
    <w:unhideWhenUsed/>
    <w:rsid w:val="001601A6"/>
    <w:rPr>
      <w:b/>
      <w:bCs/>
      <w:color w:val="4078F2"/>
      <w:sz w:val="20"/>
      <w:shd w:val="clear" w:color="auto" w:fill="D4D4D4"/>
    </w:rPr>
  </w:style>
  <w:style w:type="character" w:customStyle="1" w:styleId="hljs-selector-pseudo">
    <w:name w:val="hljs-selector-pseudo"/>
    <w:basedOn w:val="DefaultParagraphFont"/>
    <w:uiPriority w:val="1"/>
    <w:unhideWhenUsed/>
    <w:rsid w:val="001601A6"/>
    <w:rPr>
      <w:color w:val="986801"/>
    </w:rPr>
  </w:style>
  <w:style w:type="character" w:customStyle="1" w:styleId="hljs-selector-pseudo-slc">
    <w:name w:val="hljs-selector-pseudo-slc"/>
    <w:basedOn w:val="hljs-selector-pseudo"/>
    <w:uiPriority w:val="1"/>
    <w:unhideWhenUsed/>
    <w:rsid w:val="001601A6"/>
    <w:rPr>
      <w:b/>
      <w:bCs/>
      <w:color w:val="986801"/>
      <w:sz w:val="20"/>
      <w:shd w:val="clear" w:color="auto" w:fill="D4D4D4"/>
    </w:rPr>
  </w:style>
  <w:style w:type="character" w:customStyle="1" w:styleId="hljs-selector-tag">
    <w:name w:val="hljs-selector-tag"/>
    <w:basedOn w:val="DefaultParagraphFont"/>
    <w:uiPriority w:val="1"/>
    <w:unhideWhenUsed/>
    <w:rsid w:val="001601A6"/>
    <w:rPr>
      <w:color w:val="E45649"/>
    </w:rPr>
  </w:style>
  <w:style w:type="character" w:customStyle="1" w:styleId="hljs-selector-tag-slc">
    <w:name w:val="hljs-selector-tag-slc"/>
    <w:basedOn w:val="hljs-selector-tag"/>
    <w:uiPriority w:val="1"/>
    <w:unhideWhenUsed/>
    <w:rsid w:val="001601A6"/>
    <w:rPr>
      <w:b/>
      <w:bCs/>
      <w:color w:val="E45649"/>
      <w:sz w:val="20"/>
      <w:shd w:val="clear" w:color="auto" w:fill="D4D4D4"/>
    </w:rPr>
  </w:style>
  <w:style w:type="character" w:customStyle="1" w:styleId="hljs-slc">
    <w:name w:val="hljs-slc"/>
    <w:basedOn w:val="DefaultParagraphFont"/>
    <w:uiPriority w:val="1"/>
    <w:unhideWhenUsed/>
    <w:rsid w:val="001601A6"/>
    <w:rPr>
      <w:b/>
      <w:bCs/>
      <w:shd w:val="clear" w:color="auto" w:fill="D4D4D4"/>
      <w:lang w:val="en-IN"/>
    </w:rPr>
  </w:style>
  <w:style w:type="character" w:customStyle="1" w:styleId="hljs-string">
    <w:name w:val="hljs-string"/>
    <w:basedOn w:val="DefaultParagraphFont"/>
    <w:uiPriority w:val="1"/>
    <w:unhideWhenUsed/>
    <w:rsid w:val="001601A6"/>
    <w:rPr>
      <w:color w:val="50A14F"/>
    </w:rPr>
  </w:style>
  <w:style w:type="character" w:customStyle="1" w:styleId="hljs-string-slc">
    <w:name w:val="hljs-string-slc"/>
    <w:basedOn w:val="hljs-string"/>
    <w:uiPriority w:val="1"/>
    <w:unhideWhenUsed/>
    <w:rsid w:val="001601A6"/>
    <w:rPr>
      <w:b/>
      <w:bCs/>
      <w:color w:val="50A14F"/>
      <w:sz w:val="20"/>
      <w:shd w:val="clear" w:color="auto" w:fill="D4D4D4"/>
    </w:rPr>
  </w:style>
  <w:style w:type="character" w:customStyle="1" w:styleId="hljs-strong">
    <w:name w:val="hljs-strong"/>
    <w:basedOn w:val="DefaultParagraphFont"/>
    <w:uiPriority w:val="1"/>
    <w:unhideWhenUsed/>
    <w:rsid w:val="001601A6"/>
    <w:rPr>
      <w:b/>
      <w:bCs/>
    </w:rPr>
  </w:style>
  <w:style w:type="character" w:customStyle="1" w:styleId="hljs-strong-slc">
    <w:name w:val="hljs-strong-slc"/>
    <w:basedOn w:val="hljs-strong"/>
    <w:uiPriority w:val="1"/>
    <w:unhideWhenUsed/>
    <w:rsid w:val="001601A6"/>
    <w:rPr>
      <w:b/>
      <w:bCs/>
      <w:sz w:val="20"/>
      <w:shd w:val="clear" w:color="auto" w:fill="D4D4D4"/>
    </w:rPr>
  </w:style>
  <w:style w:type="character" w:customStyle="1" w:styleId="hljs-subst">
    <w:name w:val="hljs-subst"/>
    <w:basedOn w:val="DefaultParagraphFont"/>
    <w:uiPriority w:val="1"/>
    <w:unhideWhenUsed/>
    <w:rsid w:val="001601A6"/>
    <w:rPr>
      <w:color w:val="E45649"/>
    </w:rPr>
  </w:style>
  <w:style w:type="character" w:customStyle="1" w:styleId="hljs-subst-slc">
    <w:name w:val="hljs-subst-slc"/>
    <w:basedOn w:val="hljs-subst"/>
    <w:uiPriority w:val="1"/>
    <w:unhideWhenUsed/>
    <w:rsid w:val="001601A6"/>
    <w:rPr>
      <w:b/>
      <w:bCs/>
      <w:color w:val="E45649"/>
      <w:sz w:val="20"/>
      <w:shd w:val="clear" w:color="auto" w:fill="D4D4D4"/>
    </w:rPr>
  </w:style>
  <w:style w:type="character" w:customStyle="1" w:styleId="hljs-symbol">
    <w:name w:val="hljs-symbol"/>
    <w:basedOn w:val="DefaultParagraphFont"/>
    <w:uiPriority w:val="1"/>
    <w:unhideWhenUsed/>
    <w:rsid w:val="001601A6"/>
    <w:rPr>
      <w:color w:val="4078F2"/>
    </w:rPr>
  </w:style>
  <w:style w:type="character" w:customStyle="1" w:styleId="hljs-symbol-slc">
    <w:name w:val="hljs-symbol-slc"/>
    <w:basedOn w:val="hljs-symbol"/>
    <w:uiPriority w:val="1"/>
    <w:unhideWhenUsed/>
    <w:rsid w:val="001601A6"/>
    <w:rPr>
      <w:b/>
      <w:bCs/>
      <w:color w:val="4078F2"/>
      <w:sz w:val="20"/>
      <w:shd w:val="clear" w:color="auto" w:fill="D4D4D4"/>
    </w:rPr>
  </w:style>
  <w:style w:type="character" w:customStyle="1" w:styleId="hljs-tag">
    <w:name w:val="hljs-tag"/>
    <w:basedOn w:val="DefaultParagraphFont"/>
    <w:uiPriority w:val="1"/>
    <w:unhideWhenUsed/>
    <w:rsid w:val="001601A6"/>
  </w:style>
  <w:style w:type="character" w:customStyle="1" w:styleId="hljs-tag-slc">
    <w:name w:val="hljs-tag-slc"/>
    <w:basedOn w:val="hljs-tag"/>
    <w:uiPriority w:val="1"/>
    <w:unhideWhenUsed/>
    <w:rsid w:val="001601A6"/>
    <w:rPr>
      <w:b/>
      <w:bCs/>
      <w:sz w:val="20"/>
      <w:shd w:val="clear" w:color="auto" w:fill="D4D4D4"/>
    </w:rPr>
  </w:style>
  <w:style w:type="character" w:customStyle="1" w:styleId="hljs-template-tag">
    <w:name w:val="hljs-template-tag"/>
    <w:basedOn w:val="DefaultParagraphFont"/>
    <w:uiPriority w:val="1"/>
    <w:unhideWhenUsed/>
    <w:rsid w:val="001601A6"/>
  </w:style>
  <w:style w:type="character" w:customStyle="1" w:styleId="hljs-template-tag-slc">
    <w:name w:val="hljs-template-tag-slc"/>
    <w:basedOn w:val="hljs-template-tag"/>
    <w:uiPriority w:val="1"/>
    <w:unhideWhenUsed/>
    <w:rsid w:val="001601A6"/>
    <w:rPr>
      <w:b/>
      <w:bCs/>
      <w:sz w:val="20"/>
      <w:shd w:val="clear" w:color="auto" w:fill="D4D4D4"/>
    </w:rPr>
  </w:style>
  <w:style w:type="character" w:customStyle="1" w:styleId="hljs-template-variable">
    <w:name w:val="hljs-template-variable"/>
    <w:basedOn w:val="DefaultParagraphFont"/>
    <w:uiPriority w:val="1"/>
    <w:unhideWhenUsed/>
    <w:rsid w:val="001601A6"/>
    <w:rPr>
      <w:color w:val="986801"/>
    </w:rPr>
  </w:style>
  <w:style w:type="character" w:customStyle="1" w:styleId="hljs-template-variable-slc">
    <w:name w:val="hljs-template-variable-slc"/>
    <w:basedOn w:val="hljs-template-variable"/>
    <w:uiPriority w:val="1"/>
    <w:unhideWhenUsed/>
    <w:rsid w:val="001601A6"/>
    <w:rPr>
      <w:b/>
      <w:bCs/>
      <w:color w:val="986801"/>
      <w:sz w:val="20"/>
      <w:shd w:val="clear" w:color="auto" w:fill="D4D4D4"/>
    </w:rPr>
  </w:style>
  <w:style w:type="character" w:customStyle="1" w:styleId="hljs-title">
    <w:name w:val="hljs-title"/>
    <w:basedOn w:val="DefaultParagraphFont"/>
    <w:uiPriority w:val="1"/>
    <w:unhideWhenUsed/>
    <w:rsid w:val="001601A6"/>
    <w:rPr>
      <w:color w:val="4078F2"/>
    </w:rPr>
  </w:style>
  <w:style w:type="character" w:customStyle="1" w:styleId="hljs-title-slc">
    <w:name w:val="hljs-title-slc"/>
    <w:basedOn w:val="hljs-title"/>
    <w:uiPriority w:val="1"/>
    <w:unhideWhenUsed/>
    <w:rsid w:val="001601A6"/>
    <w:rPr>
      <w:b/>
      <w:bCs/>
      <w:color w:val="4078F2"/>
      <w:sz w:val="20"/>
      <w:shd w:val="clear" w:color="auto" w:fill="D4D4D4"/>
    </w:rPr>
  </w:style>
  <w:style w:type="character" w:customStyle="1" w:styleId="hljs-type">
    <w:name w:val="hljs-type"/>
    <w:basedOn w:val="DefaultParagraphFont"/>
    <w:uiPriority w:val="1"/>
    <w:unhideWhenUsed/>
    <w:rsid w:val="001601A6"/>
    <w:rPr>
      <w:color w:val="986801"/>
    </w:rPr>
  </w:style>
  <w:style w:type="character" w:customStyle="1" w:styleId="hljs-type-slc">
    <w:name w:val="hljs-type-slc"/>
    <w:basedOn w:val="hljs-type"/>
    <w:uiPriority w:val="1"/>
    <w:unhideWhenUsed/>
    <w:rsid w:val="001601A6"/>
    <w:rPr>
      <w:b/>
      <w:bCs/>
      <w:color w:val="986801"/>
      <w:sz w:val="20"/>
      <w:shd w:val="clear" w:color="auto" w:fill="D4D4D4"/>
    </w:rPr>
  </w:style>
  <w:style w:type="character" w:customStyle="1" w:styleId="hljs-typing">
    <w:name w:val="hljs-typing"/>
    <w:basedOn w:val="DefaultParagraphFont"/>
    <w:uiPriority w:val="1"/>
    <w:unhideWhenUsed/>
    <w:rsid w:val="001601A6"/>
  </w:style>
  <w:style w:type="character" w:customStyle="1" w:styleId="hljs-typing-slc">
    <w:name w:val="hljs-typing-slc"/>
    <w:basedOn w:val="hljs-typing"/>
    <w:uiPriority w:val="1"/>
    <w:unhideWhenUsed/>
    <w:rsid w:val="001601A6"/>
    <w:rPr>
      <w:b/>
      <w:bCs/>
      <w:sz w:val="20"/>
      <w:shd w:val="clear" w:color="auto" w:fill="D4D4D4"/>
    </w:rPr>
  </w:style>
  <w:style w:type="character" w:customStyle="1" w:styleId="hljs-variable">
    <w:name w:val="hljs-variable"/>
    <w:basedOn w:val="DefaultParagraphFont"/>
    <w:unhideWhenUsed/>
    <w:rsid w:val="001601A6"/>
    <w:rPr>
      <w:color w:val="986801"/>
    </w:rPr>
  </w:style>
  <w:style w:type="character" w:customStyle="1" w:styleId="hljs-variable-slc">
    <w:name w:val="hljs-variable-slc"/>
    <w:basedOn w:val="hljs-variable"/>
    <w:uiPriority w:val="1"/>
    <w:unhideWhenUsed/>
    <w:rsid w:val="001601A6"/>
    <w:rPr>
      <w:b/>
      <w:bCs/>
      <w:color w:val="986801"/>
      <w:sz w:val="20"/>
      <w:shd w:val="clear" w:color="auto" w:fill="D4D4D4"/>
    </w:rPr>
  </w:style>
  <w:style w:type="paragraph" w:customStyle="1" w:styleId="HS-ChapterNumber">
    <w:name w:val="HS - ChapterNumber"/>
    <w:next w:val="Normal"/>
    <w:rsid w:val="001601A6"/>
    <w:pPr>
      <w:spacing w:before="0" w:after="450"/>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1601A6"/>
    <w:pPr>
      <w:spacing w:before="0" w:after="720"/>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1601A6"/>
    <w:pPr>
      <w:keepNext/>
      <w:spacing w:before="90" w:after="50"/>
      <w:outlineLvl w:val="0"/>
    </w:pPr>
    <w:rPr>
      <w:rFonts w:ascii="Jost*" w:eastAsia="Times New Roman" w:hAnsi="Jost*" w:cs="Times New Roman"/>
      <w:b/>
      <w:sz w:val="32"/>
      <w:szCs w:val="24"/>
    </w:rPr>
  </w:style>
  <w:style w:type="character" w:customStyle="1" w:styleId="HS-Heading1Char">
    <w:name w:val="HS - Heading 1 Char"/>
    <w:basedOn w:val="DefaultParagraphFont"/>
    <w:link w:val="HS-Heading1"/>
    <w:rsid w:val="001601A6"/>
    <w:rPr>
      <w:rFonts w:ascii="Jost*" w:eastAsia="Times New Roman" w:hAnsi="Jost*" w:cs="Times New Roman"/>
      <w:b/>
      <w:sz w:val="32"/>
      <w:szCs w:val="24"/>
    </w:rPr>
  </w:style>
  <w:style w:type="paragraph" w:customStyle="1" w:styleId="HS-Heading2">
    <w:name w:val="HS - Heading 2"/>
    <w:basedOn w:val="HS-Heading1"/>
    <w:next w:val="P0-Paragraph"/>
    <w:rsid w:val="001601A6"/>
    <w:pPr>
      <w:outlineLvl w:val="1"/>
    </w:pPr>
    <w:rPr>
      <w:sz w:val="28"/>
    </w:rPr>
  </w:style>
  <w:style w:type="paragraph" w:customStyle="1" w:styleId="HS-Heading3">
    <w:name w:val="HS - Heading 3"/>
    <w:basedOn w:val="HS-Heading1"/>
    <w:next w:val="P0-Paragraph"/>
    <w:rsid w:val="001601A6"/>
    <w:pPr>
      <w:spacing w:before="72"/>
      <w:outlineLvl w:val="2"/>
    </w:pPr>
    <w:rPr>
      <w:sz w:val="26"/>
    </w:rPr>
  </w:style>
  <w:style w:type="paragraph" w:customStyle="1" w:styleId="HS-Heading4">
    <w:name w:val="HS - Heading 4"/>
    <w:basedOn w:val="HS-Heading1"/>
    <w:next w:val="P0-Paragraph"/>
    <w:rsid w:val="001601A6"/>
    <w:pPr>
      <w:spacing w:before="72"/>
      <w:outlineLvl w:val="3"/>
    </w:pPr>
    <w:rPr>
      <w:sz w:val="24"/>
    </w:rPr>
  </w:style>
  <w:style w:type="paragraph" w:customStyle="1" w:styleId="HS-Heading5">
    <w:name w:val="HS - Heading 5"/>
    <w:basedOn w:val="HS-Heading1"/>
    <w:next w:val="P0-Paragraph"/>
    <w:rsid w:val="001601A6"/>
    <w:pPr>
      <w:spacing w:before="50"/>
      <w:outlineLvl w:val="4"/>
    </w:pPr>
    <w:rPr>
      <w:rFonts w:ascii="Jost* Semi" w:hAnsi="Jost* Semi"/>
      <w:b w:val="0"/>
      <w:sz w:val="24"/>
    </w:rPr>
  </w:style>
  <w:style w:type="paragraph" w:customStyle="1" w:styleId="HS-Heading6">
    <w:name w:val="HS - Heading 6"/>
    <w:basedOn w:val="HS-Heading1"/>
    <w:next w:val="P0-Paragraph"/>
    <w:rsid w:val="001601A6"/>
    <w:pPr>
      <w:spacing w:before="50"/>
      <w:outlineLvl w:val="5"/>
    </w:pPr>
    <w:rPr>
      <w:rFonts w:ascii="Jost* Semi" w:hAnsi="Jost* Semi"/>
      <w:b w:val="0"/>
      <w:sz w:val="24"/>
    </w:rPr>
  </w:style>
  <w:style w:type="paragraph" w:customStyle="1" w:styleId="HS-MainHeading">
    <w:name w:val="HS - MainHeading"/>
    <w:basedOn w:val="HS-ChapterTitle"/>
    <w:rsid w:val="001601A6"/>
    <w:pPr>
      <w:spacing w:before="900"/>
      <w:jc w:val="right"/>
    </w:pPr>
    <w:rPr>
      <w:rFonts w:ascii="Jost* Semi" w:hAnsi="Jost* Semi"/>
    </w:rPr>
  </w:style>
  <w:style w:type="paragraph" w:customStyle="1" w:styleId="HS-PartNumber">
    <w:name w:val="HS - PartNumber"/>
    <w:basedOn w:val="HS-ChapterTitle"/>
    <w:next w:val="Normal"/>
    <w:rsid w:val="001601A6"/>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1601A6"/>
    <w:rPr>
      <w:rFonts w:ascii="Jost*" w:hAnsi="Jost*"/>
      <w:sz w:val="72"/>
    </w:rPr>
  </w:style>
  <w:style w:type="paragraph" w:customStyle="1" w:styleId="I0-InfoBox">
    <w:name w:val="I0 - InfoBox"/>
    <w:basedOn w:val="P0-Paragraph"/>
    <w:link w:val="I0-InfoBoxChar"/>
    <w:qFormat/>
    <w:rsid w:val="001601A6"/>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1601A6"/>
    <w:rPr>
      <w:rFonts w:ascii="Crimson Pro" w:eastAsia="Times New Roman" w:hAnsi="Crimson Pro" w:cs="Times New Roman"/>
      <w:szCs w:val="24"/>
      <w:shd w:val="clear" w:color="auto" w:fill="FFFFFF"/>
    </w:rPr>
  </w:style>
  <w:style w:type="paragraph" w:customStyle="1" w:styleId="I0-InfoBoxBullet">
    <w:name w:val="I0 - InfoBoxBullet"/>
    <w:basedOn w:val="I0-InfoBox"/>
    <w:qFormat/>
    <w:rsid w:val="001601A6"/>
    <w:pPr>
      <w:numPr>
        <w:numId w:val="13"/>
      </w:numPr>
      <w:spacing w:after="0"/>
      <w:ind w:left="360"/>
      <w:contextualSpacing/>
    </w:pPr>
  </w:style>
  <w:style w:type="paragraph" w:customStyle="1" w:styleId="I0-InfoBoxFigure">
    <w:name w:val="I0 - InfoBoxFigure"/>
    <w:basedOn w:val="I0-InfoBox"/>
    <w:qFormat/>
    <w:rsid w:val="001601A6"/>
    <w:pPr>
      <w:jc w:val="center"/>
    </w:pPr>
    <w:rPr>
      <w:sz w:val="16"/>
    </w:rPr>
  </w:style>
  <w:style w:type="paragraph" w:customStyle="1" w:styleId="I0-InfoBoxCaption">
    <w:name w:val="I0 - InfoBoxCaption"/>
    <w:basedOn w:val="I0-InfoBoxFigure"/>
    <w:rsid w:val="001601A6"/>
  </w:style>
  <w:style w:type="paragraph" w:customStyle="1" w:styleId="I0-InfoBoxCenter">
    <w:name w:val="I0 - InfoBoxCenter"/>
    <w:basedOn w:val="I0-InfoBox"/>
    <w:rsid w:val="001601A6"/>
    <w:pPr>
      <w:jc w:val="center"/>
    </w:pPr>
  </w:style>
  <w:style w:type="paragraph" w:customStyle="1" w:styleId="I0-InfoBoxCode">
    <w:name w:val="I0 - InfoBoxCode"/>
    <w:basedOn w:val="I0-InfoBox"/>
    <w:rsid w:val="001601A6"/>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1601A6"/>
    <w:pPr>
      <w:shd w:val="clear" w:color="auto" w:fill="282A36"/>
    </w:pPr>
    <w:rPr>
      <w:color w:val="F8F8F2"/>
    </w:rPr>
  </w:style>
  <w:style w:type="paragraph" w:customStyle="1" w:styleId="I0-InfoBoxNumberedList">
    <w:name w:val="I0 - InfoBoxNumberedList"/>
    <w:basedOn w:val="I0-InfoBoxBullet"/>
    <w:rsid w:val="001601A6"/>
    <w:pPr>
      <w:numPr>
        <w:numId w:val="3"/>
      </w:numPr>
      <w:ind w:left="360"/>
    </w:pPr>
  </w:style>
  <w:style w:type="paragraph" w:customStyle="1" w:styleId="L1-Bullet">
    <w:name w:val="L1 - Bullet"/>
    <w:basedOn w:val="P0-Paragraph"/>
    <w:autoRedefine/>
    <w:rsid w:val="001601A6"/>
    <w:pPr>
      <w:numPr>
        <w:numId w:val="15"/>
      </w:numPr>
      <w:tabs>
        <w:tab w:val="left" w:pos="360"/>
      </w:tabs>
      <w:suppressAutoHyphens/>
      <w:spacing w:after="126"/>
      <w:ind w:left="990"/>
      <w:contextualSpacing/>
    </w:pPr>
  </w:style>
  <w:style w:type="paragraph" w:customStyle="1" w:styleId="L1-Alphabet">
    <w:name w:val="L1 - Alphabet"/>
    <w:basedOn w:val="L1-Bullet"/>
    <w:rsid w:val="001601A6"/>
    <w:pPr>
      <w:numPr>
        <w:numId w:val="4"/>
      </w:numPr>
      <w:spacing w:after="2"/>
      <w:ind w:left="990"/>
    </w:pPr>
  </w:style>
  <w:style w:type="paragraph" w:customStyle="1" w:styleId="L1-Numbered">
    <w:name w:val="L1 - Numbered"/>
    <w:basedOn w:val="L1-Bullet"/>
    <w:rsid w:val="001601A6"/>
    <w:pPr>
      <w:numPr>
        <w:numId w:val="5"/>
      </w:numPr>
      <w:ind w:left="990" w:hanging="360"/>
    </w:pPr>
  </w:style>
  <w:style w:type="paragraph" w:customStyle="1" w:styleId="L2-Bullet">
    <w:name w:val="L2 - Bullet"/>
    <w:basedOn w:val="L1-Bullet"/>
    <w:rsid w:val="001601A6"/>
    <w:pPr>
      <w:ind w:left="1620"/>
    </w:pPr>
  </w:style>
  <w:style w:type="paragraph" w:customStyle="1" w:styleId="L2-Alphabet">
    <w:name w:val="L2 - Alphabet"/>
    <w:basedOn w:val="L2-Bullet"/>
    <w:qFormat/>
    <w:rsid w:val="001601A6"/>
    <w:pPr>
      <w:numPr>
        <w:numId w:val="7"/>
      </w:numPr>
      <w:ind w:left="1620"/>
    </w:pPr>
    <w:rPr>
      <w:bCs/>
    </w:rPr>
  </w:style>
  <w:style w:type="paragraph" w:customStyle="1" w:styleId="L2-Numbered">
    <w:name w:val="L2 - Numbered"/>
    <w:basedOn w:val="L2-Bullet"/>
    <w:rsid w:val="001601A6"/>
    <w:pPr>
      <w:numPr>
        <w:numId w:val="8"/>
      </w:numPr>
      <w:ind w:left="1620"/>
    </w:pPr>
  </w:style>
  <w:style w:type="paragraph" w:customStyle="1" w:styleId="L3-Bullet">
    <w:name w:val="L3 - Bullet"/>
    <w:basedOn w:val="L2-Bullet"/>
    <w:rsid w:val="001601A6"/>
    <w:pPr>
      <w:ind w:left="2250"/>
    </w:pPr>
  </w:style>
  <w:style w:type="paragraph" w:customStyle="1" w:styleId="L3-Alphabet">
    <w:name w:val="L3 - Alphabet"/>
    <w:basedOn w:val="L3-Bullet"/>
    <w:rsid w:val="001601A6"/>
    <w:pPr>
      <w:numPr>
        <w:numId w:val="10"/>
      </w:numPr>
      <w:ind w:left="2250"/>
    </w:pPr>
  </w:style>
  <w:style w:type="paragraph" w:customStyle="1" w:styleId="L3-Numbered">
    <w:name w:val="L3 - Numbered"/>
    <w:basedOn w:val="L3-Bullet"/>
    <w:rsid w:val="001601A6"/>
    <w:pPr>
      <w:numPr>
        <w:numId w:val="11"/>
      </w:numPr>
      <w:ind w:left="2250"/>
    </w:pPr>
  </w:style>
  <w:style w:type="paragraph" w:customStyle="1" w:styleId="P0-ParagraphCenter">
    <w:name w:val="P0 - ParagraphCenter"/>
    <w:basedOn w:val="P0-Paragraph"/>
    <w:rsid w:val="001601A6"/>
    <w:pPr>
      <w:jc w:val="center"/>
    </w:pPr>
  </w:style>
  <w:style w:type="paragraph" w:customStyle="1" w:styleId="P1-Paragraph">
    <w:name w:val="P1 - Paragraph"/>
    <w:basedOn w:val="L1-Bullet"/>
    <w:rsid w:val="001601A6"/>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1601A6"/>
    <w:pPr>
      <w:ind w:left="634"/>
      <w:jc w:val="center"/>
    </w:pPr>
  </w:style>
  <w:style w:type="paragraph" w:customStyle="1" w:styleId="P2-Paragraph">
    <w:name w:val="P2 - Paragraph"/>
    <w:basedOn w:val="P1-Paragraph"/>
    <w:rsid w:val="001601A6"/>
    <w:pPr>
      <w:ind w:left="1260"/>
    </w:pPr>
  </w:style>
  <w:style w:type="paragraph" w:customStyle="1" w:styleId="P2-ParagraphCenter">
    <w:name w:val="P2 - ParagraphCenter"/>
    <w:basedOn w:val="P2-Paragraph"/>
    <w:rsid w:val="001601A6"/>
    <w:pPr>
      <w:ind w:left="1267"/>
      <w:jc w:val="center"/>
    </w:pPr>
  </w:style>
  <w:style w:type="paragraph" w:customStyle="1" w:styleId="QS-Quote">
    <w:name w:val="QS - Quote"/>
    <w:basedOn w:val="P0-Paragraph"/>
    <w:rsid w:val="001601A6"/>
    <w:pPr>
      <w:shd w:val="clear" w:color="auto" w:fill="FFFF00"/>
      <w:spacing w:after="126"/>
      <w:ind w:left="540"/>
    </w:pPr>
    <w:rPr>
      <w:i/>
      <w:sz w:val="22"/>
    </w:rPr>
  </w:style>
  <w:style w:type="paragraph" w:customStyle="1" w:styleId="QS-Cite">
    <w:name w:val="QS - Cite"/>
    <w:basedOn w:val="QS-Quote"/>
    <w:next w:val="P0-Paragraph"/>
    <w:rsid w:val="001601A6"/>
    <w:pPr>
      <w:ind w:left="547"/>
      <w:jc w:val="right"/>
    </w:pPr>
  </w:style>
  <w:style w:type="paragraph" w:customStyle="1" w:styleId="T0-TipBox">
    <w:name w:val="T0 - TipBox"/>
    <w:basedOn w:val="I0-InfoBox"/>
    <w:qFormat/>
    <w:rsid w:val="001601A6"/>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1601A6"/>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1601A6"/>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1601A6"/>
  </w:style>
  <w:style w:type="paragraph" w:customStyle="1" w:styleId="T0-TipBoxCenter">
    <w:name w:val="T0 - TipBoxCenter"/>
    <w:basedOn w:val="T0-TipBox"/>
    <w:rsid w:val="001601A6"/>
    <w:pPr>
      <w:jc w:val="center"/>
    </w:pPr>
  </w:style>
  <w:style w:type="paragraph" w:customStyle="1" w:styleId="T0-TipBoxCode">
    <w:name w:val="T0 - TipBoxCode"/>
    <w:basedOn w:val="I0-InfoBoxCode"/>
    <w:rsid w:val="001601A6"/>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1601A6"/>
    <w:pPr>
      <w:shd w:val="clear" w:color="auto" w:fill="282A36"/>
    </w:pPr>
    <w:rPr>
      <w:color w:val="F8F8F2"/>
    </w:rPr>
  </w:style>
  <w:style w:type="paragraph" w:customStyle="1" w:styleId="T0-TipBoxNumberedList">
    <w:name w:val="T0 - TipBoxNumberedList"/>
    <w:basedOn w:val="T0-TipBoxBullet"/>
    <w:rsid w:val="001601A6"/>
    <w:pPr>
      <w:numPr>
        <w:numId w:val="14"/>
      </w:numPr>
      <w:ind w:left="360"/>
    </w:pPr>
  </w:style>
  <w:style w:type="paragraph" w:customStyle="1" w:styleId="T0-Table">
    <w:name w:val="T0 - Table"/>
    <w:basedOn w:val="Normal"/>
    <w:rsid w:val="001601A6"/>
    <w:pPr>
      <w:spacing w:after="126"/>
    </w:pPr>
    <w:rPr>
      <w:rFonts w:ascii="Crimson Pro" w:hAnsi="Crimson Pro" w:cs="Arial"/>
      <w:bCs/>
      <w:kern w:val="0"/>
      <w:sz w:val="20"/>
      <w14:ligatures w14:val="none"/>
    </w:rPr>
  </w:style>
  <w:style w:type="paragraph" w:customStyle="1" w:styleId="T0-TableBullet">
    <w:name w:val="T0 - TableBullet"/>
    <w:basedOn w:val="L1-Bullet"/>
    <w:qFormat/>
    <w:rsid w:val="001601A6"/>
    <w:pPr>
      <w:spacing w:before="60" w:after="60"/>
      <w:ind w:left="432" w:right="72"/>
    </w:pPr>
    <w:rPr>
      <w:sz w:val="20"/>
      <w:lang w:eastAsia="ar-SA"/>
    </w:rPr>
  </w:style>
  <w:style w:type="paragraph" w:customStyle="1" w:styleId="T0-TableFigure">
    <w:name w:val="T0 - TableFigure"/>
    <w:basedOn w:val="T0-Table"/>
    <w:next w:val="Normal"/>
    <w:qFormat/>
    <w:rsid w:val="001601A6"/>
    <w:pPr>
      <w:spacing w:before="120" w:after="120"/>
      <w:jc w:val="center"/>
    </w:pPr>
    <w:rPr>
      <w:sz w:val="16"/>
    </w:rPr>
  </w:style>
  <w:style w:type="paragraph" w:customStyle="1" w:styleId="T0-TableCaption">
    <w:name w:val="T0 - TableCaption"/>
    <w:basedOn w:val="T0-TableFigure"/>
    <w:next w:val="T0-Table"/>
    <w:rsid w:val="001601A6"/>
  </w:style>
  <w:style w:type="paragraph" w:customStyle="1" w:styleId="T0-TableCenter">
    <w:name w:val="T0 - TableCenter"/>
    <w:basedOn w:val="T0-Table"/>
    <w:rsid w:val="001601A6"/>
    <w:pPr>
      <w:jc w:val="center"/>
    </w:pPr>
  </w:style>
  <w:style w:type="paragraph" w:customStyle="1" w:styleId="T0-TableCode">
    <w:name w:val="T0 - TableCode"/>
    <w:basedOn w:val="T0-Table"/>
    <w:rsid w:val="001601A6"/>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1601A6"/>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1601A6"/>
    <w:pPr>
      <w:numPr>
        <w:numId w:val="16"/>
      </w:numPr>
    </w:pPr>
  </w:style>
  <w:style w:type="paragraph" w:styleId="HTMLPreformatted">
    <w:name w:val="HTML Preformatted"/>
    <w:basedOn w:val="Normal"/>
    <w:link w:val="HTMLPreformattedChar"/>
    <w:uiPriority w:val="99"/>
    <w:semiHidden/>
    <w:unhideWhenUsed/>
    <w:rsid w:val="001601A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01A6"/>
    <w:rPr>
      <w:rFonts w:ascii="Consolas" w:eastAsiaTheme="minorHAnsi" w:hAnsi="Consolas" w:cstheme="minorBidi"/>
      <w:kern w:val="2"/>
      <w14:ligatures w14:val="standardContextual"/>
    </w:rPr>
  </w:style>
  <w:style w:type="character" w:customStyle="1" w:styleId="TitleChar">
    <w:name w:val="Title Char"/>
    <w:basedOn w:val="DefaultParagraphFont"/>
    <w:link w:val="Title"/>
    <w:uiPriority w:val="10"/>
    <w:rsid w:val="001601A6"/>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1601A6"/>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1601A6"/>
    <w:pPr>
      <w:ind w:left="720"/>
      <w:contextualSpacing/>
    </w:pPr>
  </w:style>
  <w:style w:type="paragraph" w:styleId="Quote">
    <w:name w:val="Quote"/>
    <w:basedOn w:val="Normal"/>
    <w:next w:val="Normal"/>
    <w:link w:val="QuoteChar"/>
    <w:uiPriority w:val="29"/>
    <w:qFormat/>
    <w:rsid w:val="001601A6"/>
    <w:pPr>
      <w:spacing w:before="160"/>
      <w:jc w:val="center"/>
    </w:pPr>
    <w:rPr>
      <w:i/>
      <w:iCs/>
      <w:color w:val="404040" w:themeColor="text1" w:themeTint="BF"/>
    </w:rPr>
  </w:style>
  <w:style w:type="character" w:customStyle="1" w:styleId="QuoteChar">
    <w:name w:val="Quote Char"/>
    <w:basedOn w:val="DefaultParagraphFont"/>
    <w:link w:val="Quote"/>
    <w:uiPriority w:val="29"/>
    <w:rsid w:val="001601A6"/>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601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01A6"/>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Emphasis">
    <w:name w:val="Intense Emphasis"/>
    <w:basedOn w:val="DefaultParagraphFont"/>
    <w:uiPriority w:val="21"/>
    <w:qFormat/>
    <w:rsid w:val="001601A6"/>
    <w:rPr>
      <w:i/>
      <w:iCs/>
      <w:color w:val="365F91" w:themeColor="accent1" w:themeShade="BF"/>
    </w:rPr>
  </w:style>
  <w:style w:type="character" w:styleId="IntenseReference">
    <w:name w:val="Intense Reference"/>
    <w:basedOn w:val="DefaultParagraphFont"/>
    <w:uiPriority w:val="32"/>
    <w:qFormat/>
    <w:rsid w:val="001601A6"/>
    <w:rPr>
      <w:b/>
      <w:bCs/>
      <w:smallCaps/>
      <w:color w:val="365F91" w:themeColor="accent1" w:themeShade="BF"/>
      <w:spacing w:val="5"/>
    </w:rPr>
  </w:style>
  <w:style w:type="paragraph" w:styleId="NoSpacing">
    <w:name w:val="No Spacing"/>
    <w:uiPriority w:val="1"/>
    <w:qFormat/>
    <w:rsid w:val="001601A6"/>
    <w:pPr>
      <w:spacing w:before="0" w:after="0"/>
    </w:pPr>
    <w:rPr>
      <w:rFonts w:asciiTheme="minorHAnsi" w:eastAsiaTheme="minorHAnsi" w:hAnsiTheme="minorHAnsi" w:cstheme="minorBidi"/>
      <w:kern w:val="2"/>
      <w:sz w:val="24"/>
      <w:szCs w:val="24"/>
      <w14:ligatures w14:val="standardContextual"/>
    </w:rPr>
  </w:style>
  <w:style w:type="paragraph" w:customStyle="1" w:styleId="EQ-Normal">
    <w:name w:val="EQ - Normal"/>
    <w:rsid w:val="001601A6"/>
    <w:pPr>
      <w:spacing w:before="0" w:after="0" w:line="278" w:lineRule="auto"/>
    </w:pPr>
    <w:rPr>
      <w:rFonts w:ascii="Book Antiqua" w:eastAsia="Times New Roman" w:hAnsi="Book Antiqua" w:cs="Times New Roman"/>
      <w:sz w:val="19"/>
      <w:szCs w:val="24"/>
    </w:rPr>
  </w:style>
  <w:style w:type="character" w:customStyle="1" w:styleId="EQ-Ruler">
    <w:name w:val="EQ - Ruler"/>
    <w:basedOn w:val="DefaultParagraphFont"/>
    <w:uiPriority w:val="1"/>
    <w:rsid w:val="001601A6"/>
    <w:rPr>
      <w:rFonts w:ascii="Book Antiqua" w:hAnsi="Book Antiqua"/>
      <w:position w:val="490"/>
      <w:sz w:val="10"/>
    </w:rPr>
  </w:style>
  <w:style w:type="paragraph" w:customStyle="1" w:styleId="EQ-Small">
    <w:name w:val="EQ - Small"/>
    <w:rsid w:val="001601A6"/>
    <w:pPr>
      <w:spacing w:before="0" w:after="0" w:line="278" w:lineRule="auto"/>
    </w:pPr>
    <w:rPr>
      <w:rFonts w:ascii="Book Antiqua" w:eastAsia="Times New Roman" w:hAnsi="Book Antiqua" w:cs="Times New Roman"/>
      <w:sz w:val="18"/>
      <w:szCs w:val="24"/>
    </w:rPr>
  </w:style>
  <w:style w:type="character" w:styleId="PlaceholderText">
    <w:name w:val="Placeholder Text"/>
    <w:basedOn w:val="DefaultParagraphFont"/>
    <w:uiPriority w:val="99"/>
    <w:semiHidden/>
    <w:rsid w:val="001601A6"/>
    <w:rPr>
      <w:color w:val="666666"/>
    </w:rPr>
  </w:style>
  <w:style w:type="character" w:styleId="CommentReference">
    <w:name w:val="annotation reference"/>
    <w:basedOn w:val="DefaultParagraphFont"/>
    <w:uiPriority w:val="99"/>
    <w:semiHidden/>
    <w:unhideWhenUsed/>
    <w:rsid w:val="001601A6"/>
    <w:rPr>
      <w:sz w:val="16"/>
      <w:szCs w:val="16"/>
    </w:rPr>
  </w:style>
  <w:style w:type="paragraph" w:styleId="CommentText">
    <w:name w:val="annotation text"/>
    <w:basedOn w:val="Normal"/>
    <w:link w:val="CommentTextChar"/>
    <w:uiPriority w:val="99"/>
    <w:semiHidden/>
    <w:unhideWhenUsed/>
    <w:rsid w:val="001601A6"/>
    <w:pPr>
      <w:spacing w:line="240" w:lineRule="auto"/>
    </w:pPr>
    <w:rPr>
      <w:sz w:val="20"/>
      <w:szCs w:val="20"/>
    </w:rPr>
  </w:style>
  <w:style w:type="character" w:customStyle="1" w:styleId="CommentTextChar">
    <w:name w:val="Comment Text Char"/>
    <w:basedOn w:val="DefaultParagraphFont"/>
    <w:link w:val="CommentText"/>
    <w:uiPriority w:val="99"/>
    <w:semiHidden/>
    <w:rsid w:val="001601A6"/>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1601A6"/>
    <w:rPr>
      <w:b/>
      <w:bCs/>
    </w:rPr>
  </w:style>
  <w:style w:type="character" w:customStyle="1" w:styleId="CommentSubjectChar">
    <w:name w:val="Comment Subject Char"/>
    <w:basedOn w:val="CommentTextChar"/>
    <w:link w:val="CommentSubject"/>
    <w:uiPriority w:val="99"/>
    <w:semiHidden/>
    <w:rsid w:val="001601A6"/>
    <w:rPr>
      <w:rFonts w:asciiTheme="minorHAnsi" w:eastAsiaTheme="minorHAnsi" w:hAnsiTheme="minorHAnsi" w:cstheme="minorBidi"/>
      <w:b/>
      <w:bCs/>
      <w:kern w:val="2"/>
      <w14:ligatures w14:val="standardContextual"/>
    </w:rPr>
  </w:style>
  <w:style w:type="character" w:customStyle="1" w:styleId="IC-Icon-Packt">
    <w:name w:val="IC - Icon-Packt"/>
    <w:basedOn w:val="CS-Italic"/>
    <w:uiPriority w:val="1"/>
    <w:qFormat/>
    <w:rsid w:val="001601A6"/>
    <w:rPr>
      <w:i w:val="0"/>
      <w:color w:val="000000" w:themeColor="text1"/>
    </w:rPr>
  </w:style>
  <w:style w:type="paragraph" w:customStyle="1" w:styleId="I1-InfoBox">
    <w:name w:val="I1 - InfoBox"/>
    <w:basedOn w:val="I0-InfoBox"/>
    <w:qFormat/>
    <w:rsid w:val="001601A6"/>
    <w:pPr>
      <w:ind w:left="454"/>
    </w:pPr>
  </w:style>
  <w:style w:type="paragraph" w:customStyle="1" w:styleId="I1-InfoBoxBullet">
    <w:name w:val="I1 - InfoBoxBullet"/>
    <w:basedOn w:val="I0-InfoBoxBullet"/>
    <w:qFormat/>
    <w:rsid w:val="001601A6"/>
    <w:pPr>
      <w:ind w:left="811" w:hanging="357"/>
    </w:pPr>
  </w:style>
  <w:style w:type="paragraph" w:customStyle="1" w:styleId="I1-InfoBoxCaption">
    <w:name w:val="I1 - InfoBoxCaption"/>
    <w:basedOn w:val="I0-InfoBoxCaption"/>
    <w:qFormat/>
    <w:rsid w:val="001601A6"/>
    <w:pPr>
      <w:ind w:left="454"/>
    </w:pPr>
  </w:style>
  <w:style w:type="paragraph" w:customStyle="1" w:styleId="I1-InfoBoxCenter">
    <w:name w:val="I1 - InfoBoxCenter"/>
    <w:basedOn w:val="I0-InfoBoxCenter"/>
    <w:qFormat/>
    <w:rsid w:val="001601A6"/>
    <w:pPr>
      <w:ind w:left="454"/>
    </w:pPr>
  </w:style>
  <w:style w:type="paragraph" w:customStyle="1" w:styleId="I1-InfoBoxCode">
    <w:name w:val="I1 - InfoBoxCode"/>
    <w:basedOn w:val="I0-InfoBoxCode"/>
    <w:qFormat/>
    <w:rsid w:val="001601A6"/>
    <w:pPr>
      <w:ind w:left="454"/>
    </w:pPr>
  </w:style>
  <w:style w:type="paragraph" w:customStyle="1" w:styleId="I1-InfoBoxConsole">
    <w:name w:val="I1 - InfoBoxConsole"/>
    <w:basedOn w:val="I0-InfoBoxConsole"/>
    <w:qFormat/>
    <w:rsid w:val="001601A6"/>
    <w:pPr>
      <w:ind w:left="454"/>
    </w:pPr>
  </w:style>
  <w:style w:type="paragraph" w:customStyle="1" w:styleId="I1-InfoBoxFigure">
    <w:name w:val="I1 - InfoBoxFigure"/>
    <w:basedOn w:val="I0-InfoBoxFigure"/>
    <w:qFormat/>
    <w:rsid w:val="001601A6"/>
    <w:pPr>
      <w:ind w:left="454"/>
    </w:pPr>
  </w:style>
  <w:style w:type="paragraph" w:customStyle="1" w:styleId="I1-InfoBoxNumberedList">
    <w:name w:val="I1 - InfoBoxNumberedList"/>
    <w:basedOn w:val="I0-InfoBoxNumberedList"/>
    <w:qFormat/>
    <w:rsid w:val="001601A6"/>
    <w:pPr>
      <w:ind w:left="811" w:hanging="357"/>
    </w:pPr>
  </w:style>
  <w:style w:type="paragraph" w:customStyle="1" w:styleId="I2-InfoBox">
    <w:name w:val="I2 - InfoBox"/>
    <w:basedOn w:val="I1-InfoBox"/>
    <w:qFormat/>
    <w:rsid w:val="001601A6"/>
    <w:pPr>
      <w:ind w:left="794"/>
    </w:pPr>
  </w:style>
  <w:style w:type="paragraph" w:customStyle="1" w:styleId="I2-InfoBoxBullet">
    <w:name w:val="I2 - InfoBoxBullet"/>
    <w:basedOn w:val="I1-InfoBoxBullet"/>
    <w:qFormat/>
    <w:rsid w:val="001601A6"/>
    <w:pPr>
      <w:ind w:left="1151"/>
    </w:pPr>
  </w:style>
  <w:style w:type="paragraph" w:customStyle="1" w:styleId="I2-InfoBoxCaption">
    <w:name w:val="I2 - InfoBoxCaption"/>
    <w:basedOn w:val="I1-InfoBoxCaption"/>
    <w:qFormat/>
    <w:rsid w:val="001601A6"/>
    <w:pPr>
      <w:ind w:left="794"/>
    </w:pPr>
  </w:style>
  <w:style w:type="paragraph" w:customStyle="1" w:styleId="I2-InfoBoxCenter">
    <w:name w:val="I2 - InfoBoxCenter"/>
    <w:basedOn w:val="I1-InfoBoxCenter"/>
    <w:qFormat/>
    <w:rsid w:val="001601A6"/>
    <w:pPr>
      <w:ind w:left="794"/>
    </w:pPr>
  </w:style>
  <w:style w:type="paragraph" w:customStyle="1" w:styleId="I2-InfoBoxCode">
    <w:name w:val="I2 - InfoBoxCode"/>
    <w:basedOn w:val="I1-InfoBoxCode"/>
    <w:qFormat/>
    <w:rsid w:val="001601A6"/>
    <w:pPr>
      <w:ind w:left="794"/>
    </w:pPr>
  </w:style>
  <w:style w:type="paragraph" w:customStyle="1" w:styleId="I2-InfoBoxConsole">
    <w:name w:val="I2 - InfoBoxConsole"/>
    <w:basedOn w:val="I1-InfoBoxConsole"/>
    <w:qFormat/>
    <w:rsid w:val="001601A6"/>
    <w:pPr>
      <w:ind w:left="794"/>
    </w:pPr>
  </w:style>
  <w:style w:type="paragraph" w:customStyle="1" w:styleId="I2-InfoBoxFigure">
    <w:name w:val="I2 - InfoBoxFigure"/>
    <w:basedOn w:val="I1-InfoBoxFigure"/>
    <w:qFormat/>
    <w:rsid w:val="001601A6"/>
    <w:pPr>
      <w:ind w:left="794"/>
    </w:pPr>
  </w:style>
  <w:style w:type="paragraph" w:customStyle="1" w:styleId="I2-InfoBoxNumberedList">
    <w:name w:val="I2 - InfoBoxNumberedList"/>
    <w:basedOn w:val="I1-InfoBoxNumberedList"/>
    <w:qFormat/>
    <w:rsid w:val="001601A6"/>
    <w:pPr>
      <w:ind w:left="1151"/>
    </w:pPr>
  </w:style>
  <w:style w:type="paragraph" w:customStyle="1" w:styleId="T1-TipBox">
    <w:name w:val="T1 - TipBox"/>
    <w:basedOn w:val="T0-TipBox"/>
    <w:qFormat/>
    <w:rsid w:val="001601A6"/>
    <w:pPr>
      <w:ind w:left="454"/>
    </w:pPr>
  </w:style>
  <w:style w:type="paragraph" w:customStyle="1" w:styleId="T1-TipBoxBullet">
    <w:name w:val="T1 - TipBoxBullet"/>
    <w:basedOn w:val="T0-TipBoxBullet"/>
    <w:qFormat/>
    <w:rsid w:val="001601A6"/>
    <w:pPr>
      <w:ind w:left="811" w:hanging="357"/>
    </w:pPr>
  </w:style>
  <w:style w:type="paragraph" w:customStyle="1" w:styleId="T1-TipBoxCaption">
    <w:name w:val="T1 - TipBoxCaption"/>
    <w:basedOn w:val="T0-TipBoxCaption"/>
    <w:qFormat/>
    <w:rsid w:val="001601A6"/>
    <w:pPr>
      <w:ind w:left="454"/>
    </w:pPr>
  </w:style>
  <w:style w:type="paragraph" w:customStyle="1" w:styleId="T1-TipBoxCenter">
    <w:name w:val="T1 - TipBoxCenter"/>
    <w:basedOn w:val="T0-TipBoxCenter"/>
    <w:qFormat/>
    <w:rsid w:val="001601A6"/>
    <w:pPr>
      <w:ind w:left="454"/>
    </w:pPr>
  </w:style>
  <w:style w:type="paragraph" w:customStyle="1" w:styleId="T1-TipBoxCode">
    <w:name w:val="T1 - TipBoxCode"/>
    <w:basedOn w:val="T0-TipBoxCode"/>
    <w:qFormat/>
    <w:rsid w:val="001601A6"/>
    <w:pPr>
      <w:ind w:left="454"/>
    </w:pPr>
  </w:style>
  <w:style w:type="paragraph" w:customStyle="1" w:styleId="T1-TipBoxConsole">
    <w:name w:val="T1 - TipBoxConsole"/>
    <w:basedOn w:val="T0-TipBoxConsole"/>
    <w:qFormat/>
    <w:rsid w:val="001601A6"/>
    <w:pPr>
      <w:ind w:left="454"/>
    </w:pPr>
  </w:style>
  <w:style w:type="paragraph" w:customStyle="1" w:styleId="T1-TipBoxFigure">
    <w:name w:val="T1 - TipBoxFigure"/>
    <w:basedOn w:val="T0-TipBoxFigure"/>
    <w:qFormat/>
    <w:rsid w:val="001601A6"/>
    <w:pPr>
      <w:ind w:left="454"/>
    </w:pPr>
  </w:style>
  <w:style w:type="paragraph" w:customStyle="1" w:styleId="T1-TipBoxNumberedList">
    <w:name w:val="T1 - TipBoxNumberedList"/>
    <w:basedOn w:val="T0-TipBoxNumberedList"/>
    <w:qFormat/>
    <w:rsid w:val="001601A6"/>
  </w:style>
  <w:style w:type="paragraph" w:customStyle="1" w:styleId="T2-TipBox">
    <w:name w:val="T2 - TipBox"/>
    <w:basedOn w:val="T1-TipBox"/>
    <w:qFormat/>
    <w:rsid w:val="001601A6"/>
    <w:pPr>
      <w:ind w:left="794"/>
    </w:pPr>
  </w:style>
  <w:style w:type="paragraph" w:customStyle="1" w:styleId="T2-TipBoxBullet">
    <w:name w:val="T2 - TipBoxBullet"/>
    <w:basedOn w:val="T1-TipBoxBullet"/>
    <w:qFormat/>
    <w:rsid w:val="001601A6"/>
    <w:pPr>
      <w:ind w:left="1151"/>
    </w:pPr>
  </w:style>
  <w:style w:type="paragraph" w:customStyle="1" w:styleId="T2-TipBoxCaption">
    <w:name w:val="T2 - TipBoxCaption"/>
    <w:basedOn w:val="T1-TipBoxCaption"/>
    <w:qFormat/>
    <w:rsid w:val="001601A6"/>
    <w:pPr>
      <w:ind w:left="794"/>
    </w:pPr>
  </w:style>
  <w:style w:type="paragraph" w:customStyle="1" w:styleId="T2-TipBoxCenter">
    <w:name w:val="T2 - TipBoxCenter"/>
    <w:basedOn w:val="T1-TipBoxCenter"/>
    <w:qFormat/>
    <w:rsid w:val="001601A6"/>
    <w:pPr>
      <w:ind w:left="794"/>
    </w:pPr>
  </w:style>
  <w:style w:type="paragraph" w:customStyle="1" w:styleId="T2-TipBoxCode">
    <w:name w:val="T2 - TipBoxCode"/>
    <w:basedOn w:val="T1-TipBoxCode"/>
    <w:qFormat/>
    <w:rsid w:val="001601A6"/>
    <w:pPr>
      <w:ind w:left="794"/>
    </w:pPr>
  </w:style>
  <w:style w:type="paragraph" w:customStyle="1" w:styleId="T2-TipBoxConsole">
    <w:name w:val="T2 - TipBoxConsole"/>
    <w:basedOn w:val="T1-TipBoxConsole"/>
    <w:qFormat/>
    <w:rsid w:val="001601A6"/>
    <w:pPr>
      <w:ind w:left="794"/>
    </w:pPr>
  </w:style>
  <w:style w:type="paragraph" w:customStyle="1" w:styleId="T2-TipBoxFigure">
    <w:name w:val="T2 - TipBoxFigure"/>
    <w:basedOn w:val="T1-TipBoxFigure"/>
    <w:qFormat/>
    <w:rsid w:val="001601A6"/>
    <w:pPr>
      <w:ind w:left="794"/>
    </w:pPr>
  </w:style>
  <w:style w:type="paragraph" w:customStyle="1" w:styleId="T2-TipBoxNumberedList">
    <w:name w:val="T2 - TipBoxNumberedList"/>
    <w:basedOn w:val="T1-TipBoxNumberedList"/>
    <w:qFormat/>
    <w:rsid w:val="001601A6"/>
    <w:pPr>
      <w:ind w:left="1151" w:hanging="357"/>
    </w:pPr>
  </w:style>
  <w:style w:type="paragraph" w:customStyle="1" w:styleId="T1-Table">
    <w:name w:val="T1 - Table"/>
    <w:basedOn w:val="T0-Table"/>
    <w:qFormat/>
    <w:rsid w:val="001601A6"/>
    <w:pPr>
      <w:ind w:left="454"/>
    </w:pPr>
  </w:style>
  <w:style w:type="paragraph" w:customStyle="1" w:styleId="T1-TableBullet">
    <w:name w:val="T1 - TableBullet"/>
    <w:basedOn w:val="T0-TableBullet"/>
    <w:qFormat/>
    <w:rsid w:val="001601A6"/>
    <w:pPr>
      <w:ind w:left="476" w:right="74" w:hanging="357"/>
    </w:pPr>
  </w:style>
  <w:style w:type="paragraph" w:customStyle="1" w:styleId="T1-TableCaption">
    <w:name w:val="T1 - TableCaption"/>
    <w:basedOn w:val="T0-TableCaption"/>
    <w:qFormat/>
    <w:rsid w:val="001601A6"/>
    <w:pPr>
      <w:ind w:left="454"/>
    </w:pPr>
  </w:style>
  <w:style w:type="paragraph" w:customStyle="1" w:styleId="T1-TableCenter">
    <w:name w:val="T1 - TableCenter"/>
    <w:basedOn w:val="T0-TableCenter"/>
    <w:qFormat/>
    <w:rsid w:val="001601A6"/>
    <w:pPr>
      <w:ind w:left="454"/>
    </w:pPr>
  </w:style>
  <w:style w:type="paragraph" w:customStyle="1" w:styleId="T1-TableFigure">
    <w:name w:val="T1 - TableFigure"/>
    <w:basedOn w:val="T0-TableFigure"/>
    <w:qFormat/>
    <w:rsid w:val="001601A6"/>
    <w:pPr>
      <w:ind w:left="454"/>
    </w:pPr>
  </w:style>
  <w:style w:type="paragraph" w:customStyle="1" w:styleId="T1-TableNumberedList">
    <w:name w:val="T1 - TableNumberedList"/>
    <w:basedOn w:val="T0-TableNumberedList"/>
    <w:qFormat/>
    <w:rsid w:val="001601A6"/>
    <w:pPr>
      <w:ind w:left="1242" w:right="74" w:hanging="357"/>
    </w:pPr>
  </w:style>
  <w:style w:type="paragraph" w:customStyle="1" w:styleId="T1-TableCode">
    <w:name w:val="T1 - TableCode"/>
    <w:basedOn w:val="T0-TableCode"/>
    <w:qFormat/>
    <w:rsid w:val="001601A6"/>
    <w:pPr>
      <w:ind w:left="278" w:right="232"/>
    </w:pPr>
  </w:style>
  <w:style w:type="paragraph" w:customStyle="1" w:styleId="T1-TableConsole">
    <w:name w:val="T1 - TableConsole"/>
    <w:basedOn w:val="T0-TableConsole"/>
    <w:qFormat/>
    <w:rsid w:val="001601A6"/>
    <w:pPr>
      <w:ind w:left="278" w:right="232"/>
    </w:pPr>
  </w:style>
  <w:style w:type="paragraph" w:customStyle="1" w:styleId="T2-Table">
    <w:name w:val="T2 - Table"/>
    <w:basedOn w:val="T0-Table"/>
    <w:qFormat/>
    <w:rsid w:val="001601A6"/>
    <w:pPr>
      <w:ind w:left="794"/>
    </w:pPr>
  </w:style>
  <w:style w:type="paragraph" w:customStyle="1" w:styleId="T2-TableBullet">
    <w:name w:val="T2 - TableBullet"/>
    <w:basedOn w:val="T0-TableBullet"/>
    <w:qFormat/>
    <w:rsid w:val="001601A6"/>
    <w:pPr>
      <w:ind w:left="1225" w:right="74" w:hanging="357"/>
    </w:pPr>
  </w:style>
  <w:style w:type="paragraph" w:customStyle="1" w:styleId="T2-TableCaption">
    <w:name w:val="T2 - TableCaption"/>
    <w:basedOn w:val="T0-TableCaption"/>
    <w:qFormat/>
    <w:rsid w:val="001601A6"/>
    <w:pPr>
      <w:ind w:left="794"/>
    </w:pPr>
  </w:style>
  <w:style w:type="paragraph" w:customStyle="1" w:styleId="T2-TableCenter">
    <w:name w:val="T2 - TableCenter"/>
    <w:basedOn w:val="T0-TableCenter"/>
    <w:qFormat/>
    <w:rsid w:val="001601A6"/>
    <w:pPr>
      <w:ind w:left="794"/>
    </w:pPr>
  </w:style>
  <w:style w:type="paragraph" w:customStyle="1" w:styleId="T2-TableCode">
    <w:name w:val="T2 - TableCode"/>
    <w:basedOn w:val="T0-TableCode"/>
    <w:qFormat/>
    <w:rsid w:val="001601A6"/>
    <w:pPr>
      <w:ind w:left="856" w:right="232"/>
    </w:pPr>
  </w:style>
  <w:style w:type="paragraph" w:customStyle="1" w:styleId="T2-TableConsole">
    <w:name w:val="T2 - TableConsole"/>
    <w:basedOn w:val="T0-TableConsole"/>
    <w:qFormat/>
    <w:rsid w:val="001601A6"/>
    <w:pPr>
      <w:ind w:left="856" w:right="232"/>
    </w:pPr>
  </w:style>
  <w:style w:type="paragraph" w:customStyle="1" w:styleId="T2-TableFigure">
    <w:name w:val="T2 - TableFigure"/>
    <w:basedOn w:val="T0-TipBoxFigure"/>
    <w:qFormat/>
    <w:rsid w:val="001601A6"/>
    <w:pPr>
      <w:ind w:left="794"/>
    </w:pPr>
  </w:style>
  <w:style w:type="paragraph" w:customStyle="1" w:styleId="T2-TableNumberedList">
    <w:name w:val="T2 - TableNumberedList"/>
    <w:basedOn w:val="T0-TableNumberedList"/>
    <w:qFormat/>
    <w:rsid w:val="001601A6"/>
    <w:pPr>
      <w:ind w:left="2149" w:right="74" w:hanging="357"/>
    </w:pPr>
  </w:style>
  <w:style w:type="paragraph" w:customStyle="1" w:styleId="FM-Dedication">
    <w:name w:val="FM - Dedication"/>
    <w:basedOn w:val="FM-CopyrightText"/>
    <w:qFormat/>
    <w:rsid w:val="001601A6"/>
    <w:pPr>
      <w:jc w:val="center"/>
    </w:pPr>
    <w:rPr>
      <w:i/>
    </w:rPr>
  </w:style>
  <w:style w:type="character" w:customStyle="1" w:styleId="CS-ColumnHeader">
    <w:name w:val="CS - ColumnHeader"/>
    <w:basedOn w:val="CS-Keyword"/>
    <w:uiPriority w:val="1"/>
    <w:qFormat/>
    <w:rsid w:val="001601A6"/>
    <w:rPr>
      <w:b/>
    </w:rPr>
  </w:style>
  <w:style w:type="character" w:customStyle="1" w:styleId="CS-RowHeader">
    <w:name w:val="CS - RowHeader"/>
    <w:basedOn w:val="CS-ColumnHeader"/>
    <w:uiPriority w:val="1"/>
    <w:qFormat/>
    <w:rsid w:val="001601A6"/>
    <w:rPr>
      <w:b/>
    </w:rPr>
  </w:style>
  <w:style w:type="paragraph" w:customStyle="1" w:styleId="Important0-ImportantBoxBullet">
    <w:name w:val="Important0 - ImportantBoxBullet"/>
    <w:basedOn w:val="I0-InfoBoxBullet"/>
    <w:link w:val="Important0-ImportantBoxBulletChar"/>
    <w:rsid w:val="001601A6"/>
    <w:rPr>
      <w:sz w:val="21"/>
    </w:rPr>
  </w:style>
  <w:style w:type="character" w:customStyle="1" w:styleId="P0-ParagraphChar">
    <w:name w:val="P0 - Paragraph Char"/>
    <w:basedOn w:val="DefaultParagraphFont"/>
    <w:link w:val="P0-Paragraph"/>
    <w:rsid w:val="001601A6"/>
    <w:rPr>
      <w:rFonts w:ascii="Crimson Pro" w:eastAsia="Times New Roman" w:hAnsi="Crimson Pro" w:cs="Times New Roman"/>
      <w:sz w:val="21"/>
      <w:szCs w:val="24"/>
    </w:rPr>
  </w:style>
  <w:style w:type="character" w:customStyle="1" w:styleId="Important0-ImportantBoxBulletChar">
    <w:name w:val="Important0 - ImportantBoxBullet Char"/>
    <w:basedOn w:val="P0-ParagraphChar"/>
    <w:link w:val="Important0-ImportantBoxBullet"/>
    <w:rsid w:val="001601A6"/>
    <w:rPr>
      <w:rFonts w:ascii="Crimson Pro" w:eastAsia="Times New Roman" w:hAnsi="Crimson Pro" w:cs="Times New Roman"/>
      <w:sz w:val="21"/>
      <w:szCs w:val="24"/>
      <w:shd w:val="clear" w:color="auto" w:fill="FFFFFF"/>
    </w:rPr>
  </w:style>
  <w:style w:type="paragraph" w:customStyle="1" w:styleId="Important0-ImportantBoxCenter">
    <w:name w:val="Important0 - ImportantBoxCenter"/>
    <w:basedOn w:val="I0-InfoBoxCenter"/>
    <w:link w:val="Important0-ImportantBoxCenterChar"/>
    <w:rsid w:val="001601A6"/>
    <w:rPr>
      <w:sz w:val="21"/>
    </w:rPr>
  </w:style>
  <w:style w:type="character" w:customStyle="1" w:styleId="Important0-ImportantBoxCenterChar">
    <w:name w:val="Important0 - ImportantBoxCenter Char"/>
    <w:basedOn w:val="P0-ParagraphChar"/>
    <w:link w:val="Important0-ImportantBoxCenter"/>
    <w:rsid w:val="001601A6"/>
    <w:rPr>
      <w:rFonts w:ascii="Crimson Pro" w:eastAsia="Times New Roman" w:hAnsi="Crimson Pro" w:cs="Times New Roman"/>
      <w:sz w:val="21"/>
      <w:szCs w:val="24"/>
      <w:shd w:val="clear" w:color="auto" w:fill="FFFFFF"/>
    </w:rPr>
  </w:style>
  <w:style w:type="paragraph" w:customStyle="1" w:styleId="Important0-ImportantBoxFigure">
    <w:name w:val="Important0 - ImportantBoxFigure"/>
    <w:basedOn w:val="I0-InfoBoxFigure"/>
    <w:link w:val="Important0-ImportantBoxFigureChar"/>
    <w:rsid w:val="001601A6"/>
  </w:style>
  <w:style w:type="character" w:customStyle="1" w:styleId="Important0-ImportantBoxFigureChar">
    <w:name w:val="Important0 - ImportantBoxFigure Char"/>
    <w:basedOn w:val="P0-ParagraphChar"/>
    <w:link w:val="Important0-ImportantBoxFigure"/>
    <w:rsid w:val="001601A6"/>
    <w:rPr>
      <w:rFonts w:ascii="Crimson Pro" w:eastAsia="Times New Roman" w:hAnsi="Crimson Pro" w:cs="Times New Roman"/>
      <w:sz w:val="16"/>
      <w:szCs w:val="24"/>
      <w:shd w:val="clear" w:color="auto" w:fill="FFFFFF"/>
    </w:rPr>
  </w:style>
  <w:style w:type="paragraph" w:customStyle="1" w:styleId="Important0-ImportantBoxCaption">
    <w:name w:val="Important0 - ImportantBoxCaption"/>
    <w:basedOn w:val="I0-InfoBoxCaption"/>
    <w:link w:val="Important0-ImportantBoxCaptionChar"/>
    <w:rsid w:val="001601A6"/>
  </w:style>
  <w:style w:type="character" w:customStyle="1" w:styleId="Important0-ImportantBoxCaptionChar">
    <w:name w:val="Important0 - ImportantBoxCaption Char"/>
    <w:basedOn w:val="P0-ParagraphChar"/>
    <w:link w:val="Important0-ImportantBoxCaption"/>
    <w:rsid w:val="001601A6"/>
    <w:rPr>
      <w:rFonts w:ascii="Crimson Pro" w:eastAsia="Times New Roman" w:hAnsi="Crimson Pro" w:cs="Times New Roman"/>
      <w:sz w:val="16"/>
      <w:szCs w:val="24"/>
      <w:shd w:val="clear" w:color="auto" w:fill="FFFFFF"/>
    </w:rPr>
  </w:style>
  <w:style w:type="paragraph" w:customStyle="1" w:styleId="Important0-ImportantBox">
    <w:name w:val="Important0 - ImportantBox"/>
    <w:basedOn w:val="I0-InfoBox"/>
    <w:link w:val="Important0-ImportantBoxChar"/>
    <w:rsid w:val="001601A6"/>
    <w:rPr>
      <w:sz w:val="21"/>
    </w:rPr>
  </w:style>
  <w:style w:type="character" w:customStyle="1" w:styleId="Important0-ImportantBoxChar">
    <w:name w:val="Important0 - ImportantBox Char"/>
    <w:basedOn w:val="P0-ParagraphChar"/>
    <w:link w:val="Important0-ImportantBox"/>
    <w:rsid w:val="001601A6"/>
    <w:rPr>
      <w:rFonts w:ascii="Crimson Pro" w:eastAsia="Times New Roman" w:hAnsi="Crimson Pro" w:cs="Times New Roman"/>
      <w:sz w:val="21"/>
      <w:szCs w:val="24"/>
      <w:shd w:val="clear" w:color="auto" w:fill="FFFFFF"/>
    </w:rPr>
  </w:style>
  <w:style w:type="paragraph" w:customStyle="1" w:styleId="Important0-ImportantBoxNumberedList">
    <w:name w:val="Important0 - ImportantBoxNumberedList"/>
    <w:basedOn w:val="I0-InfoBoxNumberedList"/>
    <w:link w:val="Important0-ImportantBoxNumberedListChar"/>
    <w:rsid w:val="001601A6"/>
    <w:rPr>
      <w:sz w:val="21"/>
    </w:rPr>
  </w:style>
  <w:style w:type="character" w:customStyle="1" w:styleId="Important0-ImportantBoxNumberedListChar">
    <w:name w:val="Important0 - ImportantBoxNumberedList Char"/>
    <w:basedOn w:val="P0-ParagraphChar"/>
    <w:link w:val="Important0-ImportantBoxNumberedList"/>
    <w:rsid w:val="001601A6"/>
    <w:rPr>
      <w:rFonts w:ascii="Crimson Pro" w:eastAsia="Times New Roman" w:hAnsi="Crimson Pro" w:cs="Times New Roman"/>
      <w:sz w:val="21"/>
      <w:szCs w:val="24"/>
      <w:shd w:val="clear" w:color="auto" w:fill="FFFFFF"/>
    </w:rPr>
  </w:style>
  <w:style w:type="paragraph" w:customStyle="1" w:styleId="Important0-ImportantBoxCode">
    <w:name w:val="Important0 - ImportantBoxCode"/>
    <w:basedOn w:val="I0-InfoBoxCode"/>
    <w:link w:val="Important0-ImportantBoxCodeChar"/>
    <w:rsid w:val="001601A6"/>
  </w:style>
  <w:style w:type="character" w:customStyle="1" w:styleId="Important0-ImportantBoxCodeChar">
    <w:name w:val="Important0 - ImportantBoxCode Char"/>
    <w:basedOn w:val="P0-ParagraphChar"/>
    <w:link w:val="Important0-ImportantBoxCode"/>
    <w:rsid w:val="001601A6"/>
    <w:rPr>
      <w:rFonts w:ascii="Consolas" w:eastAsia="Times New Roman" w:hAnsi="Consolas" w:cs="Times New Roman"/>
      <w:color w:val="383A42"/>
      <w:sz w:val="18"/>
      <w:szCs w:val="24"/>
      <w:shd w:val="clear" w:color="auto" w:fill="FAFAFA"/>
    </w:rPr>
  </w:style>
  <w:style w:type="paragraph" w:customStyle="1" w:styleId="Important0-ImportantBoxConsole">
    <w:name w:val="Important0 - ImportantBoxConsole"/>
    <w:basedOn w:val="I0-InfoBoxConsole"/>
    <w:link w:val="Important0-ImportantBoxConsoleChar"/>
    <w:rsid w:val="001601A6"/>
  </w:style>
  <w:style w:type="character" w:customStyle="1" w:styleId="Important0-ImportantBoxConsoleChar">
    <w:name w:val="Important0 - ImportantBoxConsole Char"/>
    <w:basedOn w:val="P0-ParagraphChar"/>
    <w:link w:val="Important0-ImportantBoxConsole"/>
    <w:rsid w:val="001601A6"/>
    <w:rPr>
      <w:rFonts w:ascii="Consolas" w:eastAsia="Times New Roman" w:hAnsi="Consolas" w:cs="Times New Roman"/>
      <w:color w:val="F8F8F2"/>
      <w:sz w:val="18"/>
      <w:szCs w:val="24"/>
      <w:shd w:val="clear" w:color="auto" w:fill="282A36"/>
    </w:rPr>
  </w:style>
  <w:style w:type="paragraph" w:customStyle="1" w:styleId="Important1-ImportantBoxBullet">
    <w:name w:val="Important1 - ImportantBoxBullet"/>
    <w:basedOn w:val="I1-InfoBoxBullet"/>
    <w:link w:val="Important1-ImportantBoxBulletChar"/>
    <w:rsid w:val="001601A6"/>
    <w:rPr>
      <w:sz w:val="21"/>
    </w:rPr>
  </w:style>
  <w:style w:type="character" w:customStyle="1" w:styleId="Important1-ImportantBoxBulletChar">
    <w:name w:val="Important1 - ImportantBoxBullet Char"/>
    <w:basedOn w:val="P0-ParagraphChar"/>
    <w:link w:val="Important1-ImportantBoxBullet"/>
    <w:rsid w:val="001601A6"/>
    <w:rPr>
      <w:rFonts w:ascii="Crimson Pro" w:eastAsia="Times New Roman" w:hAnsi="Crimson Pro" w:cs="Times New Roman"/>
      <w:sz w:val="21"/>
      <w:szCs w:val="24"/>
      <w:shd w:val="clear" w:color="auto" w:fill="FFFFFF"/>
    </w:rPr>
  </w:style>
  <w:style w:type="paragraph" w:customStyle="1" w:styleId="Important1-ImportantBoxCenter">
    <w:name w:val="Important1 - ImportantBoxCenter"/>
    <w:basedOn w:val="I1-InfoBoxCenter"/>
    <w:link w:val="Important1-ImportantBoxCenterChar"/>
    <w:rsid w:val="001601A6"/>
    <w:rPr>
      <w:sz w:val="21"/>
    </w:rPr>
  </w:style>
  <w:style w:type="character" w:customStyle="1" w:styleId="Important1-ImportantBoxCenterChar">
    <w:name w:val="Important1 - ImportantBoxCenter Char"/>
    <w:basedOn w:val="P0-ParagraphChar"/>
    <w:link w:val="Important1-ImportantBoxCenter"/>
    <w:rsid w:val="001601A6"/>
    <w:rPr>
      <w:rFonts w:ascii="Crimson Pro" w:eastAsia="Times New Roman" w:hAnsi="Crimson Pro" w:cs="Times New Roman"/>
      <w:sz w:val="21"/>
      <w:szCs w:val="24"/>
      <w:shd w:val="clear" w:color="auto" w:fill="FFFFFF"/>
    </w:rPr>
  </w:style>
  <w:style w:type="paragraph" w:customStyle="1" w:styleId="Important1-ImportantBoxFigure">
    <w:name w:val="Important1 - ImportantBoxFigure"/>
    <w:basedOn w:val="I1-InfoBoxFigure"/>
    <w:link w:val="Important1-ImportantBoxFigureChar"/>
    <w:rsid w:val="001601A6"/>
  </w:style>
  <w:style w:type="character" w:customStyle="1" w:styleId="Important1-ImportantBoxFigureChar">
    <w:name w:val="Important1 - ImportantBoxFigure Char"/>
    <w:basedOn w:val="P0-ParagraphChar"/>
    <w:link w:val="Important1-ImportantBoxFigure"/>
    <w:rsid w:val="001601A6"/>
    <w:rPr>
      <w:rFonts w:ascii="Crimson Pro" w:eastAsia="Times New Roman" w:hAnsi="Crimson Pro" w:cs="Times New Roman"/>
      <w:sz w:val="16"/>
      <w:szCs w:val="24"/>
      <w:shd w:val="clear" w:color="auto" w:fill="FFFFFF"/>
    </w:rPr>
  </w:style>
  <w:style w:type="paragraph" w:customStyle="1" w:styleId="Important1-ImportantBoxCaption">
    <w:name w:val="Important1 - ImportantBoxCaption"/>
    <w:basedOn w:val="I1-InfoBoxCaption"/>
    <w:link w:val="Important1-ImportantBoxCaptionChar"/>
    <w:rsid w:val="001601A6"/>
  </w:style>
  <w:style w:type="character" w:customStyle="1" w:styleId="Important1-ImportantBoxCaptionChar">
    <w:name w:val="Important1 - ImportantBoxCaption Char"/>
    <w:basedOn w:val="P0-ParagraphChar"/>
    <w:link w:val="Important1-ImportantBoxCaption"/>
    <w:rsid w:val="001601A6"/>
    <w:rPr>
      <w:rFonts w:ascii="Crimson Pro" w:eastAsia="Times New Roman" w:hAnsi="Crimson Pro" w:cs="Times New Roman"/>
      <w:sz w:val="16"/>
      <w:szCs w:val="24"/>
      <w:shd w:val="clear" w:color="auto" w:fill="FFFFFF"/>
    </w:rPr>
  </w:style>
  <w:style w:type="paragraph" w:customStyle="1" w:styleId="Important1-ImportantBox">
    <w:name w:val="Important1 - ImportantBox"/>
    <w:basedOn w:val="I1-InfoBox"/>
    <w:link w:val="Important1-ImportantBoxChar"/>
    <w:rsid w:val="001601A6"/>
    <w:rPr>
      <w:sz w:val="21"/>
    </w:rPr>
  </w:style>
  <w:style w:type="character" w:customStyle="1" w:styleId="Important1-ImportantBoxChar">
    <w:name w:val="Important1 - ImportantBox Char"/>
    <w:basedOn w:val="P0-ParagraphChar"/>
    <w:link w:val="Important1-ImportantBox"/>
    <w:rsid w:val="001601A6"/>
    <w:rPr>
      <w:rFonts w:ascii="Crimson Pro" w:eastAsia="Times New Roman" w:hAnsi="Crimson Pro" w:cs="Times New Roman"/>
      <w:sz w:val="21"/>
      <w:szCs w:val="24"/>
      <w:shd w:val="clear" w:color="auto" w:fill="FFFFFF"/>
    </w:rPr>
  </w:style>
  <w:style w:type="paragraph" w:customStyle="1" w:styleId="Important1-ImportantBoxNumberedList">
    <w:name w:val="Important1 - ImportantBoxNumberedList"/>
    <w:basedOn w:val="I1-InfoBoxNumberedList"/>
    <w:link w:val="Important1-ImportantBoxNumberedListChar"/>
    <w:rsid w:val="001601A6"/>
    <w:rPr>
      <w:sz w:val="21"/>
    </w:rPr>
  </w:style>
  <w:style w:type="character" w:customStyle="1" w:styleId="Important1-ImportantBoxNumberedListChar">
    <w:name w:val="Important1 - ImportantBoxNumberedList Char"/>
    <w:basedOn w:val="P0-ParagraphChar"/>
    <w:link w:val="Important1-ImportantBoxNumberedList"/>
    <w:rsid w:val="001601A6"/>
    <w:rPr>
      <w:rFonts w:ascii="Crimson Pro" w:eastAsia="Times New Roman" w:hAnsi="Crimson Pro" w:cs="Times New Roman"/>
      <w:sz w:val="21"/>
      <w:szCs w:val="24"/>
      <w:shd w:val="clear" w:color="auto" w:fill="FFFFFF"/>
    </w:rPr>
  </w:style>
  <w:style w:type="paragraph" w:customStyle="1" w:styleId="Important1-ImportantBoxCode">
    <w:name w:val="Important1 - ImportantBoxCode"/>
    <w:basedOn w:val="I1-InfoBoxCode"/>
    <w:link w:val="Important1-ImportantBoxCodeChar"/>
    <w:rsid w:val="001601A6"/>
  </w:style>
  <w:style w:type="character" w:customStyle="1" w:styleId="Important1-ImportantBoxCodeChar">
    <w:name w:val="Important1 - ImportantBoxCode Char"/>
    <w:basedOn w:val="P0-ParagraphChar"/>
    <w:link w:val="Important1-ImportantBoxCode"/>
    <w:rsid w:val="001601A6"/>
    <w:rPr>
      <w:rFonts w:ascii="Consolas" w:eastAsia="Times New Roman" w:hAnsi="Consolas" w:cs="Times New Roman"/>
      <w:color w:val="383A42"/>
      <w:sz w:val="18"/>
      <w:szCs w:val="24"/>
      <w:shd w:val="clear" w:color="auto" w:fill="FAFAFA"/>
    </w:rPr>
  </w:style>
  <w:style w:type="paragraph" w:customStyle="1" w:styleId="Important1-ImportantBoxConsole">
    <w:name w:val="Important1 - ImportantBoxConsole"/>
    <w:basedOn w:val="I1-InfoBoxConsole"/>
    <w:link w:val="Important1-ImportantBoxConsoleChar"/>
    <w:rsid w:val="001601A6"/>
  </w:style>
  <w:style w:type="character" w:customStyle="1" w:styleId="Important1-ImportantBoxConsoleChar">
    <w:name w:val="Important1 - ImportantBoxConsole Char"/>
    <w:basedOn w:val="P0-ParagraphChar"/>
    <w:link w:val="Important1-ImportantBoxConsole"/>
    <w:rsid w:val="001601A6"/>
    <w:rPr>
      <w:rFonts w:ascii="Consolas" w:eastAsia="Times New Roman" w:hAnsi="Consolas" w:cs="Times New Roman"/>
      <w:color w:val="F8F8F2"/>
      <w:sz w:val="18"/>
      <w:szCs w:val="24"/>
      <w:shd w:val="clear" w:color="auto" w:fill="282A36"/>
    </w:rPr>
  </w:style>
  <w:style w:type="paragraph" w:customStyle="1" w:styleId="Important2-ImportantBoxBullet">
    <w:name w:val="Important2 - ImportantBoxBullet"/>
    <w:basedOn w:val="I2-InfoBoxBullet"/>
    <w:link w:val="Important2-ImportantBoxBulletChar"/>
    <w:rsid w:val="001601A6"/>
    <w:rPr>
      <w:sz w:val="21"/>
    </w:rPr>
  </w:style>
  <w:style w:type="character" w:customStyle="1" w:styleId="Important2-ImportantBoxBulletChar">
    <w:name w:val="Important2 - ImportantBoxBullet Char"/>
    <w:basedOn w:val="P0-ParagraphChar"/>
    <w:link w:val="Important2-ImportantBoxBullet"/>
    <w:rsid w:val="001601A6"/>
    <w:rPr>
      <w:rFonts w:ascii="Crimson Pro" w:eastAsia="Times New Roman" w:hAnsi="Crimson Pro" w:cs="Times New Roman"/>
      <w:sz w:val="21"/>
      <w:szCs w:val="24"/>
      <w:shd w:val="clear" w:color="auto" w:fill="FFFFFF"/>
    </w:rPr>
  </w:style>
  <w:style w:type="paragraph" w:customStyle="1" w:styleId="Important2-ImportantBoxCenter">
    <w:name w:val="Important2 - ImportantBoxCenter"/>
    <w:basedOn w:val="I2-InfoBoxCenter"/>
    <w:link w:val="Important2-ImportantBoxCenterChar"/>
    <w:rsid w:val="001601A6"/>
    <w:rPr>
      <w:sz w:val="21"/>
    </w:rPr>
  </w:style>
  <w:style w:type="character" w:customStyle="1" w:styleId="Important2-ImportantBoxCenterChar">
    <w:name w:val="Important2 - ImportantBoxCenter Char"/>
    <w:basedOn w:val="P0-ParagraphChar"/>
    <w:link w:val="Important2-ImportantBoxCenter"/>
    <w:rsid w:val="001601A6"/>
    <w:rPr>
      <w:rFonts w:ascii="Crimson Pro" w:eastAsia="Times New Roman" w:hAnsi="Crimson Pro" w:cs="Times New Roman"/>
      <w:sz w:val="21"/>
      <w:szCs w:val="24"/>
      <w:shd w:val="clear" w:color="auto" w:fill="FFFFFF"/>
    </w:rPr>
  </w:style>
  <w:style w:type="paragraph" w:customStyle="1" w:styleId="Important2-ImportantBoxFigure">
    <w:name w:val="Important2 - ImportantBoxFigure"/>
    <w:basedOn w:val="I2-InfoBoxFigure"/>
    <w:link w:val="Important2-ImportantBoxFigureChar"/>
    <w:rsid w:val="001601A6"/>
  </w:style>
  <w:style w:type="character" w:customStyle="1" w:styleId="Important2-ImportantBoxFigureChar">
    <w:name w:val="Important2 - ImportantBoxFigure Char"/>
    <w:basedOn w:val="P0-ParagraphChar"/>
    <w:link w:val="Important2-ImportantBoxFigure"/>
    <w:rsid w:val="001601A6"/>
    <w:rPr>
      <w:rFonts w:ascii="Crimson Pro" w:eastAsia="Times New Roman" w:hAnsi="Crimson Pro" w:cs="Times New Roman"/>
      <w:sz w:val="16"/>
      <w:szCs w:val="24"/>
      <w:shd w:val="clear" w:color="auto" w:fill="FFFFFF"/>
    </w:rPr>
  </w:style>
  <w:style w:type="paragraph" w:customStyle="1" w:styleId="Important2-ImportantBoxCaption">
    <w:name w:val="Important2 - ImportantBoxCaption"/>
    <w:basedOn w:val="I2-InfoBoxCaption"/>
    <w:link w:val="Important2-ImportantBoxCaptionChar"/>
    <w:rsid w:val="001601A6"/>
  </w:style>
  <w:style w:type="character" w:customStyle="1" w:styleId="Important2-ImportantBoxCaptionChar">
    <w:name w:val="Important2 - ImportantBoxCaption Char"/>
    <w:basedOn w:val="P0-ParagraphChar"/>
    <w:link w:val="Important2-ImportantBoxCaption"/>
    <w:rsid w:val="001601A6"/>
    <w:rPr>
      <w:rFonts w:ascii="Crimson Pro" w:eastAsia="Times New Roman" w:hAnsi="Crimson Pro" w:cs="Times New Roman"/>
      <w:sz w:val="16"/>
      <w:szCs w:val="24"/>
      <w:shd w:val="clear" w:color="auto" w:fill="FFFFFF"/>
    </w:rPr>
  </w:style>
  <w:style w:type="paragraph" w:customStyle="1" w:styleId="Important2-ImportantBox">
    <w:name w:val="Important2 - ImportantBox"/>
    <w:basedOn w:val="I2-InfoBox"/>
    <w:link w:val="Important2-ImportantBoxChar"/>
    <w:rsid w:val="001601A6"/>
    <w:rPr>
      <w:sz w:val="21"/>
    </w:rPr>
  </w:style>
  <w:style w:type="character" w:customStyle="1" w:styleId="Important2-ImportantBoxChar">
    <w:name w:val="Important2 - ImportantBox Char"/>
    <w:basedOn w:val="P0-ParagraphChar"/>
    <w:link w:val="Important2-ImportantBox"/>
    <w:rsid w:val="001601A6"/>
    <w:rPr>
      <w:rFonts w:ascii="Crimson Pro" w:eastAsia="Times New Roman" w:hAnsi="Crimson Pro" w:cs="Times New Roman"/>
      <w:sz w:val="21"/>
      <w:szCs w:val="24"/>
      <w:shd w:val="clear" w:color="auto" w:fill="FFFFFF"/>
    </w:rPr>
  </w:style>
  <w:style w:type="paragraph" w:customStyle="1" w:styleId="Important2-ImportantBoxNumberedList">
    <w:name w:val="Important2 - ImportantBoxNumberedList"/>
    <w:basedOn w:val="I2-InfoBoxNumberedList"/>
    <w:link w:val="Important2-ImportantBoxNumberedListChar"/>
    <w:rsid w:val="001601A6"/>
    <w:rPr>
      <w:sz w:val="21"/>
    </w:rPr>
  </w:style>
  <w:style w:type="character" w:customStyle="1" w:styleId="Important2-ImportantBoxNumberedListChar">
    <w:name w:val="Important2 - ImportantBoxNumberedList Char"/>
    <w:basedOn w:val="P0-ParagraphChar"/>
    <w:link w:val="Important2-ImportantBoxNumberedList"/>
    <w:rsid w:val="001601A6"/>
    <w:rPr>
      <w:rFonts w:ascii="Crimson Pro" w:eastAsia="Times New Roman" w:hAnsi="Crimson Pro" w:cs="Times New Roman"/>
      <w:sz w:val="21"/>
      <w:szCs w:val="24"/>
      <w:shd w:val="clear" w:color="auto" w:fill="FFFFFF"/>
    </w:rPr>
  </w:style>
  <w:style w:type="paragraph" w:customStyle="1" w:styleId="Important2-ImportantBoxCode">
    <w:name w:val="Important2 - ImportantBoxCode"/>
    <w:basedOn w:val="I2-InfoBoxCode"/>
    <w:link w:val="Important2-ImportantBoxCodeChar"/>
    <w:rsid w:val="001601A6"/>
  </w:style>
  <w:style w:type="character" w:customStyle="1" w:styleId="Important2-ImportantBoxCodeChar">
    <w:name w:val="Important2 - ImportantBoxCode Char"/>
    <w:basedOn w:val="P0-ParagraphChar"/>
    <w:link w:val="Important2-ImportantBoxCode"/>
    <w:rsid w:val="001601A6"/>
    <w:rPr>
      <w:rFonts w:ascii="Consolas" w:eastAsia="Times New Roman" w:hAnsi="Consolas" w:cs="Times New Roman"/>
      <w:color w:val="383A42"/>
      <w:sz w:val="18"/>
      <w:szCs w:val="24"/>
      <w:shd w:val="clear" w:color="auto" w:fill="FAFAFA"/>
    </w:rPr>
  </w:style>
  <w:style w:type="paragraph" w:customStyle="1" w:styleId="Important2-ImportantBoxConsole">
    <w:name w:val="Important2 - ImportantBoxConsole"/>
    <w:basedOn w:val="I2-InfoBoxConsole"/>
    <w:link w:val="Important2-ImportantBoxConsoleChar"/>
    <w:rsid w:val="001601A6"/>
  </w:style>
  <w:style w:type="character" w:customStyle="1" w:styleId="Important2-ImportantBoxConsoleChar">
    <w:name w:val="Important2 - ImportantBoxConsole Char"/>
    <w:basedOn w:val="P0-ParagraphChar"/>
    <w:link w:val="Important2-ImportantBoxConsole"/>
    <w:rsid w:val="001601A6"/>
    <w:rPr>
      <w:rFonts w:ascii="Consolas" w:eastAsia="Times New Roman" w:hAnsi="Consolas" w:cs="Times New Roman"/>
      <w:color w:val="F8F8F2"/>
      <w:sz w:val="18"/>
      <w:szCs w:val="24"/>
      <w:shd w:val="clear" w:color="auto" w:fill="282A36"/>
    </w:rPr>
  </w:style>
  <w:style w:type="paragraph" w:customStyle="1" w:styleId="Caution0-CautionBoxBullet">
    <w:name w:val="Caution0 - CautionBoxBullet"/>
    <w:basedOn w:val="I0-InfoBoxBullet"/>
    <w:link w:val="Caution0-CautionBoxBulletChar"/>
    <w:rsid w:val="001601A6"/>
    <w:rPr>
      <w:sz w:val="21"/>
    </w:rPr>
  </w:style>
  <w:style w:type="character" w:customStyle="1" w:styleId="Caution0-CautionBoxBulletChar">
    <w:name w:val="Caution0 - CautionBoxBullet Char"/>
    <w:basedOn w:val="P0-ParagraphChar"/>
    <w:link w:val="Caution0-CautionBoxBullet"/>
    <w:rsid w:val="001601A6"/>
    <w:rPr>
      <w:rFonts w:ascii="Crimson Pro" w:eastAsia="Times New Roman" w:hAnsi="Crimson Pro" w:cs="Times New Roman"/>
      <w:sz w:val="21"/>
      <w:szCs w:val="24"/>
      <w:shd w:val="clear" w:color="auto" w:fill="FFFFFF"/>
    </w:rPr>
  </w:style>
  <w:style w:type="paragraph" w:customStyle="1" w:styleId="Caution0-CautionBoxCenter">
    <w:name w:val="Caution0 - CautionBoxCenter"/>
    <w:basedOn w:val="I0-InfoBoxCenter"/>
    <w:link w:val="Caution0-CautionBoxCenterChar"/>
    <w:rsid w:val="001601A6"/>
    <w:rPr>
      <w:sz w:val="21"/>
    </w:rPr>
  </w:style>
  <w:style w:type="character" w:customStyle="1" w:styleId="Caution0-CautionBoxCenterChar">
    <w:name w:val="Caution0 - CautionBoxCenter Char"/>
    <w:basedOn w:val="P0-ParagraphChar"/>
    <w:link w:val="Caution0-CautionBoxCenter"/>
    <w:rsid w:val="001601A6"/>
    <w:rPr>
      <w:rFonts w:ascii="Crimson Pro" w:eastAsia="Times New Roman" w:hAnsi="Crimson Pro" w:cs="Times New Roman"/>
      <w:sz w:val="21"/>
      <w:szCs w:val="24"/>
      <w:shd w:val="clear" w:color="auto" w:fill="FFFFFF"/>
    </w:rPr>
  </w:style>
  <w:style w:type="paragraph" w:customStyle="1" w:styleId="Caution0-CautionBoxFigure">
    <w:name w:val="Caution0 - CautionBoxFigure"/>
    <w:basedOn w:val="I0-InfoBoxFigure"/>
    <w:link w:val="Caution0-CautionBoxFigureChar"/>
    <w:rsid w:val="001601A6"/>
  </w:style>
  <w:style w:type="character" w:customStyle="1" w:styleId="Caution0-CautionBoxFigureChar">
    <w:name w:val="Caution0 - CautionBoxFigure Char"/>
    <w:basedOn w:val="P0-ParagraphChar"/>
    <w:link w:val="Caution0-CautionBoxFigure"/>
    <w:rsid w:val="001601A6"/>
    <w:rPr>
      <w:rFonts w:ascii="Crimson Pro" w:eastAsia="Times New Roman" w:hAnsi="Crimson Pro" w:cs="Times New Roman"/>
      <w:sz w:val="16"/>
      <w:szCs w:val="24"/>
      <w:shd w:val="clear" w:color="auto" w:fill="FFFFFF"/>
    </w:rPr>
  </w:style>
  <w:style w:type="paragraph" w:customStyle="1" w:styleId="Caution0-CautionBoxCaption">
    <w:name w:val="Caution0 - CautionBoxCaption"/>
    <w:basedOn w:val="I0-InfoBoxCaption"/>
    <w:link w:val="Caution0-CautionBoxCaptionChar"/>
    <w:rsid w:val="001601A6"/>
  </w:style>
  <w:style w:type="character" w:customStyle="1" w:styleId="Caution0-CautionBoxCaptionChar">
    <w:name w:val="Caution0 - CautionBoxCaption Char"/>
    <w:basedOn w:val="P0-ParagraphChar"/>
    <w:link w:val="Caution0-CautionBoxCaption"/>
    <w:rsid w:val="001601A6"/>
    <w:rPr>
      <w:rFonts w:ascii="Crimson Pro" w:eastAsia="Times New Roman" w:hAnsi="Crimson Pro" w:cs="Times New Roman"/>
      <w:sz w:val="16"/>
      <w:szCs w:val="24"/>
      <w:shd w:val="clear" w:color="auto" w:fill="FFFFFF"/>
    </w:rPr>
  </w:style>
  <w:style w:type="paragraph" w:customStyle="1" w:styleId="Caution0-CautionBox">
    <w:name w:val="Caution0 - CautionBox"/>
    <w:basedOn w:val="I0-InfoBox"/>
    <w:link w:val="Caution0-CautionBoxChar"/>
    <w:rsid w:val="001601A6"/>
    <w:rPr>
      <w:sz w:val="21"/>
    </w:rPr>
  </w:style>
  <w:style w:type="character" w:customStyle="1" w:styleId="Caution0-CautionBoxChar">
    <w:name w:val="Caution0 - CautionBox Char"/>
    <w:basedOn w:val="P0-ParagraphChar"/>
    <w:link w:val="Caution0-CautionBox"/>
    <w:rsid w:val="001601A6"/>
    <w:rPr>
      <w:rFonts w:ascii="Crimson Pro" w:eastAsia="Times New Roman" w:hAnsi="Crimson Pro" w:cs="Times New Roman"/>
      <w:sz w:val="21"/>
      <w:szCs w:val="24"/>
      <w:shd w:val="clear" w:color="auto" w:fill="FFFFFF"/>
    </w:rPr>
  </w:style>
  <w:style w:type="paragraph" w:customStyle="1" w:styleId="Caution0-CautionBoxNumberedList">
    <w:name w:val="Caution0 - CautionBoxNumberedList"/>
    <w:basedOn w:val="I0-InfoBoxNumberedList"/>
    <w:link w:val="Caution0-CautionBoxNumberedListChar"/>
    <w:rsid w:val="001601A6"/>
    <w:rPr>
      <w:sz w:val="21"/>
    </w:rPr>
  </w:style>
  <w:style w:type="character" w:customStyle="1" w:styleId="Caution0-CautionBoxNumberedListChar">
    <w:name w:val="Caution0 - CautionBoxNumberedList Char"/>
    <w:basedOn w:val="P0-ParagraphChar"/>
    <w:link w:val="Caution0-CautionBoxNumberedList"/>
    <w:rsid w:val="001601A6"/>
    <w:rPr>
      <w:rFonts w:ascii="Crimson Pro" w:eastAsia="Times New Roman" w:hAnsi="Crimson Pro" w:cs="Times New Roman"/>
      <w:sz w:val="21"/>
      <w:szCs w:val="24"/>
      <w:shd w:val="clear" w:color="auto" w:fill="FFFFFF"/>
    </w:rPr>
  </w:style>
  <w:style w:type="paragraph" w:customStyle="1" w:styleId="Caution0-CautionBoxCode">
    <w:name w:val="Caution0 - CautionBoxCode"/>
    <w:basedOn w:val="I0-InfoBoxCode"/>
    <w:link w:val="Caution0-CautionBoxCodeChar"/>
    <w:rsid w:val="001601A6"/>
  </w:style>
  <w:style w:type="character" w:customStyle="1" w:styleId="Caution0-CautionBoxCodeChar">
    <w:name w:val="Caution0 - CautionBoxCode Char"/>
    <w:basedOn w:val="P0-ParagraphChar"/>
    <w:link w:val="Caution0-CautionBoxCode"/>
    <w:rsid w:val="001601A6"/>
    <w:rPr>
      <w:rFonts w:ascii="Consolas" w:eastAsia="Times New Roman" w:hAnsi="Consolas" w:cs="Times New Roman"/>
      <w:color w:val="383A42"/>
      <w:sz w:val="18"/>
      <w:szCs w:val="24"/>
      <w:shd w:val="clear" w:color="auto" w:fill="FAFAFA"/>
    </w:rPr>
  </w:style>
  <w:style w:type="paragraph" w:customStyle="1" w:styleId="Caution0-CautionBoxConsole">
    <w:name w:val="Caution0 - CautionBoxConsole"/>
    <w:basedOn w:val="I0-InfoBoxConsole"/>
    <w:link w:val="Caution0-CautionBoxConsoleChar"/>
    <w:rsid w:val="001601A6"/>
  </w:style>
  <w:style w:type="character" w:customStyle="1" w:styleId="Caution0-CautionBoxConsoleChar">
    <w:name w:val="Caution0 - CautionBoxConsole Char"/>
    <w:basedOn w:val="P0-ParagraphChar"/>
    <w:link w:val="Caution0-CautionBoxConsole"/>
    <w:rsid w:val="001601A6"/>
    <w:rPr>
      <w:rFonts w:ascii="Consolas" w:eastAsia="Times New Roman" w:hAnsi="Consolas" w:cs="Times New Roman"/>
      <w:color w:val="F8F8F2"/>
      <w:sz w:val="18"/>
      <w:szCs w:val="24"/>
      <w:shd w:val="clear" w:color="auto" w:fill="282A36"/>
    </w:rPr>
  </w:style>
  <w:style w:type="paragraph" w:customStyle="1" w:styleId="Caution1-CautionBoxBullet">
    <w:name w:val="Caution1 - CautionBoxBullet"/>
    <w:basedOn w:val="I1-InfoBoxBullet"/>
    <w:link w:val="Caution1-CautionBoxBulletChar"/>
    <w:rsid w:val="001601A6"/>
    <w:rPr>
      <w:sz w:val="21"/>
    </w:rPr>
  </w:style>
  <w:style w:type="character" w:customStyle="1" w:styleId="Caution1-CautionBoxBulletChar">
    <w:name w:val="Caution1 - CautionBoxBullet Char"/>
    <w:basedOn w:val="P0-ParagraphChar"/>
    <w:link w:val="Caution1-CautionBoxBullet"/>
    <w:rsid w:val="001601A6"/>
    <w:rPr>
      <w:rFonts w:ascii="Crimson Pro" w:eastAsia="Times New Roman" w:hAnsi="Crimson Pro" w:cs="Times New Roman"/>
      <w:sz w:val="21"/>
      <w:szCs w:val="24"/>
      <w:shd w:val="clear" w:color="auto" w:fill="FFFFFF"/>
    </w:rPr>
  </w:style>
  <w:style w:type="paragraph" w:customStyle="1" w:styleId="Caution1-CautionBoxCenter">
    <w:name w:val="Caution1 - CautionBoxCenter"/>
    <w:basedOn w:val="I1-InfoBoxCenter"/>
    <w:link w:val="Caution1-CautionBoxCenterChar"/>
    <w:rsid w:val="001601A6"/>
    <w:rPr>
      <w:sz w:val="21"/>
    </w:rPr>
  </w:style>
  <w:style w:type="character" w:customStyle="1" w:styleId="Caution1-CautionBoxCenterChar">
    <w:name w:val="Caution1 - CautionBoxCenter Char"/>
    <w:basedOn w:val="P0-ParagraphChar"/>
    <w:link w:val="Caution1-CautionBoxCenter"/>
    <w:rsid w:val="001601A6"/>
    <w:rPr>
      <w:rFonts w:ascii="Crimson Pro" w:eastAsia="Times New Roman" w:hAnsi="Crimson Pro" w:cs="Times New Roman"/>
      <w:sz w:val="21"/>
      <w:szCs w:val="24"/>
      <w:shd w:val="clear" w:color="auto" w:fill="FFFFFF"/>
    </w:rPr>
  </w:style>
  <w:style w:type="paragraph" w:customStyle="1" w:styleId="Caution1-CautionBoxFigure">
    <w:name w:val="Caution1 - CautionBoxFigure"/>
    <w:basedOn w:val="I1-InfoBoxFigure"/>
    <w:link w:val="Caution1-CautionBoxFigureChar"/>
    <w:rsid w:val="001601A6"/>
  </w:style>
  <w:style w:type="character" w:customStyle="1" w:styleId="Caution1-CautionBoxFigureChar">
    <w:name w:val="Caution1 - CautionBoxFigure Char"/>
    <w:basedOn w:val="P0-ParagraphChar"/>
    <w:link w:val="Caution1-CautionBoxFigure"/>
    <w:rsid w:val="001601A6"/>
    <w:rPr>
      <w:rFonts w:ascii="Crimson Pro" w:eastAsia="Times New Roman" w:hAnsi="Crimson Pro" w:cs="Times New Roman"/>
      <w:sz w:val="16"/>
      <w:szCs w:val="24"/>
      <w:shd w:val="clear" w:color="auto" w:fill="FFFFFF"/>
    </w:rPr>
  </w:style>
  <w:style w:type="paragraph" w:customStyle="1" w:styleId="Caution1-CautionBoxCaption">
    <w:name w:val="Caution1 - CautionBoxCaption"/>
    <w:basedOn w:val="I1-InfoBoxCaption"/>
    <w:link w:val="Caution1-CautionBoxCaptionChar"/>
    <w:rsid w:val="001601A6"/>
  </w:style>
  <w:style w:type="character" w:customStyle="1" w:styleId="Caution1-CautionBoxCaptionChar">
    <w:name w:val="Caution1 - CautionBoxCaption Char"/>
    <w:basedOn w:val="P0-ParagraphChar"/>
    <w:link w:val="Caution1-CautionBoxCaption"/>
    <w:rsid w:val="001601A6"/>
    <w:rPr>
      <w:rFonts w:ascii="Crimson Pro" w:eastAsia="Times New Roman" w:hAnsi="Crimson Pro" w:cs="Times New Roman"/>
      <w:sz w:val="16"/>
      <w:szCs w:val="24"/>
      <w:shd w:val="clear" w:color="auto" w:fill="FFFFFF"/>
    </w:rPr>
  </w:style>
  <w:style w:type="paragraph" w:customStyle="1" w:styleId="Caution1-CautionBox">
    <w:name w:val="Caution1 - CautionBox"/>
    <w:basedOn w:val="I1-InfoBox"/>
    <w:link w:val="Caution1-CautionBoxChar"/>
    <w:rsid w:val="001601A6"/>
    <w:rPr>
      <w:sz w:val="21"/>
    </w:rPr>
  </w:style>
  <w:style w:type="character" w:customStyle="1" w:styleId="Caution1-CautionBoxChar">
    <w:name w:val="Caution1 - CautionBox Char"/>
    <w:basedOn w:val="P0-ParagraphChar"/>
    <w:link w:val="Caution1-CautionBox"/>
    <w:rsid w:val="001601A6"/>
    <w:rPr>
      <w:rFonts w:ascii="Crimson Pro" w:eastAsia="Times New Roman" w:hAnsi="Crimson Pro" w:cs="Times New Roman"/>
      <w:sz w:val="21"/>
      <w:szCs w:val="24"/>
      <w:shd w:val="clear" w:color="auto" w:fill="FFFFFF"/>
    </w:rPr>
  </w:style>
  <w:style w:type="paragraph" w:customStyle="1" w:styleId="Caution1-CautionBoxNumberedList">
    <w:name w:val="Caution1 - CautionBoxNumberedList"/>
    <w:basedOn w:val="I1-InfoBoxNumberedList"/>
    <w:link w:val="Caution1-CautionBoxNumberedListChar"/>
    <w:rsid w:val="001601A6"/>
    <w:rPr>
      <w:sz w:val="21"/>
    </w:rPr>
  </w:style>
  <w:style w:type="character" w:customStyle="1" w:styleId="Caution1-CautionBoxNumberedListChar">
    <w:name w:val="Caution1 - CautionBoxNumberedList Char"/>
    <w:basedOn w:val="P0-ParagraphChar"/>
    <w:link w:val="Caution1-CautionBoxNumberedList"/>
    <w:rsid w:val="001601A6"/>
    <w:rPr>
      <w:rFonts w:ascii="Crimson Pro" w:eastAsia="Times New Roman" w:hAnsi="Crimson Pro" w:cs="Times New Roman"/>
      <w:sz w:val="21"/>
      <w:szCs w:val="24"/>
      <w:shd w:val="clear" w:color="auto" w:fill="FFFFFF"/>
    </w:rPr>
  </w:style>
  <w:style w:type="paragraph" w:customStyle="1" w:styleId="Caution1-CautionBoxCode">
    <w:name w:val="Caution1 - CautionBoxCode"/>
    <w:basedOn w:val="I1-InfoBoxCode"/>
    <w:link w:val="Caution1-CautionBoxCodeChar"/>
    <w:rsid w:val="001601A6"/>
  </w:style>
  <w:style w:type="character" w:customStyle="1" w:styleId="Caution1-CautionBoxCodeChar">
    <w:name w:val="Caution1 - CautionBoxCode Char"/>
    <w:basedOn w:val="P0-ParagraphChar"/>
    <w:link w:val="Caution1-CautionBoxCode"/>
    <w:rsid w:val="001601A6"/>
    <w:rPr>
      <w:rFonts w:ascii="Consolas" w:eastAsia="Times New Roman" w:hAnsi="Consolas" w:cs="Times New Roman"/>
      <w:color w:val="383A42"/>
      <w:sz w:val="18"/>
      <w:szCs w:val="24"/>
      <w:shd w:val="clear" w:color="auto" w:fill="FAFAFA"/>
    </w:rPr>
  </w:style>
  <w:style w:type="paragraph" w:customStyle="1" w:styleId="Caution1-CautionBoxConsole">
    <w:name w:val="Caution1 - CautionBoxConsole"/>
    <w:basedOn w:val="I1-InfoBoxConsole"/>
    <w:link w:val="Caution1-CautionBoxConsoleChar"/>
    <w:rsid w:val="001601A6"/>
  </w:style>
  <w:style w:type="character" w:customStyle="1" w:styleId="Caution1-CautionBoxConsoleChar">
    <w:name w:val="Caution1 - CautionBoxConsole Char"/>
    <w:basedOn w:val="P0-ParagraphChar"/>
    <w:link w:val="Caution1-CautionBoxConsole"/>
    <w:rsid w:val="001601A6"/>
    <w:rPr>
      <w:rFonts w:ascii="Consolas" w:eastAsia="Times New Roman" w:hAnsi="Consolas" w:cs="Times New Roman"/>
      <w:color w:val="F8F8F2"/>
      <w:sz w:val="18"/>
      <w:szCs w:val="24"/>
      <w:shd w:val="clear" w:color="auto" w:fill="282A36"/>
    </w:rPr>
  </w:style>
  <w:style w:type="paragraph" w:customStyle="1" w:styleId="Caution2-CautionBoxBullet">
    <w:name w:val="Caution2 - CautionBoxBullet"/>
    <w:basedOn w:val="I2-InfoBoxBullet"/>
    <w:link w:val="Caution2-CautionBoxBulletChar"/>
    <w:rsid w:val="001601A6"/>
    <w:rPr>
      <w:sz w:val="21"/>
    </w:rPr>
  </w:style>
  <w:style w:type="character" w:customStyle="1" w:styleId="Caution2-CautionBoxBulletChar">
    <w:name w:val="Caution2 - CautionBoxBullet Char"/>
    <w:basedOn w:val="P0-ParagraphChar"/>
    <w:link w:val="Caution2-CautionBoxBullet"/>
    <w:rsid w:val="001601A6"/>
    <w:rPr>
      <w:rFonts w:ascii="Crimson Pro" w:eastAsia="Times New Roman" w:hAnsi="Crimson Pro" w:cs="Times New Roman"/>
      <w:sz w:val="21"/>
      <w:szCs w:val="24"/>
      <w:shd w:val="clear" w:color="auto" w:fill="FFFFFF"/>
    </w:rPr>
  </w:style>
  <w:style w:type="paragraph" w:customStyle="1" w:styleId="Caution2-CautionBoxCenter">
    <w:name w:val="Caution2 - CautionBoxCenter"/>
    <w:basedOn w:val="I2-InfoBoxCenter"/>
    <w:link w:val="Caution2-CautionBoxCenterChar"/>
    <w:rsid w:val="001601A6"/>
    <w:rPr>
      <w:sz w:val="21"/>
    </w:rPr>
  </w:style>
  <w:style w:type="character" w:customStyle="1" w:styleId="Caution2-CautionBoxCenterChar">
    <w:name w:val="Caution2 - CautionBoxCenter Char"/>
    <w:basedOn w:val="P0-ParagraphChar"/>
    <w:link w:val="Caution2-CautionBoxCenter"/>
    <w:rsid w:val="001601A6"/>
    <w:rPr>
      <w:rFonts w:ascii="Crimson Pro" w:eastAsia="Times New Roman" w:hAnsi="Crimson Pro" w:cs="Times New Roman"/>
      <w:sz w:val="21"/>
      <w:szCs w:val="24"/>
      <w:shd w:val="clear" w:color="auto" w:fill="FFFFFF"/>
    </w:rPr>
  </w:style>
  <w:style w:type="paragraph" w:customStyle="1" w:styleId="Caution2-CautionBoxFigure">
    <w:name w:val="Caution2 - CautionBoxFigure"/>
    <w:basedOn w:val="I2-InfoBoxFigure"/>
    <w:link w:val="Caution2-CautionBoxFigureChar"/>
    <w:rsid w:val="001601A6"/>
  </w:style>
  <w:style w:type="character" w:customStyle="1" w:styleId="Caution2-CautionBoxFigureChar">
    <w:name w:val="Caution2 - CautionBoxFigure Char"/>
    <w:basedOn w:val="P0-ParagraphChar"/>
    <w:link w:val="Caution2-CautionBoxFigure"/>
    <w:rsid w:val="001601A6"/>
    <w:rPr>
      <w:rFonts w:ascii="Crimson Pro" w:eastAsia="Times New Roman" w:hAnsi="Crimson Pro" w:cs="Times New Roman"/>
      <w:sz w:val="16"/>
      <w:szCs w:val="24"/>
      <w:shd w:val="clear" w:color="auto" w:fill="FFFFFF"/>
    </w:rPr>
  </w:style>
  <w:style w:type="paragraph" w:customStyle="1" w:styleId="Caution2-CautionBoxCaption">
    <w:name w:val="Caution2 - CautionBoxCaption"/>
    <w:basedOn w:val="I2-InfoBoxCaption"/>
    <w:link w:val="Caution2-CautionBoxCaptionChar"/>
    <w:rsid w:val="001601A6"/>
  </w:style>
  <w:style w:type="character" w:customStyle="1" w:styleId="Caution2-CautionBoxCaptionChar">
    <w:name w:val="Caution2 - CautionBoxCaption Char"/>
    <w:basedOn w:val="P0-ParagraphChar"/>
    <w:link w:val="Caution2-CautionBoxCaption"/>
    <w:rsid w:val="001601A6"/>
    <w:rPr>
      <w:rFonts w:ascii="Crimson Pro" w:eastAsia="Times New Roman" w:hAnsi="Crimson Pro" w:cs="Times New Roman"/>
      <w:sz w:val="16"/>
      <w:szCs w:val="24"/>
      <w:shd w:val="clear" w:color="auto" w:fill="FFFFFF"/>
    </w:rPr>
  </w:style>
  <w:style w:type="paragraph" w:customStyle="1" w:styleId="Caution2-CautionBox">
    <w:name w:val="Caution2 - CautionBox"/>
    <w:basedOn w:val="I2-InfoBox"/>
    <w:link w:val="Caution2-CautionBoxChar"/>
    <w:rsid w:val="001601A6"/>
    <w:rPr>
      <w:sz w:val="21"/>
    </w:rPr>
  </w:style>
  <w:style w:type="character" w:customStyle="1" w:styleId="Caution2-CautionBoxChar">
    <w:name w:val="Caution2 - CautionBox Char"/>
    <w:basedOn w:val="P0-ParagraphChar"/>
    <w:link w:val="Caution2-CautionBox"/>
    <w:rsid w:val="001601A6"/>
    <w:rPr>
      <w:rFonts w:ascii="Crimson Pro" w:eastAsia="Times New Roman" w:hAnsi="Crimson Pro" w:cs="Times New Roman"/>
      <w:sz w:val="21"/>
      <w:szCs w:val="24"/>
      <w:shd w:val="clear" w:color="auto" w:fill="FFFFFF"/>
    </w:rPr>
  </w:style>
  <w:style w:type="paragraph" w:customStyle="1" w:styleId="Caution2-CautionBoxNumberedList">
    <w:name w:val="Caution2 - CautionBoxNumberedList"/>
    <w:basedOn w:val="I2-InfoBoxNumberedList"/>
    <w:link w:val="Caution2-CautionBoxNumberedListChar"/>
    <w:rsid w:val="001601A6"/>
    <w:rPr>
      <w:sz w:val="21"/>
    </w:rPr>
  </w:style>
  <w:style w:type="character" w:customStyle="1" w:styleId="Caution2-CautionBoxNumberedListChar">
    <w:name w:val="Caution2 - CautionBoxNumberedList Char"/>
    <w:basedOn w:val="P0-ParagraphChar"/>
    <w:link w:val="Caution2-CautionBoxNumberedList"/>
    <w:rsid w:val="001601A6"/>
    <w:rPr>
      <w:rFonts w:ascii="Crimson Pro" w:eastAsia="Times New Roman" w:hAnsi="Crimson Pro" w:cs="Times New Roman"/>
      <w:sz w:val="21"/>
      <w:szCs w:val="24"/>
      <w:shd w:val="clear" w:color="auto" w:fill="FFFFFF"/>
    </w:rPr>
  </w:style>
  <w:style w:type="paragraph" w:customStyle="1" w:styleId="Caution2-CautionBoxCode">
    <w:name w:val="Caution2 - CautionBoxCode"/>
    <w:basedOn w:val="I2-InfoBoxCode"/>
    <w:link w:val="Caution2-CautionBoxCodeChar"/>
    <w:rsid w:val="001601A6"/>
  </w:style>
  <w:style w:type="character" w:customStyle="1" w:styleId="Caution2-CautionBoxCodeChar">
    <w:name w:val="Caution2 - CautionBoxCode Char"/>
    <w:basedOn w:val="P0-ParagraphChar"/>
    <w:link w:val="Caution2-CautionBoxCode"/>
    <w:rsid w:val="001601A6"/>
    <w:rPr>
      <w:rFonts w:ascii="Consolas" w:eastAsia="Times New Roman" w:hAnsi="Consolas" w:cs="Times New Roman"/>
      <w:color w:val="383A42"/>
      <w:sz w:val="18"/>
      <w:szCs w:val="24"/>
      <w:shd w:val="clear" w:color="auto" w:fill="FAFAFA"/>
    </w:rPr>
  </w:style>
  <w:style w:type="paragraph" w:customStyle="1" w:styleId="Caution2-CautionBoxConsole">
    <w:name w:val="Caution2 - CautionBoxConsole"/>
    <w:basedOn w:val="I2-InfoBoxConsole"/>
    <w:link w:val="Caution2-CautionBoxConsoleChar"/>
    <w:rsid w:val="001601A6"/>
  </w:style>
  <w:style w:type="character" w:customStyle="1" w:styleId="Caution2-CautionBoxConsoleChar">
    <w:name w:val="Caution2 - CautionBoxConsole Char"/>
    <w:basedOn w:val="P0-ParagraphChar"/>
    <w:link w:val="Caution2-CautionBoxConsole"/>
    <w:rsid w:val="001601A6"/>
    <w:rPr>
      <w:rFonts w:ascii="Consolas" w:eastAsia="Times New Roman" w:hAnsi="Consolas" w:cs="Times New Roman"/>
      <w:color w:val="F8F8F2"/>
      <w:sz w:val="18"/>
      <w:szCs w:val="24"/>
      <w:shd w:val="clear" w:color="auto" w:fill="282A36"/>
    </w:rPr>
  </w:style>
  <w:style w:type="paragraph" w:customStyle="1" w:styleId="AIHelper0-AIHelperBoxBullet">
    <w:name w:val="AI Helper0 - AIHelperBoxBullet"/>
    <w:basedOn w:val="I0-InfoBoxBullet"/>
    <w:link w:val="AIHelper0-AIHelperBoxBulletChar"/>
    <w:rsid w:val="001601A6"/>
    <w:rPr>
      <w:sz w:val="21"/>
    </w:rPr>
  </w:style>
  <w:style w:type="character" w:customStyle="1" w:styleId="AIHelper0-AIHelperBoxBulletChar">
    <w:name w:val="AI Helper0 - AIHelperBoxBullet Char"/>
    <w:basedOn w:val="P0-ParagraphChar"/>
    <w:link w:val="AIHelper0-AIHelperBoxBullet"/>
    <w:rsid w:val="001601A6"/>
    <w:rPr>
      <w:rFonts w:ascii="Crimson Pro" w:eastAsia="Times New Roman" w:hAnsi="Crimson Pro" w:cs="Times New Roman"/>
      <w:sz w:val="21"/>
      <w:szCs w:val="24"/>
      <w:shd w:val="clear" w:color="auto" w:fill="FFFFFF"/>
    </w:rPr>
  </w:style>
  <w:style w:type="paragraph" w:customStyle="1" w:styleId="AIHelper0-AIHelperBoxCenter">
    <w:name w:val="AI Helper0 - AIHelperBoxCenter"/>
    <w:basedOn w:val="I0-InfoBoxCenter"/>
    <w:link w:val="AIHelper0-AIHelperBoxCenterChar"/>
    <w:rsid w:val="001601A6"/>
    <w:rPr>
      <w:sz w:val="21"/>
    </w:rPr>
  </w:style>
  <w:style w:type="character" w:customStyle="1" w:styleId="AIHelper0-AIHelperBoxCenterChar">
    <w:name w:val="AI Helper0 - AIHelperBoxCenter Char"/>
    <w:basedOn w:val="P0-ParagraphChar"/>
    <w:link w:val="AIHelper0-AIHelperBoxCenter"/>
    <w:rsid w:val="001601A6"/>
    <w:rPr>
      <w:rFonts w:ascii="Crimson Pro" w:eastAsia="Times New Roman" w:hAnsi="Crimson Pro" w:cs="Times New Roman"/>
      <w:sz w:val="21"/>
      <w:szCs w:val="24"/>
      <w:shd w:val="clear" w:color="auto" w:fill="FFFFFF"/>
    </w:rPr>
  </w:style>
  <w:style w:type="paragraph" w:customStyle="1" w:styleId="AIHelper0-AIHelperBoxFigure">
    <w:name w:val="AI Helper0 - AIHelperBoxFigure"/>
    <w:basedOn w:val="I0-InfoBoxFigure"/>
    <w:link w:val="AIHelper0-AIHelperBoxFigureChar"/>
    <w:rsid w:val="001601A6"/>
  </w:style>
  <w:style w:type="character" w:customStyle="1" w:styleId="AIHelper0-AIHelperBoxFigureChar">
    <w:name w:val="AI Helper0 - AIHelperBoxFigure Char"/>
    <w:basedOn w:val="P0-ParagraphChar"/>
    <w:link w:val="AIHelper0-AIHelperBoxFigure"/>
    <w:rsid w:val="001601A6"/>
    <w:rPr>
      <w:rFonts w:ascii="Crimson Pro" w:eastAsia="Times New Roman" w:hAnsi="Crimson Pro" w:cs="Times New Roman"/>
      <w:sz w:val="16"/>
      <w:szCs w:val="24"/>
      <w:shd w:val="clear" w:color="auto" w:fill="FFFFFF"/>
    </w:rPr>
  </w:style>
  <w:style w:type="paragraph" w:customStyle="1" w:styleId="AIHelper0-AIHelperBoxCaption">
    <w:name w:val="AI Helper0 - AIHelperBoxCaption"/>
    <w:basedOn w:val="I0-InfoBoxCaption"/>
    <w:link w:val="AIHelper0-AIHelperBoxCaptionChar"/>
    <w:rsid w:val="001601A6"/>
  </w:style>
  <w:style w:type="character" w:customStyle="1" w:styleId="AIHelper0-AIHelperBoxCaptionChar">
    <w:name w:val="AI Helper0 - AIHelperBoxCaption Char"/>
    <w:basedOn w:val="P0-ParagraphChar"/>
    <w:link w:val="AIHelper0-AIHelperBoxCaption"/>
    <w:rsid w:val="001601A6"/>
    <w:rPr>
      <w:rFonts w:ascii="Crimson Pro" w:eastAsia="Times New Roman" w:hAnsi="Crimson Pro" w:cs="Times New Roman"/>
      <w:sz w:val="16"/>
      <w:szCs w:val="24"/>
      <w:shd w:val="clear" w:color="auto" w:fill="FFFFFF"/>
    </w:rPr>
  </w:style>
  <w:style w:type="paragraph" w:customStyle="1" w:styleId="AIHelper0-AIHelperBox">
    <w:name w:val="AI Helper0 - AIHelperBox"/>
    <w:basedOn w:val="I0-InfoBox"/>
    <w:link w:val="AIHelper0-AIHelperBoxChar"/>
    <w:rsid w:val="001601A6"/>
    <w:rPr>
      <w:sz w:val="21"/>
    </w:rPr>
  </w:style>
  <w:style w:type="character" w:customStyle="1" w:styleId="AIHelper0-AIHelperBoxChar">
    <w:name w:val="AI Helper0 - AIHelperBox Char"/>
    <w:basedOn w:val="P0-ParagraphChar"/>
    <w:link w:val="AIHelper0-AIHelperBox"/>
    <w:rsid w:val="001601A6"/>
    <w:rPr>
      <w:rFonts w:ascii="Crimson Pro" w:eastAsia="Times New Roman" w:hAnsi="Crimson Pro" w:cs="Times New Roman"/>
      <w:sz w:val="21"/>
      <w:szCs w:val="24"/>
      <w:shd w:val="clear" w:color="auto" w:fill="FFFFFF"/>
    </w:rPr>
  </w:style>
  <w:style w:type="paragraph" w:customStyle="1" w:styleId="AIHelper0-AIHelperBoxNumberedList">
    <w:name w:val="AI Helper0 - AIHelperBoxNumberedList"/>
    <w:basedOn w:val="I0-InfoBoxNumberedList"/>
    <w:link w:val="AIHelper0-AIHelperBoxNumberedListChar"/>
    <w:rsid w:val="001601A6"/>
    <w:rPr>
      <w:sz w:val="21"/>
    </w:rPr>
  </w:style>
  <w:style w:type="character" w:customStyle="1" w:styleId="AIHelper0-AIHelperBoxNumberedListChar">
    <w:name w:val="AI Helper0 - AIHelperBoxNumberedList Char"/>
    <w:basedOn w:val="P0-ParagraphChar"/>
    <w:link w:val="AIHelper0-AIHelperBoxNumberedList"/>
    <w:rsid w:val="001601A6"/>
    <w:rPr>
      <w:rFonts w:ascii="Crimson Pro" w:eastAsia="Times New Roman" w:hAnsi="Crimson Pro" w:cs="Times New Roman"/>
      <w:sz w:val="21"/>
      <w:szCs w:val="24"/>
      <w:shd w:val="clear" w:color="auto" w:fill="FFFFFF"/>
    </w:rPr>
  </w:style>
  <w:style w:type="paragraph" w:customStyle="1" w:styleId="AIHelper0-AIHelperBoxCode">
    <w:name w:val="AI Helper0 - AIHelperBoxCode"/>
    <w:basedOn w:val="I0-InfoBoxCode"/>
    <w:link w:val="AIHelper0-AIHelperBoxCodeChar"/>
    <w:rsid w:val="001601A6"/>
  </w:style>
  <w:style w:type="character" w:customStyle="1" w:styleId="AIHelper0-AIHelperBoxCodeChar">
    <w:name w:val="AI Helper0 - AIHelperBoxCode Char"/>
    <w:basedOn w:val="P0-ParagraphChar"/>
    <w:link w:val="AIHelper0-AIHelperBoxCode"/>
    <w:rsid w:val="001601A6"/>
    <w:rPr>
      <w:rFonts w:ascii="Consolas" w:eastAsia="Times New Roman" w:hAnsi="Consolas" w:cs="Times New Roman"/>
      <w:color w:val="383A42"/>
      <w:sz w:val="18"/>
      <w:szCs w:val="24"/>
      <w:shd w:val="clear" w:color="auto" w:fill="FAFAFA"/>
    </w:rPr>
  </w:style>
  <w:style w:type="paragraph" w:customStyle="1" w:styleId="AIHelper0-AIHelperBoxConsole">
    <w:name w:val="AI Helper0 - AIHelperBoxConsole"/>
    <w:basedOn w:val="I0-InfoBoxConsole"/>
    <w:link w:val="AIHelper0-AIHelperBoxConsoleChar"/>
    <w:rsid w:val="001601A6"/>
  </w:style>
  <w:style w:type="character" w:customStyle="1" w:styleId="AIHelper0-AIHelperBoxConsoleChar">
    <w:name w:val="AI Helper0 - AIHelperBoxConsole Char"/>
    <w:basedOn w:val="P0-ParagraphChar"/>
    <w:link w:val="AIHelper0-AIHelperBoxConsole"/>
    <w:rsid w:val="001601A6"/>
    <w:rPr>
      <w:rFonts w:ascii="Consolas" w:eastAsia="Times New Roman" w:hAnsi="Consolas" w:cs="Times New Roman"/>
      <w:color w:val="F8F8F2"/>
      <w:sz w:val="18"/>
      <w:szCs w:val="24"/>
      <w:shd w:val="clear" w:color="auto" w:fill="282A36"/>
    </w:rPr>
  </w:style>
  <w:style w:type="paragraph" w:customStyle="1" w:styleId="AIHelper1-AIHelperBoxBullet">
    <w:name w:val="AI Helper1 - AIHelperBoxBullet"/>
    <w:basedOn w:val="I1-InfoBoxBullet"/>
    <w:link w:val="AIHelper1-AIHelperBoxBulletChar"/>
    <w:rsid w:val="001601A6"/>
    <w:rPr>
      <w:sz w:val="21"/>
    </w:rPr>
  </w:style>
  <w:style w:type="character" w:customStyle="1" w:styleId="AIHelper1-AIHelperBoxBulletChar">
    <w:name w:val="AI Helper1 - AIHelperBoxBullet Char"/>
    <w:basedOn w:val="P0-ParagraphChar"/>
    <w:link w:val="AIHelper1-AIHelperBoxBullet"/>
    <w:rsid w:val="001601A6"/>
    <w:rPr>
      <w:rFonts w:ascii="Crimson Pro" w:eastAsia="Times New Roman" w:hAnsi="Crimson Pro" w:cs="Times New Roman"/>
      <w:sz w:val="21"/>
      <w:szCs w:val="24"/>
      <w:shd w:val="clear" w:color="auto" w:fill="FFFFFF"/>
    </w:rPr>
  </w:style>
  <w:style w:type="paragraph" w:customStyle="1" w:styleId="AIHelper1-AIHelperBoxCenter">
    <w:name w:val="AI Helper1 - AIHelperBoxCenter"/>
    <w:basedOn w:val="I1-InfoBoxCenter"/>
    <w:link w:val="AIHelper1-AIHelperBoxCenterChar"/>
    <w:rsid w:val="001601A6"/>
    <w:rPr>
      <w:sz w:val="21"/>
    </w:rPr>
  </w:style>
  <w:style w:type="character" w:customStyle="1" w:styleId="AIHelper1-AIHelperBoxCenterChar">
    <w:name w:val="AI Helper1 - AIHelperBoxCenter Char"/>
    <w:basedOn w:val="P0-ParagraphChar"/>
    <w:link w:val="AIHelper1-AIHelperBoxCenter"/>
    <w:rsid w:val="001601A6"/>
    <w:rPr>
      <w:rFonts w:ascii="Crimson Pro" w:eastAsia="Times New Roman" w:hAnsi="Crimson Pro" w:cs="Times New Roman"/>
      <w:sz w:val="21"/>
      <w:szCs w:val="24"/>
      <w:shd w:val="clear" w:color="auto" w:fill="FFFFFF"/>
    </w:rPr>
  </w:style>
  <w:style w:type="paragraph" w:customStyle="1" w:styleId="AIHelper1-AIHelperBoxFigure">
    <w:name w:val="AI Helper1 - AIHelperBoxFigure"/>
    <w:basedOn w:val="I1-InfoBoxFigure"/>
    <w:link w:val="AIHelper1-AIHelperBoxFigureChar"/>
    <w:rsid w:val="001601A6"/>
  </w:style>
  <w:style w:type="character" w:customStyle="1" w:styleId="AIHelper1-AIHelperBoxFigureChar">
    <w:name w:val="AI Helper1 - AIHelperBoxFigure Char"/>
    <w:basedOn w:val="P0-ParagraphChar"/>
    <w:link w:val="AIHelper1-AIHelperBoxFigure"/>
    <w:rsid w:val="001601A6"/>
    <w:rPr>
      <w:rFonts w:ascii="Crimson Pro" w:eastAsia="Times New Roman" w:hAnsi="Crimson Pro" w:cs="Times New Roman"/>
      <w:sz w:val="16"/>
      <w:szCs w:val="24"/>
      <w:shd w:val="clear" w:color="auto" w:fill="FFFFFF"/>
    </w:rPr>
  </w:style>
  <w:style w:type="paragraph" w:customStyle="1" w:styleId="AIHelper1-AIHelperBoxCaption">
    <w:name w:val="AI Helper1 - AIHelperBoxCaption"/>
    <w:basedOn w:val="I1-InfoBoxCaption"/>
    <w:link w:val="AIHelper1-AIHelperBoxCaptionChar"/>
    <w:rsid w:val="001601A6"/>
  </w:style>
  <w:style w:type="character" w:customStyle="1" w:styleId="AIHelper1-AIHelperBoxCaptionChar">
    <w:name w:val="AI Helper1 - AIHelperBoxCaption Char"/>
    <w:basedOn w:val="P0-ParagraphChar"/>
    <w:link w:val="AIHelper1-AIHelperBoxCaption"/>
    <w:rsid w:val="001601A6"/>
    <w:rPr>
      <w:rFonts w:ascii="Crimson Pro" w:eastAsia="Times New Roman" w:hAnsi="Crimson Pro" w:cs="Times New Roman"/>
      <w:sz w:val="16"/>
      <w:szCs w:val="24"/>
      <w:shd w:val="clear" w:color="auto" w:fill="FFFFFF"/>
    </w:rPr>
  </w:style>
  <w:style w:type="paragraph" w:customStyle="1" w:styleId="AIHelper1-AIHelperBox">
    <w:name w:val="AI Helper1 - AIHelperBox"/>
    <w:basedOn w:val="I1-InfoBox"/>
    <w:link w:val="AIHelper1-AIHelperBoxChar"/>
    <w:rsid w:val="001601A6"/>
    <w:rPr>
      <w:sz w:val="21"/>
    </w:rPr>
  </w:style>
  <w:style w:type="character" w:customStyle="1" w:styleId="AIHelper1-AIHelperBoxChar">
    <w:name w:val="AI Helper1 - AIHelperBox Char"/>
    <w:basedOn w:val="P0-ParagraphChar"/>
    <w:link w:val="AIHelper1-AIHelperBox"/>
    <w:rsid w:val="001601A6"/>
    <w:rPr>
      <w:rFonts w:ascii="Crimson Pro" w:eastAsia="Times New Roman" w:hAnsi="Crimson Pro" w:cs="Times New Roman"/>
      <w:sz w:val="21"/>
      <w:szCs w:val="24"/>
      <w:shd w:val="clear" w:color="auto" w:fill="FFFFFF"/>
    </w:rPr>
  </w:style>
  <w:style w:type="paragraph" w:customStyle="1" w:styleId="AIHelper1-AIHelperBoxNumberedList">
    <w:name w:val="AI Helper1 - AIHelperBoxNumberedList"/>
    <w:basedOn w:val="I1-InfoBoxNumberedList"/>
    <w:link w:val="AIHelper1-AIHelperBoxNumberedListChar"/>
    <w:rsid w:val="001601A6"/>
    <w:rPr>
      <w:sz w:val="21"/>
    </w:rPr>
  </w:style>
  <w:style w:type="character" w:customStyle="1" w:styleId="AIHelper1-AIHelperBoxNumberedListChar">
    <w:name w:val="AI Helper1 - AIHelperBoxNumberedList Char"/>
    <w:basedOn w:val="P0-ParagraphChar"/>
    <w:link w:val="AIHelper1-AIHelperBoxNumberedList"/>
    <w:rsid w:val="001601A6"/>
    <w:rPr>
      <w:rFonts w:ascii="Crimson Pro" w:eastAsia="Times New Roman" w:hAnsi="Crimson Pro" w:cs="Times New Roman"/>
      <w:sz w:val="21"/>
      <w:szCs w:val="24"/>
      <w:shd w:val="clear" w:color="auto" w:fill="FFFFFF"/>
    </w:rPr>
  </w:style>
  <w:style w:type="paragraph" w:customStyle="1" w:styleId="AIHelper1-AIHelperBoxCode">
    <w:name w:val="AI Helper1 - AIHelperBoxCode"/>
    <w:basedOn w:val="I1-InfoBoxCode"/>
    <w:link w:val="AIHelper1-AIHelperBoxCodeChar"/>
    <w:rsid w:val="001601A6"/>
  </w:style>
  <w:style w:type="character" w:customStyle="1" w:styleId="AIHelper1-AIHelperBoxCodeChar">
    <w:name w:val="AI Helper1 - AIHelperBoxCode Char"/>
    <w:basedOn w:val="P0-ParagraphChar"/>
    <w:link w:val="AIHelper1-AIHelperBoxCode"/>
    <w:rsid w:val="001601A6"/>
    <w:rPr>
      <w:rFonts w:ascii="Consolas" w:eastAsia="Times New Roman" w:hAnsi="Consolas" w:cs="Times New Roman"/>
      <w:color w:val="383A42"/>
      <w:sz w:val="18"/>
      <w:szCs w:val="24"/>
      <w:shd w:val="clear" w:color="auto" w:fill="FAFAFA"/>
    </w:rPr>
  </w:style>
  <w:style w:type="paragraph" w:customStyle="1" w:styleId="AIHelper1-AIHelperBoxConsole">
    <w:name w:val="AI Helper1 - AIHelperBoxConsole"/>
    <w:basedOn w:val="I1-InfoBoxConsole"/>
    <w:link w:val="AIHelper1-AIHelperBoxConsoleChar"/>
    <w:rsid w:val="001601A6"/>
  </w:style>
  <w:style w:type="character" w:customStyle="1" w:styleId="AIHelper1-AIHelperBoxConsoleChar">
    <w:name w:val="AI Helper1 - AIHelperBoxConsole Char"/>
    <w:basedOn w:val="P0-ParagraphChar"/>
    <w:link w:val="AIHelper1-AIHelperBoxConsole"/>
    <w:rsid w:val="001601A6"/>
    <w:rPr>
      <w:rFonts w:ascii="Consolas" w:eastAsia="Times New Roman" w:hAnsi="Consolas" w:cs="Times New Roman"/>
      <w:color w:val="F8F8F2"/>
      <w:sz w:val="18"/>
      <w:szCs w:val="24"/>
      <w:shd w:val="clear" w:color="auto" w:fill="282A36"/>
    </w:rPr>
  </w:style>
  <w:style w:type="paragraph" w:customStyle="1" w:styleId="AIHelper2-AIHelperBoxBullet">
    <w:name w:val="AI Helper2 - AIHelperBoxBullet"/>
    <w:basedOn w:val="I2-InfoBoxBullet"/>
    <w:link w:val="AIHelper2-AIHelperBoxBulletChar"/>
    <w:rsid w:val="001601A6"/>
    <w:rPr>
      <w:sz w:val="21"/>
    </w:rPr>
  </w:style>
  <w:style w:type="character" w:customStyle="1" w:styleId="AIHelper2-AIHelperBoxBulletChar">
    <w:name w:val="AI Helper2 - AIHelperBoxBullet Char"/>
    <w:basedOn w:val="P0-ParagraphChar"/>
    <w:link w:val="AIHelper2-AIHelperBoxBullet"/>
    <w:rsid w:val="001601A6"/>
    <w:rPr>
      <w:rFonts w:ascii="Crimson Pro" w:eastAsia="Times New Roman" w:hAnsi="Crimson Pro" w:cs="Times New Roman"/>
      <w:sz w:val="21"/>
      <w:szCs w:val="24"/>
      <w:shd w:val="clear" w:color="auto" w:fill="FFFFFF"/>
    </w:rPr>
  </w:style>
  <w:style w:type="paragraph" w:customStyle="1" w:styleId="AIHelper2-AIHelperBoxCenter">
    <w:name w:val="AI Helper2 - AIHelperBoxCenter"/>
    <w:basedOn w:val="I2-InfoBoxCenter"/>
    <w:link w:val="AIHelper2-AIHelperBoxCenterChar"/>
    <w:rsid w:val="001601A6"/>
    <w:rPr>
      <w:sz w:val="21"/>
    </w:rPr>
  </w:style>
  <w:style w:type="character" w:customStyle="1" w:styleId="AIHelper2-AIHelperBoxCenterChar">
    <w:name w:val="AI Helper2 - AIHelperBoxCenter Char"/>
    <w:basedOn w:val="P0-ParagraphChar"/>
    <w:link w:val="AIHelper2-AIHelperBoxCenter"/>
    <w:rsid w:val="001601A6"/>
    <w:rPr>
      <w:rFonts w:ascii="Crimson Pro" w:eastAsia="Times New Roman" w:hAnsi="Crimson Pro" w:cs="Times New Roman"/>
      <w:sz w:val="21"/>
      <w:szCs w:val="24"/>
      <w:shd w:val="clear" w:color="auto" w:fill="FFFFFF"/>
    </w:rPr>
  </w:style>
  <w:style w:type="paragraph" w:customStyle="1" w:styleId="AIHelper2-AIHelperBoxFigure">
    <w:name w:val="AI Helper2 - AIHelperBoxFigure"/>
    <w:basedOn w:val="I2-InfoBoxFigure"/>
    <w:link w:val="AIHelper2-AIHelperBoxFigureChar"/>
    <w:rsid w:val="001601A6"/>
  </w:style>
  <w:style w:type="character" w:customStyle="1" w:styleId="AIHelper2-AIHelperBoxFigureChar">
    <w:name w:val="AI Helper2 - AIHelperBoxFigure Char"/>
    <w:basedOn w:val="P0-ParagraphChar"/>
    <w:link w:val="AIHelper2-AIHelperBoxFigure"/>
    <w:rsid w:val="001601A6"/>
    <w:rPr>
      <w:rFonts w:ascii="Crimson Pro" w:eastAsia="Times New Roman" w:hAnsi="Crimson Pro" w:cs="Times New Roman"/>
      <w:sz w:val="16"/>
      <w:szCs w:val="24"/>
      <w:shd w:val="clear" w:color="auto" w:fill="FFFFFF"/>
    </w:rPr>
  </w:style>
  <w:style w:type="paragraph" w:customStyle="1" w:styleId="AIHelper2-AIHelperBoxCaption">
    <w:name w:val="AI Helper2 - AIHelperBoxCaption"/>
    <w:basedOn w:val="I2-InfoBoxCaption"/>
    <w:link w:val="AIHelper2-AIHelperBoxCaptionChar"/>
    <w:rsid w:val="001601A6"/>
  </w:style>
  <w:style w:type="character" w:customStyle="1" w:styleId="AIHelper2-AIHelperBoxCaptionChar">
    <w:name w:val="AI Helper2 - AIHelperBoxCaption Char"/>
    <w:basedOn w:val="P0-ParagraphChar"/>
    <w:link w:val="AIHelper2-AIHelperBoxCaption"/>
    <w:rsid w:val="001601A6"/>
    <w:rPr>
      <w:rFonts w:ascii="Crimson Pro" w:eastAsia="Times New Roman" w:hAnsi="Crimson Pro" w:cs="Times New Roman"/>
      <w:sz w:val="16"/>
      <w:szCs w:val="24"/>
      <w:shd w:val="clear" w:color="auto" w:fill="FFFFFF"/>
    </w:rPr>
  </w:style>
  <w:style w:type="paragraph" w:customStyle="1" w:styleId="AIHelper2-AIHelperBox">
    <w:name w:val="AI Helper2 - AIHelperBox"/>
    <w:basedOn w:val="I2-InfoBox"/>
    <w:link w:val="AIHelper2-AIHelperBoxChar"/>
    <w:rsid w:val="001601A6"/>
    <w:rPr>
      <w:sz w:val="21"/>
    </w:rPr>
  </w:style>
  <w:style w:type="character" w:customStyle="1" w:styleId="AIHelper2-AIHelperBoxChar">
    <w:name w:val="AI Helper2 - AIHelperBox Char"/>
    <w:basedOn w:val="P0-ParagraphChar"/>
    <w:link w:val="AIHelper2-AIHelperBox"/>
    <w:rsid w:val="001601A6"/>
    <w:rPr>
      <w:rFonts w:ascii="Crimson Pro" w:eastAsia="Times New Roman" w:hAnsi="Crimson Pro" w:cs="Times New Roman"/>
      <w:sz w:val="21"/>
      <w:szCs w:val="24"/>
      <w:shd w:val="clear" w:color="auto" w:fill="FFFFFF"/>
    </w:rPr>
  </w:style>
  <w:style w:type="paragraph" w:customStyle="1" w:styleId="AIHelper2-AIHelperBoxNumberedList">
    <w:name w:val="AI Helper2 - AIHelperBoxNumberedList"/>
    <w:basedOn w:val="I2-InfoBoxNumberedList"/>
    <w:link w:val="AIHelper2-AIHelperBoxNumberedListChar"/>
    <w:rsid w:val="001601A6"/>
    <w:rPr>
      <w:sz w:val="21"/>
    </w:rPr>
  </w:style>
  <w:style w:type="character" w:customStyle="1" w:styleId="AIHelper2-AIHelperBoxNumberedListChar">
    <w:name w:val="AI Helper2 - AIHelperBoxNumberedList Char"/>
    <w:basedOn w:val="P0-ParagraphChar"/>
    <w:link w:val="AIHelper2-AIHelperBoxNumberedList"/>
    <w:rsid w:val="001601A6"/>
    <w:rPr>
      <w:rFonts w:ascii="Crimson Pro" w:eastAsia="Times New Roman" w:hAnsi="Crimson Pro" w:cs="Times New Roman"/>
      <w:sz w:val="21"/>
      <w:szCs w:val="24"/>
      <w:shd w:val="clear" w:color="auto" w:fill="FFFFFF"/>
    </w:rPr>
  </w:style>
  <w:style w:type="paragraph" w:customStyle="1" w:styleId="AIHelper2-AIHelperBoxCode">
    <w:name w:val="AI Helper2 - AIHelperBoxCode"/>
    <w:basedOn w:val="I2-InfoBoxCode"/>
    <w:link w:val="AIHelper2-AIHelperBoxCodeChar"/>
    <w:rsid w:val="001601A6"/>
  </w:style>
  <w:style w:type="character" w:customStyle="1" w:styleId="AIHelper2-AIHelperBoxCodeChar">
    <w:name w:val="AI Helper2 - AIHelperBoxCode Char"/>
    <w:basedOn w:val="P0-ParagraphChar"/>
    <w:link w:val="AIHelper2-AIHelperBoxCode"/>
    <w:rsid w:val="001601A6"/>
    <w:rPr>
      <w:rFonts w:ascii="Consolas" w:eastAsia="Times New Roman" w:hAnsi="Consolas" w:cs="Times New Roman"/>
      <w:color w:val="383A42"/>
      <w:sz w:val="18"/>
      <w:szCs w:val="24"/>
      <w:shd w:val="clear" w:color="auto" w:fill="FAFAFA"/>
    </w:rPr>
  </w:style>
  <w:style w:type="paragraph" w:customStyle="1" w:styleId="AIHelper2-AIHelperBoxConsole">
    <w:name w:val="AI Helper2 - AIHelperBoxConsole"/>
    <w:basedOn w:val="I2-InfoBoxConsole"/>
    <w:link w:val="AIHelper2-AIHelperBoxConsoleChar"/>
    <w:rsid w:val="001601A6"/>
  </w:style>
  <w:style w:type="character" w:customStyle="1" w:styleId="AIHelper2-AIHelperBoxConsoleChar">
    <w:name w:val="AI Helper2 - AIHelperBoxConsole Char"/>
    <w:basedOn w:val="P0-ParagraphChar"/>
    <w:link w:val="AIHelper2-AIHelperBoxConsole"/>
    <w:rsid w:val="001601A6"/>
    <w:rPr>
      <w:rFonts w:ascii="Consolas" w:eastAsia="Times New Roman" w:hAnsi="Consolas" w:cs="Times New Roman"/>
      <w:color w:val="F8F8F2"/>
      <w:sz w:val="18"/>
      <w:szCs w:val="24"/>
      <w:shd w:val="clear" w:color="auto" w:fill="282A36"/>
    </w:rPr>
  </w:style>
  <w:style w:type="paragraph" w:customStyle="1" w:styleId="L1-AlphabetCapital">
    <w:name w:val="L1 - AlphabetCapital"/>
    <w:basedOn w:val="L1-Alphabet"/>
    <w:qFormat/>
    <w:rsid w:val="001601A6"/>
    <w:pPr>
      <w:numPr>
        <w:numId w:val="17"/>
      </w:numPr>
    </w:pPr>
  </w:style>
  <w:style w:type="paragraph" w:customStyle="1" w:styleId="L2-AlphabetCapital">
    <w:name w:val="L2 - AlphabetCapital"/>
    <w:basedOn w:val="L2-Alphabet"/>
    <w:qFormat/>
    <w:rsid w:val="001601A6"/>
    <w:pPr>
      <w:numPr>
        <w:numId w:val="18"/>
      </w:numPr>
    </w:pPr>
  </w:style>
  <w:style w:type="paragraph" w:customStyle="1" w:styleId="L3-AlphabetCapital">
    <w:name w:val="L3 - AlphabetCapital"/>
    <w:basedOn w:val="L3-Alphabet"/>
    <w:qFormat/>
    <w:rsid w:val="001601A6"/>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hBYGW076BtSvTRdgiuCrId4A7Q==">CgMxLjAyDmguaDllbGw0NDdjajZvMg5oLmljcnB0MWt1NHlleTgAciExMm05VjJNOE9SVi1CZ0tVQnREdmtraTN5VEdPQlFCVFE=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13</TotalTime>
  <Pages>19</Pages>
  <Words>7052</Words>
  <Characters>40200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6</cp:revision>
  <dcterms:created xsi:type="dcterms:W3CDTF">2026-09-29T10:39:00Z</dcterms:created>
  <dcterms:modified xsi:type="dcterms:W3CDTF">2026-09-29T10:53:00Z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