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pPr>
      <w:r w:rsidDel="00000000" w:rsidR="00000000" w:rsidRPr="00000000">
        <w:rPr>
          <w:rtl w:val="0"/>
        </w:rPr>
        <w:t xml:space="preserve">We will be looking at a variety of ways to connect remotely to your Raspberry Pi. After the initial setup, you can run your Raspberry Pi in "headless" mode. This essentially means that the Pi is not connected to a monitor. By using these remote connection techniques, you do not need a monitor and will be able to interact with your Pi from any PC or laptop connected to the same network as your Raspberry Pi.</w:t>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We will address the following methods in detail:</w:t>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tl w:val="0"/>
        </w:rPr>
        <w:t xml:space="preserve">SSH (Secure Shell)</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VNC (Virtual Network Computing)</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SFTP (Secure (SSH) File Transfer Protocol)</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SCP (Secure Copy)</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tl w:val="0"/>
        </w:rPr>
        <w:t xml:space="preserve">RDP (Remote Desktop Protocol Connection - Windows)</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