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41DB5" w14:textId="6FDE182D" w:rsidR="002B4272" w:rsidRDefault="00CF73FC" w:rsidP="004F46CB">
      <w:r>
        <w:t xml:space="preserve">The previous </w:t>
      </w:r>
      <w:r w:rsidR="002B42C1">
        <w:t xml:space="preserve">two </w:t>
      </w:r>
      <w:r w:rsidR="004F46CB">
        <w:t>lectures</w:t>
      </w:r>
      <w:r>
        <w:t xml:space="preserve"> covered some of the most used options that are common between box plot, bar graphs, and dot plots. </w:t>
      </w:r>
      <w:r w:rsidR="002B42C1">
        <w:t xml:space="preserve">In the </w:t>
      </w:r>
      <w:r w:rsidR="004F46CB">
        <w:t>following</w:t>
      </w:r>
      <w:bookmarkStart w:id="0" w:name="_GoBack"/>
      <w:bookmarkEnd w:id="0"/>
      <w:r w:rsidR="002B42C1">
        <w:t xml:space="preserve"> three </w:t>
      </w:r>
      <w:r w:rsidR="004F46CB">
        <w:t>lectures</w:t>
      </w:r>
      <w:r w:rsidR="00E62BF6">
        <w:t>, we will go over some specific options for each of the three types of graphs, starting with box plots.</w:t>
      </w:r>
      <w:r w:rsidR="008E79A8">
        <w:t xml:space="preserve"> </w:t>
      </w:r>
      <w:r w:rsidR="002B4272">
        <w:t xml:space="preserve">To change the color of the boxes, we can use the </w:t>
      </w:r>
      <w:proofErr w:type="gramStart"/>
      <w:r w:rsidR="002B4272" w:rsidRPr="008A4DC5">
        <w:rPr>
          <w:b/>
          <w:bCs/>
        </w:rPr>
        <w:t>box(</w:t>
      </w:r>
      <w:proofErr w:type="gramEnd"/>
      <w:r w:rsidR="002B4272" w:rsidRPr="008A4DC5">
        <w:rPr>
          <w:b/>
          <w:bCs/>
        </w:rPr>
        <w:t>)</w:t>
      </w:r>
      <w:r w:rsidR="002B4272">
        <w:t xml:space="preserve"> option together with many of the sub options that come with it:</w:t>
      </w:r>
    </w:p>
    <w:p w14:paraId="2359006E" w14:textId="77777777" w:rsidR="002B54CC" w:rsidRDefault="002B54CC" w:rsidP="002B54CC">
      <w:pPr>
        <w:pStyle w:val="Quote"/>
      </w:pPr>
      <w:proofErr w:type="gramStart"/>
      <w:r w:rsidRPr="002B54CC">
        <w:t>graph</w:t>
      </w:r>
      <w:proofErr w:type="gramEnd"/>
      <w:r w:rsidRPr="002B54CC">
        <w:t xml:space="preserve"> box </w:t>
      </w:r>
      <w:proofErr w:type="spellStart"/>
      <w:r w:rsidRPr="002B54CC">
        <w:t>gpa</w:t>
      </w:r>
      <w:proofErr w:type="spellEnd"/>
      <w:r w:rsidRPr="002B54CC">
        <w:t xml:space="preserve">, </w:t>
      </w:r>
      <w:proofErr w:type="spellStart"/>
      <w:r w:rsidRPr="002B54CC">
        <w:t>asyvar</w:t>
      </w:r>
      <w:proofErr w:type="spellEnd"/>
      <w:r w:rsidRPr="002B54CC">
        <w:t xml:space="preserve"> over(gender) over(college) box(1, </w:t>
      </w:r>
      <w:proofErr w:type="spellStart"/>
      <w:r w:rsidRPr="002B54CC">
        <w:t>bcolor</w:t>
      </w:r>
      <w:proofErr w:type="spellEnd"/>
      <w:r w:rsidRPr="002B54CC">
        <w:t>(green))</w:t>
      </w:r>
    </w:p>
    <w:p w14:paraId="1D0038E8" w14:textId="77777777" w:rsidR="002B54CC" w:rsidRDefault="002B54CC" w:rsidP="002B54CC">
      <w:pPr>
        <w:jc w:val="center"/>
      </w:pPr>
      <w:r w:rsidRPr="002B54CC">
        <w:rPr>
          <w:noProof/>
        </w:rPr>
        <w:drawing>
          <wp:inline distT="0" distB="0" distL="0" distR="0" wp14:anchorId="64505FC1" wp14:editId="6986F6D4">
            <wp:extent cx="2514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24B00727" w14:textId="0B230E95" w:rsidR="00743AAD" w:rsidRDefault="0061312A" w:rsidP="0080088A">
      <w:r>
        <w:t xml:space="preserve">The option </w:t>
      </w:r>
      <w:proofErr w:type="spellStart"/>
      <w:proofErr w:type="gramStart"/>
      <w:r w:rsidRPr="002127FF">
        <w:rPr>
          <w:b/>
          <w:bCs/>
        </w:rPr>
        <w:t>bcolor</w:t>
      </w:r>
      <w:proofErr w:type="spellEnd"/>
      <w:r w:rsidRPr="002127FF">
        <w:rPr>
          <w:b/>
          <w:bCs/>
        </w:rPr>
        <w:t>(</w:t>
      </w:r>
      <w:proofErr w:type="gramEnd"/>
      <w:r w:rsidRPr="002127FF">
        <w:rPr>
          <w:b/>
          <w:bCs/>
        </w:rPr>
        <w:t>)</w:t>
      </w:r>
      <w:r>
        <w:t xml:space="preserve"> specifies the color for the box. </w:t>
      </w:r>
      <w:r w:rsidR="002127FF">
        <w:t>To see a list of the colors that you can specify, execute the following command:</w:t>
      </w:r>
    </w:p>
    <w:p w14:paraId="5A833461" w14:textId="57077D54" w:rsidR="002127FF" w:rsidRDefault="002127FF" w:rsidP="002127FF">
      <w:pPr>
        <w:pStyle w:val="Quote"/>
      </w:pPr>
      <w:proofErr w:type="gramStart"/>
      <w:r w:rsidRPr="002127FF">
        <w:t>graph</w:t>
      </w:r>
      <w:proofErr w:type="gramEnd"/>
      <w:r w:rsidRPr="002127FF">
        <w:t xml:space="preserve"> query </w:t>
      </w:r>
      <w:proofErr w:type="spellStart"/>
      <w:r w:rsidRPr="002127FF">
        <w:t>colorstyle</w:t>
      </w:r>
      <w:proofErr w:type="spellEnd"/>
    </w:p>
    <w:p w14:paraId="555FE98A" w14:textId="40171C56" w:rsidR="002127FF" w:rsidRDefault="00657563" w:rsidP="0080088A">
      <w:r>
        <w:t>If we want to change the color of the female boxes, we would execute:</w:t>
      </w:r>
    </w:p>
    <w:p w14:paraId="51A6D5E6" w14:textId="0AE939F4" w:rsidR="00657563" w:rsidRDefault="00657563" w:rsidP="00657563">
      <w:pPr>
        <w:pStyle w:val="Quote"/>
      </w:pPr>
      <w:proofErr w:type="gramStart"/>
      <w:r w:rsidRPr="00657563">
        <w:t>graph</w:t>
      </w:r>
      <w:proofErr w:type="gramEnd"/>
      <w:r w:rsidRPr="00657563">
        <w:t xml:space="preserve"> box </w:t>
      </w:r>
      <w:proofErr w:type="spellStart"/>
      <w:r w:rsidRPr="00657563">
        <w:t>gpa</w:t>
      </w:r>
      <w:proofErr w:type="spellEnd"/>
      <w:r w:rsidRPr="00657563">
        <w:t xml:space="preserve">, </w:t>
      </w:r>
      <w:proofErr w:type="spellStart"/>
      <w:r w:rsidRPr="00657563">
        <w:t>asyvar</w:t>
      </w:r>
      <w:proofErr w:type="spellEnd"/>
      <w:r w:rsidRPr="00657563">
        <w:t xml:space="preserve"> over(gender) over(college) box(1, </w:t>
      </w:r>
      <w:proofErr w:type="spellStart"/>
      <w:r w:rsidRPr="00657563">
        <w:t>bcolor</w:t>
      </w:r>
      <w:proofErr w:type="spellEnd"/>
      <w:r w:rsidRPr="00657563">
        <w:t xml:space="preserve">(green)) box(2, </w:t>
      </w:r>
      <w:proofErr w:type="spellStart"/>
      <w:r w:rsidRPr="00657563">
        <w:t>bcolor</w:t>
      </w:r>
      <w:proofErr w:type="spellEnd"/>
      <w:r w:rsidRPr="00657563">
        <w:t>(orange))</w:t>
      </w:r>
    </w:p>
    <w:p w14:paraId="3061088E" w14:textId="2708B009" w:rsidR="00657563" w:rsidRDefault="00657563" w:rsidP="00657563">
      <w:pPr>
        <w:jc w:val="center"/>
      </w:pPr>
      <w:r w:rsidRPr="00657563">
        <w:rPr>
          <w:noProof/>
        </w:rPr>
        <w:drawing>
          <wp:inline distT="0" distB="0" distL="0" distR="0" wp14:anchorId="576348B0" wp14:editId="7A7F6478">
            <wp:extent cx="2514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513441B" w14:textId="47871146" w:rsidR="00743AAD" w:rsidRDefault="006F6DF3" w:rsidP="00F87CBC">
      <w:r>
        <w:t xml:space="preserve">We can also change the color of the border using the </w:t>
      </w:r>
      <w:proofErr w:type="spellStart"/>
      <w:proofErr w:type="gramStart"/>
      <w:r w:rsidRPr="006F6DF3">
        <w:rPr>
          <w:b/>
          <w:bCs/>
        </w:rPr>
        <w:t>blcolor</w:t>
      </w:r>
      <w:proofErr w:type="spellEnd"/>
      <w:r w:rsidRPr="006F6DF3">
        <w:rPr>
          <w:b/>
          <w:bCs/>
        </w:rPr>
        <w:t>(</w:t>
      </w:r>
      <w:proofErr w:type="gramEnd"/>
      <w:r w:rsidRPr="006F6DF3">
        <w:rPr>
          <w:b/>
          <w:bCs/>
        </w:rPr>
        <w:t>)</w:t>
      </w:r>
      <w:r>
        <w:t xml:space="preserve"> option:</w:t>
      </w:r>
    </w:p>
    <w:p w14:paraId="248FE50C" w14:textId="4042738B" w:rsidR="006F6DF3" w:rsidRDefault="00F342B7" w:rsidP="00F342B7">
      <w:pPr>
        <w:pStyle w:val="Quote"/>
      </w:pPr>
      <w:r w:rsidRPr="00F342B7">
        <w:t xml:space="preserve">graph box </w:t>
      </w:r>
      <w:proofErr w:type="spellStart"/>
      <w:r w:rsidRPr="00F342B7">
        <w:t>gpa</w:t>
      </w:r>
      <w:proofErr w:type="spellEnd"/>
      <w:r w:rsidRPr="00F342B7">
        <w:t xml:space="preserve">, </w:t>
      </w:r>
      <w:proofErr w:type="spellStart"/>
      <w:r w:rsidRPr="00F342B7">
        <w:t>asyvar</w:t>
      </w:r>
      <w:proofErr w:type="spellEnd"/>
      <w:r w:rsidRPr="00F342B7">
        <w:t xml:space="preserve"> over(gender) over(college) box(1, </w:t>
      </w:r>
      <w:proofErr w:type="spellStart"/>
      <w:r w:rsidRPr="00F342B7">
        <w:t>bcolor</w:t>
      </w:r>
      <w:proofErr w:type="spellEnd"/>
      <w:r w:rsidRPr="00F342B7">
        <w:t xml:space="preserve">(green) </w:t>
      </w:r>
      <w:proofErr w:type="spellStart"/>
      <w:r w:rsidRPr="00F342B7">
        <w:t>blcolor</w:t>
      </w:r>
      <w:proofErr w:type="spellEnd"/>
      <w:r w:rsidRPr="00F342B7">
        <w:t xml:space="preserve">(black)) box(2, </w:t>
      </w:r>
      <w:proofErr w:type="spellStart"/>
      <w:r w:rsidRPr="00F342B7">
        <w:t>bcolor</w:t>
      </w:r>
      <w:proofErr w:type="spellEnd"/>
      <w:r w:rsidRPr="00F342B7">
        <w:t xml:space="preserve">(orange) </w:t>
      </w:r>
      <w:proofErr w:type="spellStart"/>
      <w:r w:rsidRPr="00F342B7">
        <w:t>blcolor</w:t>
      </w:r>
      <w:proofErr w:type="spellEnd"/>
      <w:r w:rsidRPr="00F342B7">
        <w:t>(red))</w:t>
      </w:r>
    </w:p>
    <w:p w14:paraId="505763A7" w14:textId="3FE28E2C" w:rsidR="00F342B7" w:rsidRDefault="00F342B7" w:rsidP="00F342B7">
      <w:pPr>
        <w:jc w:val="center"/>
      </w:pPr>
      <w:r w:rsidRPr="00F342B7">
        <w:rPr>
          <w:noProof/>
        </w:rPr>
        <w:lastRenderedPageBreak/>
        <w:drawing>
          <wp:inline distT="0" distB="0" distL="0" distR="0" wp14:anchorId="5B1DAB23" wp14:editId="61E4F31F">
            <wp:extent cx="2514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174FB75" w14:textId="1317C351" w:rsidR="00F342B7" w:rsidRDefault="00F342B7" w:rsidP="00F87CBC">
      <w:r>
        <w:t xml:space="preserve">Here, we told Stata to use black as the borderline color of the first box and red as the borderline color of the second box. </w:t>
      </w:r>
      <w:r w:rsidR="006F544D">
        <w:t xml:space="preserve">Notice that the numbers used to identify the boxes depend on the order in which we specify the </w:t>
      </w:r>
      <w:proofErr w:type="gramStart"/>
      <w:r w:rsidR="006F544D">
        <w:t>over(</w:t>
      </w:r>
      <w:proofErr w:type="gramEnd"/>
      <w:r w:rsidR="006F544D">
        <w:t xml:space="preserve">) options. In the above commands, the </w:t>
      </w:r>
      <w:proofErr w:type="gramStart"/>
      <w:r w:rsidR="006F544D">
        <w:t>over(</w:t>
      </w:r>
      <w:proofErr w:type="gramEnd"/>
      <w:r w:rsidR="006F544D">
        <w:t xml:space="preserve">gender) option came before the over(college) option. Therefore, box number 1 refers to the first gender category, which is male in our case, and box number 2 refers to the second gender category. </w:t>
      </w:r>
      <w:r w:rsidR="0020201D">
        <w:t xml:space="preserve">If we specify </w:t>
      </w:r>
      <w:proofErr w:type="gramStart"/>
      <w:r w:rsidR="0020201D">
        <w:t>over(</w:t>
      </w:r>
      <w:proofErr w:type="gramEnd"/>
      <w:r w:rsidR="0020201D">
        <w:t>college) before over(gender), box number 1 will refer to the first college category, which is business:</w:t>
      </w:r>
    </w:p>
    <w:p w14:paraId="11ACB180" w14:textId="765BD9B6" w:rsidR="0020201D" w:rsidRDefault="0020201D" w:rsidP="0020201D">
      <w:pPr>
        <w:pStyle w:val="Quote"/>
      </w:pPr>
      <w:r w:rsidRPr="0020201D">
        <w:t xml:space="preserve">graph box </w:t>
      </w:r>
      <w:proofErr w:type="spellStart"/>
      <w:r w:rsidRPr="0020201D">
        <w:t>gpa</w:t>
      </w:r>
      <w:proofErr w:type="spellEnd"/>
      <w:r w:rsidRPr="0020201D">
        <w:t xml:space="preserve">, </w:t>
      </w:r>
      <w:proofErr w:type="spellStart"/>
      <w:r w:rsidRPr="0020201D">
        <w:t>asyvar</w:t>
      </w:r>
      <w:proofErr w:type="spellEnd"/>
      <w:r w:rsidRPr="0020201D">
        <w:t xml:space="preserve"> over(college) over(gender) box(1, </w:t>
      </w:r>
      <w:proofErr w:type="spellStart"/>
      <w:r w:rsidRPr="0020201D">
        <w:t>bcolor</w:t>
      </w:r>
      <w:proofErr w:type="spellEnd"/>
      <w:r w:rsidRPr="0020201D">
        <w:t xml:space="preserve">(green) </w:t>
      </w:r>
      <w:proofErr w:type="spellStart"/>
      <w:r w:rsidRPr="0020201D">
        <w:t>blcolor</w:t>
      </w:r>
      <w:proofErr w:type="spellEnd"/>
      <w:r w:rsidRPr="0020201D">
        <w:t xml:space="preserve">(black)) box(2, </w:t>
      </w:r>
      <w:proofErr w:type="spellStart"/>
      <w:r w:rsidRPr="0020201D">
        <w:t>bcolor</w:t>
      </w:r>
      <w:proofErr w:type="spellEnd"/>
      <w:r w:rsidRPr="0020201D">
        <w:t xml:space="preserve">(orange) </w:t>
      </w:r>
      <w:proofErr w:type="spellStart"/>
      <w:r w:rsidRPr="0020201D">
        <w:t>blcolor</w:t>
      </w:r>
      <w:proofErr w:type="spellEnd"/>
      <w:r w:rsidRPr="0020201D">
        <w:t>(red))</w:t>
      </w:r>
    </w:p>
    <w:p w14:paraId="3CBC0BE3" w14:textId="22A82B7C" w:rsidR="0020201D" w:rsidRDefault="0020201D" w:rsidP="0020201D">
      <w:pPr>
        <w:jc w:val="center"/>
      </w:pPr>
      <w:r w:rsidRPr="0020201D">
        <w:rPr>
          <w:noProof/>
        </w:rPr>
        <w:drawing>
          <wp:inline distT="0" distB="0" distL="0" distR="0" wp14:anchorId="45998FFA" wp14:editId="1446589C">
            <wp:extent cx="2514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2899098B" w14:textId="4B88AE31" w:rsidR="0020201D" w:rsidRDefault="00186506" w:rsidP="0020201D">
      <w:r>
        <w:t>The above options change the look of the boxes. It is also possible to change the look of the whiskers:</w:t>
      </w:r>
    </w:p>
    <w:p w14:paraId="558F7281" w14:textId="27B9FC60" w:rsidR="00186506" w:rsidRDefault="001E4CFF" w:rsidP="001E4CFF">
      <w:pPr>
        <w:pStyle w:val="Quote"/>
      </w:pPr>
      <w:proofErr w:type="gramStart"/>
      <w:r w:rsidRPr="001E4CFF">
        <w:t>graph</w:t>
      </w:r>
      <w:proofErr w:type="gramEnd"/>
      <w:r w:rsidRPr="001E4CFF">
        <w:t xml:space="preserve"> box </w:t>
      </w:r>
      <w:proofErr w:type="spellStart"/>
      <w:r w:rsidRPr="001E4CFF">
        <w:t>gpa</w:t>
      </w:r>
      <w:proofErr w:type="spellEnd"/>
      <w:r w:rsidRPr="001E4CFF">
        <w:t xml:space="preserve">, </w:t>
      </w:r>
      <w:proofErr w:type="spellStart"/>
      <w:r w:rsidRPr="001E4CFF">
        <w:t>asyvar</w:t>
      </w:r>
      <w:proofErr w:type="spellEnd"/>
      <w:r w:rsidRPr="001E4CFF">
        <w:t xml:space="preserve"> over(gender) over(college) </w:t>
      </w:r>
      <w:proofErr w:type="spellStart"/>
      <w:r w:rsidRPr="001E4CFF">
        <w:t>cwhiskers</w:t>
      </w:r>
      <w:proofErr w:type="spellEnd"/>
      <w:r w:rsidRPr="001E4CFF">
        <w:t xml:space="preserve"> lines(</w:t>
      </w:r>
      <w:proofErr w:type="spellStart"/>
      <w:r w:rsidRPr="001E4CFF">
        <w:t>lcolor</w:t>
      </w:r>
      <w:proofErr w:type="spellEnd"/>
      <w:r w:rsidRPr="001E4CFF">
        <w:t xml:space="preserve">(black) </w:t>
      </w:r>
      <w:proofErr w:type="spellStart"/>
      <w:r w:rsidRPr="001E4CFF">
        <w:t>lwidth</w:t>
      </w:r>
      <w:proofErr w:type="spellEnd"/>
      <w:r w:rsidRPr="001E4CFF">
        <w:t>(thick))</w:t>
      </w:r>
    </w:p>
    <w:p w14:paraId="2513B562" w14:textId="58214C0A" w:rsidR="001E4CFF" w:rsidRDefault="001E4CFF" w:rsidP="001E4CFF">
      <w:pPr>
        <w:jc w:val="center"/>
      </w:pPr>
      <w:r w:rsidRPr="001E4CFF">
        <w:rPr>
          <w:noProof/>
        </w:rPr>
        <w:lastRenderedPageBreak/>
        <w:drawing>
          <wp:inline distT="0" distB="0" distL="0" distR="0" wp14:anchorId="0566FB93" wp14:editId="2E9A28E6">
            <wp:extent cx="2514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06EFE47" w14:textId="1E7268C3" w:rsidR="001E4CFF" w:rsidRDefault="001E4CFF" w:rsidP="0020201D">
      <w:r>
        <w:t>This option is slightly different from previous ones because it involves</w:t>
      </w:r>
      <w:r w:rsidR="00DB6FD8">
        <w:t xml:space="preserve"> specifying two options, the first of which is </w:t>
      </w:r>
      <w:proofErr w:type="spellStart"/>
      <w:r w:rsidR="00DB6FD8" w:rsidRPr="00DB6FD8">
        <w:rPr>
          <w:b/>
          <w:bCs/>
        </w:rPr>
        <w:t>cwhiskers</w:t>
      </w:r>
      <w:proofErr w:type="spellEnd"/>
      <w:r w:rsidR="00DB6FD8">
        <w:t xml:space="preserve"> followed by the option </w:t>
      </w:r>
      <w:proofErr w:type="gramStart"/>
      <w:r w:rsidR="00DB6FD8" w:rsidRPr="00DB6FD8">
        <w:rPr>
          <w:b/>
          <w:bCs/>
        </w:rPr>
        <w:t>lines(</w:t>
      </w:r>
      <w:proofErr w:type="gramEnd"/>
      <w:r w:rsidR="00DB6FD8" w:rsidRPr="00DB6FD8">
        <w:rPr>
          <w:b/>
          <w:bCs/>
        </w:rPr>
        <w:t>)</w:t>
      </w:r>
      <w:r w:rsidR="00DB6FD8">
        <w:t xml:space="preserve">. In the above command, we specify that the whiskers should be black and thick. </w:t>
      </w:r>
      <w:r w:rsidR="004E3536">
        <w:t xml:space="preserve">We can also modify the look of the horizontal lines that represent the 0.25 and the 0.75 quantiles by using the </w:t>
      </w:r>
      <w:proofErr w:type="gramStart"/>
      <w:r w:rsidR="004E3536" w:rsidRPr="004E3536">
        <w:rPr>
          <w:b/>
          <w:bCs/>
        </w:rPr>
        <w:t>capsize(</w:t>
      </w:r>
      <w:proofErr w:type="gramEnd"/>
      <w:r w:rsidR="004E3536" w:rsidRPr="004E3536">
        <w:rPr>
          <w:b/>
          <w:bCs/>
        </w:rPr>
        <w:t>)</w:t>
      </w:r>
      <w:r w:rsidR="004E3536">
        <w:t xml:space="preserve"> option:</w:t>
      </w:r>
    </w:p>
    <w:p w14:paraId="418A2884" w14:textId="6DC28D6C" w:rsidR="004E3536" w:rsidRDefault="004E3536" w:rsidP="004E3536">
      <w:pPr>
        <w:pStyle w:val="Quote"/>
      </w:pPr>
      <w:proofErr w:type="gramStart"/>
      <w:r w:rsidRPr="004E3536">
        <w:t>graph</w:t>
      </w:r>
      <w:proofErr w:type="gramEnd"/>
      <w:r w:rsidRPr="004E3536">
        <w:t xml:space="preserve"> box </w:t>
      </w:r>
      <w:proofErr w:type="spellStart"/>
      <w:r w:rsidRPr="004E3536">
        <w:t>gpa</w:t>
      </w:r>
      <w:proofErr w:type="spellEnd"/>
      <w:r w:rsidRPr="004E3536">
        <w:t xml:space="preserve">, </w:t>
      </w:r>
      <w:proofErr w:type="spellStart"/>
      <w:r w:rsidRPr="004E3536">
        <w:t>asyvar</w:t>
      </w:r>
      <w:proofErr w:type="spellEnd"/>
      <w:r w:rsidRPr="004E3536">
        <w:t xml:space="preserve"> over(gender) over(college) capsize(4)</w:t>
      </w:r>
    </w:p>
    <w:p w14:paraId="5BB856D3" w14:textId="214A8864" w:rsidR="004E3536" w:rsidRDefault="004E3536" w:rsidP="004E3536">
      <w:pPr>
        <w:jc w:val="center"/>
      </w:pPr>
      <w:r w:rsidRPr="004E3536">
        <w:rPr>
          <w:noProof/>
        </w:rPr>
        <w:drawing>
          <wp:inline distT="0" distB="0" distL="0" distR="0" wp14:anchorId="703E9341" wp14:editId="378EB27E">
            <wp:extent cx="25146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35F1E3F" w14:textId="23359E4D" w:rsidR="004E3536" w:rsidRDefault="00813932" w:rsidP="004E3536">
      <w:r>
        <w:t>We can also change the look of the median line, which is represented by the horizontal line in the middle of the boxes</w:t>
      </w:r>
      <w:r w:rsidR="00990486">
        <w:t xml:space="preserve"> using the </w:t>
      </w:r>
      <w:proofErr w:type="spellStart"/>
      <w:proofErr w:type="gramStart"/>
      <w:r w:rsidR="00990486" w:rsidRPr="00990486">
        <w:rPr>
          <w:b/>
          <w:bCs/>
        </w:rPr>
        <w:t>medtype</w:t>
      </w:r>
      <w:proofErr w:type="spellEnd"/>
      <w:r w:rsidR="00990486" w:rsidRPr="00990486">
        <w:rPr>
          <w:b/>
          <w:bCs/>
        </w:rPr>
        <w:t>(</w:t>
      </w:r>
      <w:proofErr w:type="gramEnd"/>
      <w:r w:rsidR="00990486" w:rsidRPr="00990486">
        <w:rPr>
          <w:b/>
          <w:bCs/>
        </w:rPr>
        <w:t>)</w:t>
      </w:r>
      <w:r w:rsidR="00990486">
        <w:t xml:space="preserve"> option</w:t>
      </w:r>
      <w:r>
        <w:t>:</w:t>
      </w:r>
    </w:p>
    <w:p w14:paraId="5B06AD56" w14:textId="41A7817A" w:rsidR="00B83F53" w:rsidRDefault="00B83F53" w:rsidP="00B83F53">
      <w:pPr>
        <w:pStyle w:val="Quote"/>
      </w:pPr>
      <w:proofErr w:type="gramStart"/>
      <w:r w:rsidRPr="00B83F53">
        <w:t>graph</w:t>
      </w:r>
      <w:proofErr w:type="gramEnd"/>
      <w:r w:rsidRPr="00B83F53">
        <w:t xml:space="preserve"> box </w:t>
      </w:r>
      <w:proofErr w:type="spellStart"/>
      <w:r w:rsidRPr="00B83F53">
        <w:t>gpa</w:t>
      </w:r>
      <w:proofErr w:type="spellEnd"/>
      <w:r w:rsidRPr="00B83F53">
        <w:t xml:space="preserve">, </w:t>
      </w:r>
      <w:proofErr w:type="spellStart"/>
      <w:r w:rsidRPr="00B83F53">
        <w:t>asyvar</w:t>
      </w:r>
      <w:proofErr w:type="spellEnd"/>
      <w:r w:rsidRPr="00B83F53">
        <w:t xml:space="preserve"> over(gender) over(college) </w:t>
      </w:r>
      <w:proofErr w:type="spellStart"/>
      <w:r w:rsidRPr="00B83F53">
        <w:t>medtype</w:t>
      </w:r>
      <w:proofErr w:type="spellEnd"/>
      <w:r w:rsidRPr="00B83F53">
        <w:t xml:space="preserve">(cline) </w:t>
      </w:r>
      <w:proofErr w:type="spellStart"/>
      <w:r w:rsidRPr="00B83F53">
        <w:t>medline</w:t>
      </w:r>
      <w:proofErr w:type="spellEnd"/>
      <w:r w:rsidRPr="00B83F53">
        <w:t>(</w:t>
      </w:r>
      <w:proofErr w:type="spellStart"/>
      <w:r w:rsidRPr="00B83F53">
        <w:t>lcolor</w:t>
      </w:r>
      <w:proofErr w:type="spellEnd"/>
      <w:r w:rsidRPr="00B83F53">
        <w:t xml:space="preserve">(black) </w:t>
      </w:r>
      <w:proofErr w:type="spellStart"/>
      <w:r w:rsidRPr="00B83F53">
        <w:t>lwidth</w:t>
      </w:r>
      <w:proofErr w:type="spellEnd"/>
      <w:r w:rsidRPr="00B83F53">
        <w:t>(thick))</w:t>
      </w:r>
    </w:p>
    <w:p w14:paraId="521EEB9A" w14:textId="33580B0C" w:rsidR="00B83F53" w:rsidRDefault="00B83F53" w:rsidP="00B83F53">
      <w:pPr>
        <w:jc w:val="center"/>
      </w:pPr>
      <w:r w:rsidRPr="00B83F53">
        <w:rPr>
          <w:noProof/>
        </w:rPr>
        <w:drawing>
          <wp:inline distT="0" distB="0" distL="0" distR="0" wp14:anchorId="6BC7A70D" wp14:editId="34B57545">
            <wp:extent cx="2514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384E0531" w14:textId="77777777" w:rsidR="00C309E6" w:rsidRDefault="00BB0598" w:rsidP="0085316B">
      <w:r>
        <w:lastRenderedPageBreak/>
        <w:t xml:space="preserve">Here, we told Stata that the median type is a </w:t>
      </w:r>
      <w:r w:rsidRPr="00C309E6">
        <w:rPr>
          <w:b/>
          <w:bCs/>
        </w:rPr>
        <w:t>cline</w:t>
      </w:r>
      <w:r>
        <w:t xml:space="preserve">, which means that it will be a colored line. </w:t>
      </w:r>
      <w:r w:rsidR="0085316B">
        <w:t xml:space="preserve">Since we specified </w:t>
      </w:r>
      <w:r w:rsidR="0085316B" w:rsidRPr="00C309E6">
        <w:rPr>
          <w:b/>
          <w:bCs/>
        </w:rPr>
        <w:t>cline</w:t>
      </w:r>
      <w:r w:rsidR="0085316B">
        <w:t xml:space="preserve"> as the </w:t>
      </w:r>
      <w:proofErr w:type="spellStart"/>
      <w:r w:rsidR="0085316B" w:rsidRPr="00C309E6">
        <w:rPr>
          <w:b/>
          <w:bCs/>
        </w:rPr>
        <w:t>medtype</w:t>
      </w:r>
      <w:proofErr w:type="spellEnd"/>
      <w:r w:rsidR="0085316B">
        <w:t xml:space="preserve">, we use the </w:t>
      </w:r>
      <w:proofErr w:type="spellStart"/>
      <w:proofErr w:type="gramStart"/>
      <w:r w:rsidR="0085316B" w:rsidRPr="00C309E6">
        <w:rPr>
          <w:b/>
          <w:bCs/>
        </w:rPr>
        <w:t>medline</w:t>
      </w:r>
      <w:proofErr w:type="spellEnd"/>
      <w:r w:rsidR="0085316B" w:rsidRPr="00C309E6">
        <w:rPr>
          <w:b/>
          <w:bCs/>
        </w:rPr>
        <w:t>(</w:t>
      </w:r>
      <w:proofErr w:type="gramEnd"/>
      <w:r w:rsidR="0085316B" w:rsidRPr="00C309E6">
        <w:rPr>
          <w:b/>
          <w:bCs/>
        </w:rPr>
        <w:t>)</w:t>
      </w:r>
      <w:r w:rsidR="0085316B">
        <w:t xml:space="preserve"> option to customize the look of the line.</w:t>
      </w:r>
      <w:r w:rsidR="00C309E6">
        <w:t xml:space="preserve"> </w:t>
      </w:r>
    </w:p>
    <w:p w14:paraId="54C3C646" w14:textId="792E71B7" w:rsidR="00BB0598" w:rsidRDefault="00C309E6" w:rsidP="0085316B">
      <w:r>
        <w:t xml:space="preserve">We can also use a marker instead of a line to draw the median. This is accomplished by specifying </w:t>
      </w:r>
      <w:r w:rsidRPr="00C309E6">
        <w:rPr>
          <w:b/>
          <w:bCs/>
        </w:rPr>
        <w:t>marker</w:t>
      </w:r>
      <w:r>
        <w:t xml:space="preserve"> as the </w:t>
      </w:r>
      <w:proofErr w:type="spellStart"/>
      <w:proofErr w:type="gramStart"/>
      <w:r w:rsidRPr="00C309E6">
        <w:rPr>
          <w:b/>
          <w:bCs/>
        </w:rPr>
        <w:t>medtype</w:t>
      </w:r>
      <w:proofErr w:type="spellEnd"/>
      <w:r w:rsidRPr="00C309E6">
        <w:rPr>
          <w:b/>
          <w:bCs/>
        </w:rPr>
        <w:t>(</w:t>
      </w:r>
      <w:proofErr w:type="gramEnd"/>
      <w:r w:rsidRPr="00C309E6">
        <w:rPr>
          <w:b/>
          <w:bCs/>
        </w:rPr>
        <w:t>)</w:t>
      </w:r>
      <w:r>
        <w:t>:</w:t>
      </w:r>
      <w:r w:rsidR="0085316B">
        <w:t xml:space="preserve"> </w:t>
      </w:r>
    </w:p>
    <w:p w14:paraId="06CE196F" w14:textId="6ADA538A" w:rsidR="00813932" w:rsidRDefault="00990486" w:rsidP="00990486">
      <w:pPr>
        <w:pStyle w:val="Quote"/>
      </w:pPr>
      <w:proofErr w:type="gramStart"/>
      <w:r w:rsidRPr="00990486">
        <w:t>graph</w:t>
      </w:r>
      <w:proofErr w:type="gramEnd"/>
      <w:r w:rsidRPr="00990486">
        <w:t xml:space="preserve"> box </w:t>
      </w:r>
      <w:proofErr w:type="spellStart"/>
      <w:r w:rsidRPr="00990486">
        <w:t>gpa</w:t>
      </w:r>
      <w:proofErr w:type="spellEnd"/>
      <w:r w:rsidRPr="00990486">
        <w:t xml:space="preserve">, </w:t>
      </w:r>
      <w:proofErr w:type="spellStart"/>
      <w:r w:rsidRPr="00990486">
        <w:t>asyvar</w:t>
      </w:r>
      <w:proofErr w:type="spellEnd"/>
      <w:r w:rsidRPr="00990486">
        <w:t xml:space="preserve"> over(gender) over(college) </w:t>
      </w:r>
      <w:proofErr w:type="spellStart"/>
      <w:r w:rsidRPr="00990486">
        <w:t>medtype</w:t>
      </w:r>
      <w:proofErr w:type="spellEnd"/>
      <w:r w:rsidRPr="00990486">
        <w:t>(marker)</w:t>
      </w:r>
    </w:p>
    <w:p w14:paraId="5E5A0BC5" w14:textId="3030B219" w:rsidR="00990486" w:rsidRDefault="00990486" w:rsidP="00990486">
      <w:pPr>
        <w:jc w:val="center"/>
      </w:pPr>
      <w:r w:rsidRPr="00990486">
        <w:rPr>
          <w:noProof/>
        </w:rPr>
        <w:drawing>
          <wp:inline distT="0" distB="0" distL="0" distR="0" wp14:anchorId="4FFBE660" wp14:editId="1264FE6A">
            <wp:extent cx="2514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572D283F" w14:textId="5E8022EA" w:rsidR="00990486" w:rsidRDefault="00295F5F" w:rsidP="004E3536">
      <w:r>
        <w:t xml:space="preserve">The default shape used is a circle, but we can customize the look of the marker just as we did when the market was a line, but this time we do it using the </w:t>
      </w:r>
      <w:proofErr w:type="spellStart"/>
      <w:r w:rsidRPr="00295F5F">
        <w:rPr>
          <w:b/>
          <w:bCs/>
        </w:rPr>
        <w:t>medmarker</w:t>
      </w:r>
      <w:proofErr w:type="spellEnd"/>
      <w:r w:rsidRPr="00295F5F">
        <w:rPr>
          <w:b/>
          <w:bCs/>
        </w:rPr>
        <w:t>()</w:t>
      </w:r>
      <w:r>
        <w:t xml:space="preserve"> option:</w:t>
      </w:r>
    </w:p>
    <w:p w14:paraId="74C855DA" w14:textId="1C9A1B26" w:rsidR="00295F5F" w:rsidRDefault="007C5AD1" w:rsidP="00295F5F">
      <w:pPr>
        <w:pStyle w:val="Quote"/>
      </w:pPr>
      <w:proofErr w:type="gramStart"/>
      <w:r w:rsidRPr="007C5AD1">
        <w:t>graph</w:t>
      </w:r>
      <w:proofErr w:type="gramEnd"/>
      <w:r w:rsidRPr="007C5AD1">
        <w:t xml:space="preserve"> box </w:t>
      </w:r>
      <w:proofErr w:type="spellStart"/>
      <w:r w:rsidRPr="007C5AD1">
        <w:t>gpa</w:t>
      </w:r>
      <w:proofErr w:type="spellEnd"/>
      <w:r w:rsidRPr="007C5AD1">
        <w:t xml:space="preserve">, </w:t>
      </w:r>
      <w:proofErr w:type="spellStart"/>
      <w:r w:rsidRPr="007C5AD1">
        <w:t>asyvar</w:t>
      </w:r>
      <w:proofErr w:type="spellEnd"/>
      <w:r w:rsidRPr="007C5AD1">
        <w:t xml:space="preserve"> over(gender) over(college) </w:t>
      </w:r>
      <w:proofErr w:type="spellStart"/>
      <w:r w:rsidRPr="007C5AD1">
        <w:t>medtype</w:t>
      </w:r>
      <w:proofErr w:type="spellEnd"/>
      <w:r w:rsidRPr="007C5AD1">
        <w:t xml:space="preserve">(marker) </w:t>
      </w:r>
      <w:proofErr w:type="spellStart"/>
      <w:r w:rsidRPr="007C5AD1">
        <w:t>medmarker</w:t>
      </w:r>
      <w:proofErr w:type="spellEnd"/>
      <w:r w:rsidRPr="007C5AD1">
        <w:t>(</w:t>
      </w:r>
      <w:proofErr w:type="spellStart"/>
      <w:r w:rsidRPr="007C5AD1">
        <w:t>msymbol</w:t>
      </w:r>
      <w:proofErr w:type="spellEnd"/>
      <w:r w:rsidRPr="007C5AD1">
        <w:t xml:space="preserve">(+) </w:t>
      </w:r>
      <w:proofErr w:type="spellStart"/>
      <w:r w:rsidRPr="007C5AD1">
        <w:t>mcolor</w:t>
      </w:r>
      <w:proofErr w:type="spellEnd"/>
      <w:r w:rsidRPr="007C5AD1">
        <w:t xml:space="preserve">(white) </w:t>
      </w:r>
      <w:proofErr w:type="spellStart"/>
      <w:r w:rsidRPr="007C5AD1">
        <w:t>msize</w:t>
      </w:r>
      <w:proofErr w:type="spellEnd"/>
      <w:r w:rsidRPr="007C5AD1">
        <w:t>(</w:t>
      </w:r>
      <w:proofErr w:type="spellStart"/>
      <w:r w:rsidRPr="007C5AD1">
        <w:t>vlarge</w:t>
      </w:r>
      <w:proofErr w:type="spellEnd"/>
      <w:r w:rsidRPr="007C5AD1">
        <w:t>))</w:t>
      </w:r>
    </w:p>
    <w:p w14:paraId="3A053524" w14:textId="2A2FA6D3" w:rsidR="00295F5F" w:rsidRDefault="007C5AD1" w:rsidP="00295F5F">
      <w:pPr>
        <w:jc w:val="center"/>
      </w:pPr>
      <w:r w:rsidRPr="007C5AD1">
        <w:rPr>
          <w:noProof/>
        </w:rPr>
        <w:drawing>
          <wp:inline distT="0" distB="0" distL="0" distR="0" wp14:anchorId="077BD068" wp14:editId="1EA979A9">
            <wp:extent cx="25146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04F92D0F" w14:textId="5769A69C" w:rsidR="00295F5F" w:rsidRDefault="00295F5F" w:rsidP="00295F5F">
      <w:r>
        <w:t xml:space="preserve">In </w:t>
      </w:r>
      <w:proofErr w:type="gramStart"/>
      <w:r>
        <w:t>this</w:t>
      </w:r>
      <w:proofErr w:type="gramEnd"/>
      <w:r>
        <w:t xml:space="preserve"> command we told Stata that the symbol to be used</w:t>
      </w:r>
      <w:r w:rsidR="007C5AD1">
        <w:t xml:space="preserve"> is a “+” sign, and that its color should be white and that the size should be very large. </w:t>
      </w:r>
      <w:r w:rsidR="004A5279">
        <w:t>To see a list of the symbols that you can use just execute the command:</w:t>
      </w:r>
    </w:p>
    <w:p w14:paraId="321EF3FB" w14:textId="1B499914" w:rsidR="004A5279" w:rsidRDefault="004A5279" w:rsidP="004A5279">
      <w:pPr>
        <w:pStyle w:val="Quote"/>
      </w:pPr>
      <w:proofErr w:type="gramStart"/>
      <w:r w:rsidRPr="004A5279">
        <w:t>help</w:t>
      </w:r>
      <w:proofErr w:type="gramEnd"/>
      <w:r w:rsidRPr="004A5279">
        <w:t xml:space="preserve"> </w:t>
      </w:r>
      <w:proofErr w:type="spellStart"/>
      <w:r w:rsidRPr="004A5279">
        <w:t>symbolstyle</w:t>
      </w:r>
      <w:proofErr w:type="spellEnd"/>
    </w:p>
    <w:p w14:paraId="718262B6" w14:textId="4616A875" w:rsidR="00334DF5" w:rsidRDefault="00334DF5" w:rsidP="00334DF5">
      <w:r>
        <w:t xml:space="preserve">Finally, we can also change the shape of the markers that specify the outside values by using the </w:t>
      </w:r>
      <w:proofErr w:type="gramStart"/>
      <w:r w:rsidRPr="005A3165">
        <w:rPr>
          <w:b/>
          <w:bCs/>
        </w:rPr>
        <w:t>marker(</w:t>
      </w:r>
      <w:proofErr w:type="gramEnd"/>
      <w:r w:rsidRPr="005A3165">
        <w:rPr>
          <w:b/>
          <w:bCs/>
        </w:rPr>
        <w:t>)</w:t>
      </w:r>
      <w:r>
        <w:t xml:space="preserve"> option:</w:t>
      </w:r>
    </w:p>
    <w:p w14:paraId="6E49792D" w14:textId="47A169B7" w:rsidR="00334DF5" w:rsidRDefault="005A3165" w:rsidP="00334DF5">
      <w:pPr>
        <w:pStyle w:val="Quote"/>
      </w:pPr>
      <w:proofErr w:type="gramStart"/>
      <w:r w:rsidRPr="005A3165">
        <w:t>graph</w:t>
      </w:r>
      <w:proofErr w:type="gramEnd"/>
      <w:r w:rsidRPr="005A3165">
        <w:t xml:space="preserve"> box </w:t>
      </w:r>
      <w:proofErr w:type="spellStart"/>
      <w:r w:rsidRPr="005A3165">
        <w:t>gpa</w:t>
      </w:r>
      <w:proofErr w:type="spellEnd"/>
      <w:r w:rsidRPr="005A3165">
        <w:t xml:space="preserve">, </w:t>
      </w:r>
      <w:proofErr w:type="spellStart"/>
      <w:r w:rsidRPr="005A3165">
        <w:t>asyvar</w:t>
      </w:r>
      <w:proofErr w:type="spellEnd"/>
      <w:r w:rsidRPr="005A3165">
        <w:t xml:space="preserve"> over(gender) over(college) marker(2, </w:t>
      </w:r>
      <w:proofErr w:type="spellStart"/>
      <w:r w:rsidRPr="005A3165">
        <w:t>msymbol</w:t>
      </w:r>
      <w:proofErr w:type="spellEnd"/>
      <w:r w:rsidRPr="005A3165">
        <w:t xml:space="preserve">(Dh) </w:t>
      </w:r>
      <w:proofErr w:type="spellStart"/>
      <w:r w:rsidRPr="005A3165">
        <w:t>mcolor</w:t>
      </w:r>
      <w:proofErr w:type="spellEnd"/>
      <w:r w:rsidRPr="005A3165">
        <w:t xml:space="preserve">(green) </w:t>
      </w:r>
      <w:proofErr w:type="spellStart"/>
      <w:r w:rsidRPr="005A3165">
        <w:t>msize</w:t>
      </w:r>
      <w:proofErr w:type="spellEnd"/>
      <w:r w:rsidRPr="005A3165">
        <w:t>(</w:t>
      </w:r>
      <w:proofErr w:type="spellStart"/>
      <w:r w:rsidRPr="005A3165">
        <w:t>vlarge</w:t>
      </w:r>
      <w:proofErr w:type="spellEnd"/>
      <w:r w:rsidRPr="005A3165">
        <w:t>))</w:t>
      </w:r>
    </w:p>
    <w:p w14:paraId="6D52A84F" w14:textId="540505DC" w:rsidR="00334DF5" w:rsidRDefault="005A3165" w:rsidP="00334DF5">
      <w:pPr>
        <w:jc w:val="center"/>
      </w:pPr>
      <w:r w:rsidRPr="005A3165">
        <w:rPr>
          <w:noProof/>
        </w:rPr>
        <w:lastRenderedPageBreak/>
        <w:drawing>
          <wp:inline distT="0" distB="0" distL="0" distR="0" wp14:anchorId="28139636" wp14:editId="502F8EA5">
            <wp:extent cx="25146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0B5FBF74" w14:textId="77777777" w:rsidR="00304F89" w:rsidRDefault="000E46EB" w:rsidP="00334DF5">
      <w:r>
        <w:t xml:space="preserve">To use this option, we need to specify which groups of markers </w:t>
      </w:r>
      <w:proofErr w:type="gramStart"/>
      <w:r>
        <w:t>are we</w:t>
      </w:r>
      <w:proofErr w:type="gramEnd"/>
      <w:r>
        <w:t xml:space="preserve"> modifying. This is because it is possible to assign different signs to different groups. In our case, there are outlier values only for females, which is the second group, so in the </w:t>
      </w:r>
      <w:proofErr w:type="gramStart"/>
      <w:r w:rsidR="00F712A4" w:rsidRPr="005A3165">
        <w:rPr>
          <w:b/>
          <w:bCs/>
        </w:rPr>
        <w:t>marker(</w:t>
      </w:r>
      <w:proofErr w:type="gramEnd"/>
      <w:r w:rsidR="00F712A4" w:rsidRPr="005A3165">
        <w:rPr>
          <w:b/>
          <w:bCs/>
        </w:rPr>
        <w:t>)</w:t>
      </w:r>
      <w:r w:rsidR="00F712A4">
        <w:t xml:space="preserve"> option, we need to specify the number 2 first. </w:t>
      </w:r>
      <w:r w:rsidR="005A3165">
        <w:t>We then specify that</w:t>
      </w:r>
      <w:r w:rsidR="00A2374F">
        <w:t xml:space="preserve"> the markets </w:t>
      </w:r>
      <w:proofErr w:type="gramStart"/>
      <w:r w:rsidR="00A2374F">
        <w:t>should be shap</w:t>
      </w:r>
      <w:r w:rsidR="005A3165">
        <w:t>ed</w:t>
      </w:r>
      <w:proofErr w:type="gramEnd"/>
      <w:r w:rsidR="005A3165">
        <w:t xml:space="preserve"> like hollow diamonds and that they should be green and very large. </w:t>
      </w:r>
    </w:p>
    <w:p w14:paraId="23021FF2" w14:textId="49D5A376" w:rsidR="006E362C" w:rsidRDefault="006E362C" w:rsidP="00334DF5">
      <w:r>
        <w:t xml:space="preserve">We can also use the </w:t>
      </w:r>
      <w:proofErr w:type="gramStart"/>
      <w:r w:rsidRPr="006E362C">
        <w:rPr>
          <w:b/>
          <w:bCs/>
        </w:rPr>
        <w:t>marker(</w:t>
      </w:r>
      <w:proofErr w:type="gramEnd"/>
      <w:r w:rsidRPr="006E362C">
        <w:rPr>
          <w:b/>
          <w:bCs/>
        </w:rPr>
        <w:t>)</w:t>
      </w:r>
      <w:r>
        <w:t xml:space="preserve"> option to label the outliers:</w:t>
      </w:r>
    </w:p>
    <w:p w14:paraId="23ECC0D5" w14:textId="2CA8EB2C" w:rsidR="006E362C" w:rsidRDefault="006E362C" w:rsidP="006E362C">
      <w:pPr>
        <w:pStyle w:val="Quote"/>
      </w:pPr>
      <w:r w:rsidRPr="006E362C">
        <w:t xml:space="preserve">graph box </w:t>
      </w:r>
      <w:proofErr w:type="spellStart"/>
      <w:r w:rsidRPr="006E362C">
        <w:t>gpa</w:t>
      </w:r>
      <w:proofErr w:type="spellEnd"/>
      <w:r w:rsidRPr="006E362C">
        <w:t xml:space="preserve">, </w:t>
      </w:r>
      <w:proofErr w:type="spellStart"/>
      <w:r w:rsidRPr="006E362C">
        <w:t>asyvar</w:t>
      </w:r>
      <w:proofErr w:type="spellEnd"/>
      <w:r w:rsidRPr="006E362C">
        <w:t xml:space="preserve"> over(gender) over(college) marker(2, </w:t>
      </w:r>
      <w:proofErr w:type="spellStart"/>
      <w:r w:rsidRPr="006E362C">
        <w:t>msymbol</w:t>
      </w:r>
      <w:proofErr w:type="spellEnd"/>
      <w:r w:rsidRPr="006E362C">
        <w:t xml:space="preserve">(Dh) </w:t>
      </w:r>
      <w:proofErr w:type="spellStart"/>
      <w:r w:rsidRPr="006E362C">
        <w:t>mcolor</w:t>
      </w:r>
      <w:proofErr w:type="spellEnd"/>
      <w:r w:rsidRPr="006E362C">
        <w:t xml:space="preserve">(green) </w:t>
      </w:r>
      <w:proofErr w:type="spellStart"/>
      <w:r w:rsidRPr="006E362C">
        <w:t>msize</w:t>
      </w:r>
      <w:proofErr w:type="spellEnd"/>
      <w:r w:rsidRPr="006E362C">
        <w:t xml:space="preserve">(small) </w:t>
      </w:r>
      <w:proofErr w:type="spellStart"/>
      <w:r w:rsidRPr="006E362C">
        <w:t>mlabel</w:t>
      </w:r>
      <w:proofErr w:type="spellEnd"/>
      <w:r w:rsidRPr="006E362C">
        <w:t>(</w:t>
      </w:r>
      <w:proofErr w:type="spellStart"/>
      <w:r w:rsidRPr="006E362C">
        <w:t>gpa</w:t>
      </w:r>
      <w:proofErr w:type="spellEnd"/>
      <w:r w:rsidRPr="006E362C">
        <w:t>))</w:t>
      </w:r>
    </w:p>
    <w:p w14:paraId="6752B985" w14:textId="72A98191" w:rsidR="006E362C" w:rsidRDefault="006E362C" w:rsidP="006E362C">
      <w:pPr>
        <w:jc w:val="center"/>
      </w:pPr>
      <w:r w:rsidRPr="006E362C">
        <w:rPr>
          <w:noProof/>
        </w:rPr>
        <w:drawing>
          <wp:inline distT="0" distB="0" distL="0" distR="0" wp14:anchorId="2C022BF0" wp14:editId="6392AB5A">
            <wp:extent cx="25146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38076EBF" w14:textId="0A612A21" w:rsidR="00304F89" w:rsidRDefault="007E7BF9" w:rsidP="00E754DB">
      <w:r>
        <w:t xml:space="preserve">Here we told Stata to label the outliers by the value of the variable </w:t>
      </w:r>
      <w:proofErr w:type="spellStart"/>
      <w:proofErr w:type="gramStart"/>
      <w:r w:rsidRPr="007E7BF9">
        <w:rPr>
          <w:i/>
          <w:iCs/>
        </w:rPr>
        <w:t>gpa</w:t>
      </w:r>
      <w:proofErr w:type="spellEnd"/>
      <w:proofErr w:type="gramEnd"/>
      <w:r>
        <w:t>.</w:t>
      </w:r>
      <w:r w:rsidR="00E754DB">
        <w:t xml:space="preserve"> </w:t>
      </w:r>
      <w:r w:rsidR="00304F89">
        <w:t xml:space="preserve">In case we </w:t>
      </w:r>
      <w:proofErr w:type="gramStart"/>
      <w:r w:rsidR="00304F89">
        <w:t>don’t</w:t>
      </w:r>
      <w:proofErr w:type="gramEnd"/>
      <w:r w:rsidR="00304F89">
        <w:t xml:space="preserve"> want the outliers to show on the graph, we can use the </w:t>
      </w:r>
      <w:proofErr w:type="spellStart"/>
      <w:r w:rsidR="00304F89" w:rsidRPr="00304F89">
        <w:rPr>
          <w:b/>
          <w:bCs/>
        </w:rPr>
        <w:t>nooutsides</w:t>
      </w:r>
      <w:proofErr w:type="spellEnd"/>
      <w:r w:rsidR="00304F89">
        <w:t xml:space="preserve"> option:</w:t>
      </w:r>
    </w:p>
    <w:p w14:paraId="12562604" w14:textId="77777777" w:rsidR="00304F89" w:rsidRDefault="00304F89" w:rsidP="00304F89">
      <w:pPr>
        <w:pStyle w:val="Quote"/>
      </w:pPr>
      <w:proofErr w:type="gramStart"/>
      <w:r w:rsidRPr="00304F89">
        <w:t>graph</w:t>
      </w:r>
      <w:proofErr w:type="gramEnd"/>
      <w:r w:rsidRPr="00304F89">
        <w:t xml:space="preserve"> box </w:t>
      </w:r>
      <w:proofErr w:type="spellStart"/>
      <w:r w:rsidRPr="00304F89">
        <w:t>gpa</w:t>
      </w:r>
      <w:proofErr w:type="spellEnd"/>
      <w:r w:rsidRPr="00304F89">
        <w:t xml:space="preserve">, </w:t>
      </w:r>
      <w:proofErr w:type="spellStart"/>
      <w:r w:rsidRPr="00304F89">
        <w:t>asyvar</w:t>
      </w:r>
      <w:proofErr w:type="spellEnd"/>
      <w:r w:rsidRPr="00304F89">
        <w:t xml:space="preserve"> over(gender) over(college) </w:t>
      </w:r>
      <w:proofErr w:type="spellStart"/>
      <w:r w:rsidRPr="00304F89">
        <w:t>nooutsides</w:t>
      </w:r>
      <w:proofErr w:type="spellEnd"/>
    </w:p>
    <w:p w14:paraId="747AB15D" w14:textId="69FABEEC" w:rsidR="00334DF5" w:rsidRPr="00334DF5" w:rsidRDefault="00304F89" w:rsidP="00304F89">
      <w:pPr>
        <w:jc w:val="center"/>
      </w:pPr>
      <w:r w:rsidRPr="00304F89">
        <w:rPr>
          <w:noProof/>
        </w:rPr>
        <w:lastRenderedPageBreak/>
        <w:drawing>
          <wp:inline distT="0" distB="0" distL="0" distR="0" wp14:anchorId="4D673BDE" wp14:editId="37EF317C">
            <wp:extent cx="25146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sectPr w:rsidR="00334DF5" w:rsidRPr="00334DF5">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71A76B24" w:rsidR="00584114" w:rsidRDefault="00584114">
        <w:pPr>
          <w:pStyle w:val="Footer"/>
          <w:jc w:val="center"/>
        </w:pPr>
        <w:r>
          <w:fldChar w:fldCharType="begin"/>
        </w:r>
        <w:r>
          <w:instrText xml:space="preserve"> PAGE   \* MERGEFORMAT </w:instrText>
        </w:r>
        <w:r>
          <w:fldChar w:fldCharType="separate"/>
        </w:r>
        <w:r w:rsidR="003C5176">
          <w:rPr>
            <w:noProof/>
          </w:rPr>
          <w:t>6</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13C0F53F" w:rsidR="00584114" w:rsidRDefault="00FB511D" w:rsidP="001138AB">
    <w:pPr>
      <w:pStyle w:val="Header"/>
    </w:pPr>
    <w:r>
      <w:t>Visualizing data in</w:t>
    </w:r>
    <w:r w:rsidR="00584114">
      <w:t xml:space="preserve"> Stata – Sect</w:t>
    </w:r>
    <w:r w:rsidR="009014A4">
      <w:t xml:space="preserve">ion </w:t>
    </w:r>
    <w:r w:rsidR="00344395">
      <w:t>5</w:t>
    </w:r>
    <w:r w:rsidR="00584114">
      <w:t>.</w:t>
    </w:r>
    <w:r w:rsidR="001138AB">
      <w:t>4</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206BF"/>
    <w:rsid w:val="00035E13"/>
    <w:rsid w:val="00053274"/>
    <w:rsid w:val="00056C2D"/>
    <w:rsid w:val="000734A2"/>
    <w:rsid w:val="000910CA"/>
    <w:rsid w:val="000A05A6"/>
    <w:rsid w:val="000A3DA1"/>
    <w:rsid w:val="000C07B3"/>
    <w:rsid w:val="000E46EB"/>
    <w:rsid w:val="001138AB"/>
    <w:rsid w:val="00120B03"/>
    <w:rsid w:val="00123B67"/>
    <w:rsid w:val="00127F69"/>
    <w:rsid w:val="00186506"/>
    <w:rsid w:val="00195C86"/>
    <w:rsid w:val="001A1C25"/>
    <w:rsid w:val="001A4748"/>
    <w:rsid w:val="001B2BA9"/>
    <w:rsid w:val="001B43D9"/>
    <w:rsid w:val="001C3705"/>
    <w:rsid w:val="001E1FB5"/>
    <w:rsid w:val="001E4CFF"/>
    <w:rsid w:val="001E7BA3"/>
    <w:rsid w:val="001F2699"/>
    <w:rsid w:val="001F442D"/>
    <w:rsid w:val="001F6A0C"/>
    <w:rsid w:val="001F7BD2"/>
    <w:rsid w:val="00201B58"/>
    <w:rsid w:val="0020201D"/>
    <w:rsid w:val="002127FF"/>
    <w:rsid w:val="002156A7"/>
    <w:rsid w:val="00223F08"/>
    <w:rsid w:val="0024253D"/>
    <w:rsid w:val="00263A22"/>
    <w:rsid w:val="00276670"/>
    <w:rsid w:val="00282886"/>
    <w:rsid w:val="00286130"/>
    <w:rsid w:val="00295F5F"/>
    <w:rsid w:val="002B4272"/>
    <w:rsid w:val="002B42C1"/>
    <w:rsid w:val="002B54CC"/>
    <w:rsid w:val="002B6F6E"/>
    <w:rsid w:val="002C7F14"/>
    <w:rsid w:val="002D0706"/>
    <w:rsid w:val="002E1E1C"/>
    <w:rsid w:val="002E46B8"/>
    <w:rsid w:val="002E6486"/>
    <w:rsid w:val="002F1568"/>
    <w:rsid w:val="00304F89"/>
    <w:rsid w:val="0030752C"/>
    <w:rsid w:val="00311865"/>
    <w:rsid w:val="00315F79"/>
    <w:rsid w:val="00334DF5"/>
    <w:rsid w:val="00344395"/>
    <w:rsid w:val="003527C8"/>
    <w:rsid w:val="00382B01"/>
    <w:rsid w:val="00383D17"/>
    <w:rsid w:val="003A4FDC"/>
    <w:rsid w:val="003B2E47"/>
    <w:rsid w:val="003C5176"/>
    <w:rsid w:val="003D1D30"/>
    <w:rsid w:val="003D4741"/>
    <w:rsid w:val="003E57E0"/>
    <w:rsid w:val="003F3C7C"/>
    <w:rsid w:val="0042319F"/>
    <w:rsid w:val="004260A8"/>
    <w:rsid w:val="00430E59"/>
    <w:rsid w:val="00431F02"/>
    <w:rsid w:val="00445F93"/>
    <w:rsid w:val="004511A4"/>
    <w:rsid w:val="004531C2"/>
    <w:rsid w:val="0045382F"/>
    <w:rsid w:val="00470075"/>
    <w:rsid w:val="00475E90"/>
    <w:rsid w:val="004A5279"/>
    <w:rsid w:val="004B3C6C"/>
    <w:rsid w:val="004B3FE1"/>
    <w:rsid w:val="004E3536"/>
    <w:rsid w:val="004F46CB"/>
    <w:rsid w:val="004F575E"/>
    <w:rsid w:val="004F67CC"/>
    <w:rsid w:val="005214E2"/>
    <w:rsid w:val="00530D56"/>
    <w:rsid w:val="00543534"/>
    <w:rsid w:val="00543754"/>
    <w:rsid w:val="0056342A"/>
    <w:rsid w:val="00584114"/>
    <w:rsid w:val="005879EA"/>
    <w:rsid w:val="00590C07"/>
    <w:rsid w:val="00590E08"/>
    <w:rsid w:val="00594306"/>
    <w:rsid w:val="005A3165"/>
    <w:rsid w:val="005C2938"/>
    <w:rsid w:val="005C3B23"/>
    <w:rsid w:val="0061312A"/>
    <w:rsid w:val="00616730"/>
    <w:rsid w:val="00632A42"/>
    <w:rsid w:val="00634F97"/>
    <w:rsid w:val="0064024C"/>
    <w:rsid w:val="00647D42"/>
    <w:rsid w:val="00657563"/>
    <w:rsid w:val="006768F1"/>
    <w:rsid w:val="0069261E"/>
    <w:rsid w:val="006966BB"/>
    <w:rsid w:val="006D641A"/>
    <w:rsid w:val="006E362C"/>
    <w:rsid w:val="006E72BF"/>
    <w:rsid w:val="006F4E4C"/>
    <w:rsid w:val="006F544D"/>
    <w:rsid w:val="006F6DF3"/>
    <w:rsid w:val="00703F46"/>
    <w:rsid w:val="0071678C"/>
    <w:rsid w:val="00736374"/>
    <w:rsid w:val="007409CC"/>
    <w:rsid w:val="00743AAD"/>
    <w:rsid w:val="00753902"/>
    <w:rsid w:val="00757F2D"/>
    <w:rsid w:val="0076037B"/>
    <w:rsid w:val="00774164"/>
    <w:rsid w:val="00781ADE"/>
    <w:rsid w:val="00796CCE"/>
    <w:rsid w:val="007C5AD1"/>
    <w:rsid w:val="007E7BF9"/>
    <w:rsid w:val="007F4968"/>
    <w:rsid w:val="007F6E30"/>
    <w:rsid w:val="0080088A"/>
    <w:rsid w:val="0080627B"/>
    <w:rsid w:val="00813277"/>
    <w:rsid w:val="00813932"/>
    <w:rsid w:val="008252CA"/>
    <w:rsid w:val="00826874"/>
    <w:rsid w:val="00830073"/>
    <w:rsid w:val="00846E93"/>
    <w:rsid w:val="00847A93"/>
    <w:rsid w:val="0085316B"/>
    <w:rsid w:val="00866DE9"/>
    <w:rsid w:val="008707E6"/>
    <w:rsid w:val="008763F5"/>
    <w:rsid w:val="0089011B"/>
    <w:rsid w:val="00891270"/>
    <w:rsid w:val="00897A98"/>
    <w:rsid w:val="008A412E"/>
    <w:rsid w:val="008A4DC5"/>
    <w:rsid w:val="008B3944"/>
    <w:rsid w:val="008C2A66"/>
    <w:rsid w:val="008C7756"/>
    <w:rsid w:val="008D3118"/>
    <w:rsid w:val="008E79A8"/>
    <w:rsid w:val="008F0481"/>
    <w:rsid w:val="008F15DA"/>
    <w:rsid w:val="008F5514"/>
    <w:rsid w:val="009014A4"/>
    <w:rsid w:val="00902518"/>
    <w:rsid w:val="0094497A"/>
    <w:rsid w:val="00954CC5"/>
    <w:rsid w:val="009735A5"/>
    <w:rsid w:val="009814D8"/>
    <w:rsid w:val="0098403B"/>
    <w:rsid w:val="009876AB"/>
    <w:rsid w:val="00990486"/>
    <w:rsid w:val="009A6132"/>
    <w:rsid w:val="009B2EC0"/>
    <w:rsid w:val="009D4233"/>
    <w:rsid w:val="009E10B2"/>
    <w:rsid w:val="009F0869"/>
    <w:rsid w:val="00A06D7C"/>
    <w:rsid w:val="00A1426C"/>
    <w:rsid w:val="00A21115"/>
    <w:rsid w:val="00A2374F"/>
    <w:rsid w:val="00A43536"/>
    <w:rsid w:val="00A566CA"/>
    <w:rsid w:val="00A62F18"/>
    <w:rsid w:val="00A76CEB"/>
    <w:rsid w:val="00A82699"/>
    <w:rsid w:val="00A83771"/>
    <w:rsid w:val="00A86EC6"/>
    <w:rsid w:val="00A9360A"/>
    <w:rsid w:val="00A97BBA"/>
    <w:rsid w:val="00AB0E45"/>
    <w:rsid w:val="00AD0216"/>
    <w:rsid w:val="00AD5800"/>
    <w:rsid w:val="00AD7908"/>
    <w:rsid w:val="00AE5E95"/>
    <w:rsid w:val="00B06D46"/>
    <w:rsid w:val="00B10DBC"/>
    <w:rsid w:val="00B17E20"/>
    <w:rsid w:val="00B408A4"/>
    <w:rsid w:val="00B41302"/>
    <w:rsid w:val="00B436AE"/>
    <w:rsid w:val="00B45869"/>
    <w:rsid w:val="00B5293F"/>
    <w:rsid w:val="00B83F53"/>
    <w:rsid w:val="00BB0598"/>
    <w:rsid w:val="00BC1C77"/>
    <w:rsid w:val="00BC3316"/>
    <w:rsid w:val="00BD79C2"/>
    <w:rsid w:val="00BE719B"/>
    <w:rsid w:val="00C11E19"/>
    <w:rsid w:val="00C2086C"/>
    <w:rsid w:val="00C309E6"/>
    <w:rsid w:val="00C42367"/>
    <w:rsid w:val="00C50B24"/>
    <w:rsid w:val="00C602A3"/>
    <w:rsid w:val="00C705FB"/>
    <w:rsid w:val="00C76826"/>
    <w:rsid w:val="00C8289D"/>
    <w:rsid w:val="00C82BDC"/>
    <w:rsid w:val="00C837E7"/>
    <w:rsid w:val="00C91B82"/>
    <w:rsid w:val="00CB0C5D"/>
    <w:rsid w:val="00CB1871"/>
    <w:rsid w:val="00CB1B3C"/>
    <w:rsid w:val="00CB3A53"/>
    <w:rsid w:val="00CC22F7"/>
    <w:rsid w:val="00CE48D9"/>
    <w:rsid w:val="00CE7365"/>
    <w:rsid w:val="00CF73FC"/>
    <w:rsid w:val="00CF79BE"/>
    <w:rsid w:val="00D00C67"/>
    <w:rsid w:val="00D0557B"/>
    <w:rsid w:val="00D05A3B"/>
    <w:rsid w:val="00D23310"/>
    <w:rsid w:val="00D309EB"/>
    <w:rsid w:val="00D3238F"/>
    <w:rsid w:val="00D41E9C"/>
    <w:rsid w:val="00D50307"/>
    <w:rsid w:val="00D54C4E"/>
    <w:rsid w:val="00D61371"/>
    <w:rsid w:val="00D7637C"/>
    <w:rsid w:val="00D9725E"/>
    <w:rsid w:val="00DB1B13"/>
    <w:rsid w:val="00DB6FD8"/>
    <w:rsid w:val="00DC012E"/>
    <w:rsid w:val="00DC6051"/>
    <w:rsid w:val="00DC6CEF"/>
    <w:rsid w:val="00DE1D9A"/>
    <w:rsid w:val="00DF372A"/>
    <w:rsid w:val="00DF53D0"/>
    <w:rsid w:val="00E005F2"/>
    <w:rsid w:val="00E13FF2"/>
    <w:rsid w:val="00E274FE"/>
    <w:rsid w:val="00E27ACE"/>
    <w:rsid w:val="00E35983"/>
    <w:rsid w:val="00E41860"/>
    <w:rsid w:val="00E62BF6"/>
    <w:rsid w:val="00E71F56"/>
    <w:rsid w:val="00E74503"/>
    <w:rsid w:val="00E754DB"/>
    <w:rsid w:val="00E81F9E"/>
    <w:rsid w:val="00EA6EF6"/>
    <w:rsid w:val="00ED78DF"/>
    <w:rsid w:val="00EE655F"/>
    <w:rsid w:val="00EE688D"/>
    <w:rsid w:val="00F10D5F"/>
    <w:rsid w:val="00F138A1"/>
    <w:rsid w:val="00F342B7"/>
    <w:rsid w:val="00F60AFA"/>
    <w:rsid w:val="00F6785A"/>
    <w:rsid w:val="00F712A4"/>
    <w:rsid w:val="00F73FB6"/>
    <w:rsid w:val="00F87CBC"/>
    <w:rsid w:val="00FB2893"/>
    <w:rsid w:val="00FB511D"/>
    <w:rsid w:val="00FC51A0"/>
    <w:rsid w:val="00FD3772"/>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 w:type="character" w:styleId="Hyperlink">
    <w:name w:val="Hyperlink"/>
    <w:basedOn w:val="DefaultParagraphFont"/>
    <w:uiPriority w:val="99"/>
    <w:unhideWhenUsed/>
    <w:rsid w:val="00B45869"/>
    <w:rPr>
      <w:color w:val="0563C1" w:themeColor="hyperlink"/>
      <w:u w:val="single"/>
    </w:rPr>
  </w:style>
  <w:style w:type="paragraph" w:styleId="HTMLPreformatted">
    <w:name w:val="HTML Preformatted"/>
    <w:basedOn w:val="Normal"/>
    <w:link w:val="HTMLPreformattedChar"/>
    <w:uiPriority w:val="99"/>
    <w:semiHidden/>
    <w:unhideWhenUsed/>
    <w:rsid w:val="006F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2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6</Pages>
  <Words>734</Words>
  <Characters>3766</Characters>
  <Application>Microsoft Office Word</Application>
  <DocSecurity>0</DocSecurity>
  <Lines>75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265</cp:revision>
  <cp:lastPrinted>2019-01-07T07:07:00Z</cp:lastPrinted>
  <dcterms:created xsi:type="dcterms:W3CDTF">2018-12-05T10:34:00Z</dcterms:created>
  <dcterms:modified xsi:type="dcterms:W3CDTF">2019-01-07T07:07:00Z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