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sz w:val="26"/>
        </w:rPr>
        <w:t>Tasa de Desocupación — Jalisco. 2° Trimestre 2026</w:t>
      </w:r>
    </w:p>
    <w:p>
      <w:pPr>
        <w:spacing w:before="0" w:after="20"/>
      </w:pPr>
      <w:r>
        <w:rPr>
          <w:rFonts w:ascii="Calibri" w:hAnsi="Calibri"/>
          <w:b w:val="0"/>
          <w:i/>
          <w:sz w:val="18"/>
        </w:rPr>
        <w:t>Cifras en porcentaje (%) de la Población Económicamente Activa (PEA).</w:t>
      </w:r>
    </w:p>
    <w:p>
      <w:pPr>
        <w:spacing w:before="0" w:after="80"/>
      </w:pPr>
      <w:r>
        <w:rPr>
          <w:rFonts w:ascii="Calibri" w:hAnsi="Calibri"/>
          <w:b w:val="0"/>
          <w:i/>
          <w:sz w:val="18"/>
        </w:rPr>
        <w:t>Series originales (sin ajuste estacional), periodicidad trimestral.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Análisis Anual</w:t>
      </w:r>
      <w:r>
        <w:rPr>
          <w:rFonts w:ascii="Calibri" w:hAnsi="Calibri"/>
          <w:b w:val="0"/>
          <w:i w:val="0"/>
          <w:sz w:val="18"/>
        </w:rPr>
        <w:t xml:space="preserve">  —  Último trimestre disponible vs mismo trimestre del año anterior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0"/>
        </w:rPr>
        <w:t xml:space="preserve">La Tasa de Desocupación (TD) de Jalisco en el </w:t>
      </w:r>
      <w:r>
        <w:rPr>
          <w:rFonts w:ascii="Calibri" w:hAnsi="Calibri"/>
          <w:b/>
          <w:i w:val="0"/>
          <w:sz w:val="20"/>
        </w:rPr>
        <w:t>2° Trimestre 2026</w:t>
      </w:r>
      <w:r>
        <w:rPr>
          <w:rFonts w:ascii="Calibri" w:hAnsi="Calibri"/>
          <w:b w:val="0"/>
          <w:i w:val="0"/>
          <w:sz w:val="20"/>
        </w:rPr>
        <w:t xml:space="preserve"> fue de </w:t>
      </w:r>
      <w:r>
        <w:rPr>
          <w:rFonts w:ascii="Calibri" w:hAnsi="Calibri"/>
          <w:b/>
          <w:i w:val="0"/>
          <w:sz w:val="20"/>
        </w:rPr>
        <w:t>2.43%</w:t>
      </w:r>
      <w:r>
        <w:rPr>
          <w:rFonts w:ascii="Calibri" w:hAnsi="Calibri"/>
          <w:b w:val="0"/>
          <w:i w:val="0"/>
          <w:sz w:val="20"/>
        </w:rPr>
        <w:t xml:space="preserve">, lo que representa una </w:t>
      </w:r>
      <w:r>
        <w:rPr>
          <w:rFonts w:ascii="Calibri" w:hAnsi="Calibri"/>
          <w:b/>
          <w:i w:val="0"/>
          <w:sz w:val="20"/>
        </w:rPr>
        <w:t>disminución de 0.28 puntos porcentuales</w:t>
      </w:r>
      <w:r>
        <w:rPr>
          <w:rFonts w:ascii="Calibri" w:hAnsi="Calibri"/>
          <w:b w:val="0"/>
          <w:i w:val="0"/>
          <w:sz w:val="20"/>
        </w:rPr>
        <w:t xml:space="preserve"> respecto al mismo trimestre del año anterior, que registró </w:t>
      </w:r>
      <w:r>
        <w:rPr>
          <w:rFonts w:ascii="Calibri" w:hAnsi="Calibri"/>
          <w:b/>
          <w:i w:val="0"/>
          <w:sz w:val="20"/>
        </w:rPr>
        <w:t>2.71%</w:t>
      </w:r>
      <w:r>
        <w:rPr>
          <w:rFonts w:ascii="Calibri" w:hAnsi="Calibri"/>
          <w:b w:val="0"/>
          <w:i w:val="0"/>
          <w:sz w:val="20"/>
        </w:rPr>
        <w:t xml:space="preserve"> (T2 2025). Esto equivale a una reducción relativa del </w:t>
      </w:r>
      <w:r>
        <w:rPr>
          <w:rFonts w:ascii="Calibri" w:hAnsi="Calibri"/>
          <w:b/>
          <w:i w:val="0"/>
          <w:sz w:val="20"/>
        </w:rPr>
        <w:t>10.3%</w:t>
      </w:r>
      <w:r>
        <w:rPr>
          <w:rFonts w:ascii="Calibri" w:hAnsi="Calibri"/>
          <w:b w:val="0"/>
          <w:i w:val="0"/>
          <w:sz w:val="20"/>
        </w:rPr>
        <w:t xml:space="preserve"> anual.</w:t>
      </w:r>
    </w:p>
    <w:p>
      <w:pPr>
        <w:spacing w:before="60" w:after="120"/>
      </w:pPr>
      <w:r>
        <w:rPr>
          <w:rFonts w:ascii="Calibri" w:hAnsi="Calibri"/>
          <w:b w:val="0"/>
          <w:i w:val="0"/>
          <w:sz w:val="20"/>
        </w:rPr>
        <w:t xml:space="preserve">La TD nacional en el T2 2026 fue de </w:t>
      </w:r>
      <w:r>
        <w:rPr>
          <w:rFonts w:ascii="Calibri" w:hAnsi="Calibri"/>
          <w:b/>
          <w:i w:val="0"/>
          <w:sz w:val="20"/>
        </w:rPr>
        <w:t>2.65%</w:t>
      </w:r>
      <w:r>
        <w:rPr>
          <w:rFonts w:ascii="Calibri" w:hAnsi="Calibri"/>
          <w:b w:val="0"/>
          <w:i w:val="0"/>
          <w:sz w:val="20"/>
        </w:rPr>
        <w:t xml:space="preserve">. Jalisco se ubica </w:t>
      </w:r>
      <w:r>
        <w:rPr>
          <w:rFonts w:ascii="Calibri" w:hAnsi="Calibri"/>
          <w:b/>
          <w:i w:val="0"/>
          <w:sz w:val="20"/>
        </w:rPr>
        <w:t>0.22 pp por debajo</w:t>
      </w:r>
      <w:r>
        <w:rPr>
          <w:rFonts w:ascii="Calibri" w:hAnsi="Calibri"/>
          <w:b w:val="0"/>
          <w:i w:val="0"/>
          <w:sz w:val="20"/>
        </w:rPr>
        <w:t xml:space="preserve"> del promedio nacional.</w:t>
      </w: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Comparativo Jalisco vs Nacional — T2 2026: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1984"/>
        <w:gridCol w:w="1984"/>
        <w:gridCol w:w="2551"/>
      </w:tblGrid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Período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Jalisco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Nacional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Diferencia (pp)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T2 2025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2.71%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2.66%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+0.05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T2 2026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98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2.65%</w:t>
            </w:r>
          </w:p>
        </w:tc>
        <w:tc>
          <w:tcPr>
            <w:tcW w:type="dxa" w:w="255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−0.22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Var. pp</w:t>
            </w:r>
          </w:p>
        </w:tc>
        <w:tc>
          <w:tcPr>
            <w:tcW w:type="dxa" w:w="198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−0.28</w:t>
            </w:r>
          </w:p>
        </w:tc>
        <w:tc>
          <w:tcPr>
            <w:tcW w:type="dxa" w:w="198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−0.01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Posicionamiento Nacional</w:t>
      </w:r>
      <w:r>
        <w:rPr>
          <w:rFonts w:ascii="Calibri" w:hAnsi="Calibri"/>
          <w:b w:val="0"/>
          <w:i w:val="0"/>
          <w:sz w:val="18"/>
        </w:rPr>
        <w:t xml:space="preserve">  —  TD de Jalisco vs entidades federativas — T2 2026</w:t>
      </w:r>
    </w:p>
    <w:p>
      <w:pPr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Con </w:t>
      </w:r>
      <w:r>
        <w:rPr>
          <w:rFonts w:ascii="Calibri" w:hAnsi="Calibri"/>
          <w:b/>
          <w:i w:val="0"/>
          <w:sz w:val="20"/>
        </w:rPr>
        <w:t>2.43%</w:t>
      </w:r>
      <w:r>
        <w:rPr>
          <w:rFonts w:ascii="Calibri" w:hAnsi="Calibri"/>
          <w:b w:val="0"/>
          <w:i w:val="0"/>
          <w:sz w:val="20"/>
        </w:rPr>
        <w:t xml:space="preserve">, Jalisco ocupa el </w:t>
      </w:r>
      <w:r>
        <w:rPr>
          <w:rFonts w:ascii="Calibri" w:hAnsi="Calibri"/>
          <w:b/>
          <w:i w:val="0"/>
          <w:sz w:val="20"/>
        </w:rPr>
        <w:t>lugar 15 de 32</w:t>
      </w:r>
      <w:r>
        <w:rPr>
          <w:rFonts w:ascii="Calibri" w:hAnsi="Calibri"/>
          <w:b w:val="0"/>
          <w:i w:val="0"/>
          <w:sz w:val="20"/>
        </w:rPr>
        <w:t xml:space="preserve"> entidades federativas ordenadas de menor a mayor tasa de desocupación; 14 entidades registraron tasas inferiores. Se ubica en la parte media de la tabla nacional.</w:t>
      </w: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Top 5 entidades con menor TD (T2 2026):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819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Oaxaca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0.80%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Guerrero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1.14%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Colima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Morelos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1.68%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Yucatán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1.71%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…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15</w:t>
            </w:r>
          </w:p>
        </w:tc>
        <w:tc>
          <w:tcPr>
            <w:tcW w:type="dxa" w:w="4819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Jalisco ←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</w:tr>
    </w:tbl>
    <w:p>
      <w:pPr>
        <w:spacing w:before="0" w:after="80"/>
      </w:pP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Top 5 entidades con mayor TD (T2 2026):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4819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Ciudad de México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4.18%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Tabasco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4.03%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Coahuila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3.74%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Tlaxcala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3.43%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Guanajuato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3.21%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Comparativo Regional — Occidente / Centro-Bajío (T2 2026)</w:t>
      </w:r>
    </w:p>
    <w:p>
      <w:pPr>
        <w:keepNext/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Jalisco ocupa el </w:t>
      </w:r>
      <w:r>
        <w:rPr>
          <w:rFonts w:ascii="Calibri" w:hAnsi="Calibri"/>
          <w:b/>
          <w:i w:val="0"/>
          <w:sz w:val="20"/>
        </w:rPr>
        <w:t>4° lugar</w:t>
      </w:r>
      <w:r>
        <w:rPr>
          <w:rFonts w:ascii="Calibri" w:hAnsi="Calibri"/>
          <w:b w:val="0"/>
          <w:i w:val="0"/>
          <w:sz w:val="20"/>
        </w:rPr>
        <w:t xml:space="preserve"> con menor TD entre las 8 entidades de la región Occidente / Centro-Bajío. La media regional es </w:t>
      </w:r>
      <w:r>
        <w:rPr>
          <w:rFonts w:ascii="Calibri" w:hAnsi="Calibri"/>
          <w:b/>
          <w:i w:val="0"/>
          <w:sz w:val="20"/>
        </w:rPr>
        <w:t>2.45%</w:t>
      </w:r>
      <w:r>
        <w:rPr>
          <w:rFonts w:ascii="Calibri" w:hAnsi="Calibri"/>
          <w:b w:val="0"/>
          <w:i w:val="0"/>
          <w:sz w:val="20"/>
        </w:rPr>
        <w:t>, prácticamente igual a la tasa jalisciense.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3118"/>
        <w:gridCol w:w="1701"/>
        <w:gridCol w:w="2381"/>
      </w:tblGrid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Lugar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Estado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TD (%)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vs Media (pp)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Colima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1.58%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−0.87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Michoacán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1.77%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−0.68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Nayarit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2.41%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−0.04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Jalisco ←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−0.02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Zacatecas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2.44%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−0.01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Aguascalientes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2.62%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+0.17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San Luis Potosí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3.16%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+0.71</w:t>
            </w:r>
          </w:p>
        </w:tc>
      </w:tr>
      <w:tr>
        <w:tc>
          <w:tcPr>
            <w:tcW w:type="dxa" w:w="113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Guanajuato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3.21%</w:t>
            </w:r>
          </w:p>
        </w:tc>
        <w:tc>
          <w:tcPr>
            <w:tcW w:type="dxa" w:w="238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+0.76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311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Media regional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2.45%</w:t>
            </w:r>
          </w:p>
        </w:tc>
        <w:tc>
          <w:tcPr>
            <w:tcW w:type="dxa" w:w="238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Indicadores Complementarios del Mercado Laboral</w:t>
      </w:r>
      <w:r>
        <w:rPr>
          <w:rFonts w:ascii="Calibri" w:hAnsi="Calibri"/>
          <w:b w:val="0"/>
          <w:i w:val="0"/>
          <w:sz w:val="18"/>
        </w:rPr>
        <w:t xml:space="preserve">  —  Comparativo anual: T2 2026 vs T2 2025 — Jalisco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1247"/>
        <w:gridCol w:w="1247"/>
        <w:gridCol w:w="1247"/>
        <w:gridCol w:w="1474"/>
      </w:tblGrid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2025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T2 2026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Var. (pp)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Nacional T2 2026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Desocupación (TD)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2.71%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−0.28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2.65%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Participación Económica (TPEA)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57.9%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56.4%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−1.5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59.1%</w:t>
            </w:r>
          </w:p>
        </w:tc>
      </w:tr>
      <w:tr>
        <w:tc>
          <w:tcPr>
            <w:tcW w:type="dxa" w:w="3118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Informalidad Laboral (TIL1)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45.3%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46.5%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+1.2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55.1%</w:t>
            </w:r>
          </w:p>
        </w:tc>
      </w:tr>
      <w:tr>
        <w:tc>
          <w:tcPr>
            <w:tcW w:type="dxa" w:w="3118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Tasa de Subocupación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1.1%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1.8%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+0.7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6.9%</w:t>
            </w:r>
          </w:p>
        </w:tc>
      </w:tr>
    </w:tbl>
    <w:p>
      <w:pPr>
        <w:spacing w:before="0" w:after="80"/>
      </w:pPr>
    </w:p>
    <w:p>
      <w:pPr>
        <w:spacing w:before="60" w:after="40"/>
      </w:pPr>
      <w:r>
        <w:rPr>
          <w:rFonts w:ascii="Calibri" w:hAnsi="Calibri"/>
          <w:b/>
          <w:i w:val="0"/>
          <w:sz w:val="20"/>
        </w:rPr>
        <w:t>Notas de interpretación:</w:t>
      </w:r>
    </w:p>
    <w:p>
      <w:pPr>
        <w:spacing w:before="20" w:after="20"/>
        <w:ind w:left="567"/>
      </w:pPr>
      <w:r>
        <w:rPr>
          <w:rFonts w:ascii="Calibri" w:hAnsi="Calibri"/>
          <w:b w:val="0"/>
          <w:i w:val="0"/>
          <w:sz w:val="18"/>
        </w:rPr>
        <w:t>· La TD disminuyó 0.28 pp: menos personas buscan activamente empleo sin encontrarlo, en proporción a la PEA. Favorable.</w:t>
      </w:r>
    </w:p>
    <w:p>
      <w:pPr>
        <w:spacing w:before="20" w:after="20"/>
        <w:ind w:left="567"/>
      </w:pPr>
      <w:r>
        <w:rPr>
          <w:rFonts w:ascii="Calibri" w:hAnsi="Calibri"/>
          <w:b w:val="0"/>
          <w:i w:val="0"/>
          <w:sz w:val="18"/>
        </w:rPr>
        <w:t>· La TPEA disminuyó 1.5 pp: una proporción menor de la población en edad de trabajar participó activamente en el mercado laboral en T2 2026 frente a T2 2025.</w:t>
      </w:r>
    </w:p>
    <w:p>
      <w:pPr>
        <w:spacing w:before="20" w:after="20"/>
        <w:ind w:left="567"/>
      </w:pPr>
      <w:r>
        <w:rPr>
          <w:rFonts w:ascii="Calibri" w:hAnsi="Calibri"/>
          <w:b w:val="0"/>
          <w:i w:val="0"/>
          <w:sz w:val="18"/>
        </w:rPr>
        <w:t>· La TIL1 aumentó 1.2 pp: una proporción mayor de los ocupados trabaja en la informalidad. Se mantiene 8.6 pp por debajo del promedio nacional (55.1%); la tendencia merece seguimiento.</w:t>
      </w:r>
    </w:p>
    <w:p>
      <w:pPr>
        <w:spacing w:before="20" w:after="20"/>
        <w:ind w:left="567"/>
      </w:pPr>
      <w:r>
        <w:rPr>
          <w:rFonts w:ascii="Calibri" w:hAnsi="Calibri"/>
          <w:b w:val="0"/>
          <w:i w:val="0"/>
          <w:sz w:val="18"/>
        </w:rPr>
        <w:t>· La subocupación subió 0.7 pp (1.8%). Jalisco tiene la 3ª tasa de subocupación más baja del país (nacional: 6.9%).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keepNext/>
        <w:spacing w:before="160" w:after="40"/>
      </w:pPr>
      <w:r>
        <w:rPr>
          <w:rFonts w:ascii="Calibri" w:hAnsi="Calibri"/>
          <w:b/>
          <w:i w:val="0"/>
          <w:sz w:val="20"/>
        </w:rPr>
        <w:t>Indicadores por Sexo — Jalisco T2 2026</w:t>
      </w:r>
    </w:p>
    <w:p>
      <w:pPr>
        <w:keepNext/>
        <w:spacing w:before="60" w:after="100"/>
      </w:pPr>
      <w:r>
        <w:rPr>
          <w:rFonts w:ascii="Calibri" w:hAnsi="Calibri"/>
          <w:b w:val="0"/>
          <w:i w:val="0"/>
          <w:sz w:val="20"/>
        </w:rPr>
        <w:t xml:space="preserve">En el T2 2026 la TD de las mujeres fue de </w:t>
      </w:r>
      <w:r>
        <w:rPr>
          <w:rFonts w:ascii="Calibri" w:hAnsi="Calibri"/>
          <w:b/>
          <w:i w:val="0"/>
          <w:sz w:val="20"/>
        </w:rPr>
        <w:t>1.65%</w:t>
      </w:r>
      <w:r>
        <w:rPr>
          <w:rFonts w:ascii="Calibri" w:hAnsi="Calibri"/>
          <w:b w:val="0"/>
          <w:i w:val="0"/>
          <w:sz w:val="20"/>
        </w:rPr>
        <w:t xml:space="preserve"> y la de los hombres de </w:t>
      </w:r>
      <w:r>
        <w:rPr>
          <w:rFonts w:ascii="Calibri" w:hAnsi="Calibri"/>
          <w:b/>
          <w:i w:val="0"/>
          <w:sz w:val="20"/>
        </w:rPr>
        <w:t>2.93%</w:t>
      </w:r>
      <w:r>
        <w:rPr>
          <w:rFonts w:ascii="Calibri" w:hAnsi="Calibri"/>
          <w:b w:val="0"/>
          <w:i w:val="0"/>
          <w:sz w:val="20"/>
        </w:rPr>
        <w:t xml:space="preserve">, una brecha de </w:t>
      </w:r>
      <w:r>
        <w:rPr>
          <w:rFonts w:ascii="Calibri" w:hAnsi="Calibri"/>
          <w:b/>
          <w:i w:val="0"/>
          <w:sz w:val="20"/>
        </w:rPr>
        <w:t>−1.28 pp</w:t>
      </w:r>
      <w:r>
        <w:rPr>
          <w:rFonts w:ascii="Calibri" w:hAnsi="Calibri"/>
          <w:b w:val="0"/>
          <w:i w:val="0"/>
          <w:sz w:val="20"/>
        </w:rPr>
        <w:t xml:space="preserve"> (mujeres menos hombres). La participación económica de las mujeres (</w:t>
      </w:r>
      <w:r>
        <w:rPr>
          <w:rFonts w:ascii="Calibri" w:hAnsi="Calibri"/>
          <w:b/>
          <w:i w:val="0"/>
          <w:sz w:val="20"/>
        </w:rPr>
        <w:t>42.3%</w:t>
      </w:r>
      <w:r>
        <w:rPr>
          <w:rFonts w:ascii="Calibri" w:hAnsi="Calibri"/>
          <w:b w:val="0"/>
          <w:i w:val="0"/>
          <w:sz w:val="20"/>
        </w:rPr>
        <w:t>) se ubica 29.8 pp por debajo de la de los hombres (</w:t>
      </w:r>
      <w:r>
        <w:rPr>
          <w:rFonts w:ascii="Calibri" w:hAnsi="Calibri"/>
          <w:b/>
          <w:i w:val="0"/>
          <w:sz w:val="20"/>
        </w:rPr>
        <w:t>72.1%</w:t>
      </w:r>
      <w:r>
        <w:rPr>
          <w:rFonts w:ascii="Calibri" w:hAnsi="Calibri"/>
          <w:b w:val="0"/>
          <w:i w:val="0"/>
          <w:sz w:val="20"/>
        </w:rPr>
        <w:t>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1474"/>
        <w:gridCol w:w="1474"/>
        <w:gridCol w:w="1474"/>
        <w:gridCol w:w="1814"/>
      </w:tblGrid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Total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Hombres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Mujeres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Brecha M−H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TD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2.43%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2.93%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1.65%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−1.28 pp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TPEA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56.4%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72.1%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42.3%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−29.8 pp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TIL1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46.5%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45.4%</w:t>
            </w:r>
          </w:p>
        </w:tc>
        <w:tc>
          <w:tcPr>
            <w:tcW w:type="dxa" w:w="147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48.3%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+2.9 pp</w:t>
            </w:r>
          </w:p>
        </w:tc>
      </w:tr>
      <w:tr>
        <w:tc>
          <w:tcPr>
            <w:tcW w:type="dxa" w:w="1984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Subocupación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1.8%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1.9%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1.5%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−0.4 pp</w:t>
            </w:r>
          </w:p>
        </w:tc>
      </w:tr>
    </w:tbl>
    <w:p>
      <w:pPr>
        <w:spacing w:before="0" w:after="80"/>
      </w:pPr>
    </w:p>
    <w:p>
      <w:pPr>
        <w:keepNext/>
        <w:spacing w:before="60" w:after="60"/>
      </w:pPr>
      <w:r>
        <w:rPr>
          <w:rFonts w:ascii="Calibri" w:hAnsi="Calibri"/>
          <w:b/>
          <w:i w:val="0"/>
          <w:sz w:val="20"/>
        </w:rPr>
        <w:t>Variación anual por sexo (T2 2025 → T2 2026, pp):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1701"/>
      </w:tblGrid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sz w:val="18"/>
              </w:rPr>
              <w:t>Indicador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Hombres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sz w:val="18"/>
              </w:rPr>
              <w:t>Mujeres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TD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+0.05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−0.79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TPEA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−1.9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−1.0</w:t>
            </w:r>
          </w:p>
        </w:tc>
      </w:tr>
      <w:tr>
        <w:tc>
          <w:tcPr>
            <w:tcW w:type="dxa" w:w="1984"/>
          </w:tcPr>
          <w:p>
            <w:pPr>
              <w:keepNext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TIL1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+1.0</w:t>
            </w:r>
          </w:p>
        </w:tc>
        <w:tc>
          <w:tcPr>
            <w:tcW w:type="dxa" w:w="1701"/>
          </w:tcPr>
          <w:p>
            <w:pPr>
              <w:keepNext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+1.7</w:t>
            </w:r>
          </w:p>
        </w:tc>
      </w:tr>
      <w:tr>
        <w:tc>
          <w:tcPr>
            <w:tcW w:type="dxa" w:w="1984"/>
          </w:tcPr>
          <w:p>
            <w:pPr>
              <w:keepNext w:val="0"/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sz w:val="18"/>
              </w:rPr>
              <w:t>Subocupación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+0.8</w:t>
            </w:r>
          </w:p>
        </w:tc>
        <w:tc>
          <w:tcPr>
            <w:tcW w:type="dxa" w:w="1701"/>
          </w:tcPr>
          <w:p>
            <w:pPr>
              <w:keepNext w:val="0"/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+0.4</w:t>
            </w:r>
          </w:p>
        </w:tc>
      </w:tr>
    </w:tbl>
    <w:p>
      <w:pPr>
        <w:spacing w:before="0" w:after="80"/>
      </w:pPr>
    </w:p>
    <w:p>
      <w:pPr>
        <w:spacing w:before="60" w:after="60"/>
      </w:pPr>
      <w:r>
        <w:rPr>
          <w:rFonts w:ascii="Calibri" w:hAnsi="Calibri"/>
          <w:b w:val="0"/>
          <w:i/>
          <w:sz w:val="18"/>
        </w:rPr>
        <w:t>Las estimaciones por sexo a nivel estatal tienen mayor error de muestreo que el total; las variaciones pequeñas deben interpretarse con cautela.</w:t>
      </w:r>
    </w:p>
    <w:p>
      <w:pPr>
        <w:keepNext/>
        <w:spacing w:before="80" w:after="80"/>
        <w:pBdr>
          <w:bottom w:val="single" w:sz="6" w:space="1" w:color="888888"/>
        </w:pBdr>
      </w:pPr>
    </w:p>
    <w:p>
      <w:pPr>
        <w:spacing w:before="20" w:after="20"/>
      </w:pPr>
      <w:r>
        <w:rPr>
          <w:rFonts w:ascii="Calibri" w:hAnsi="Calibri"/>
          <w:b w:val="0"/>
          <w:i/>
          <w:sz w:val="18"/>
        </w:rPr>
        <w:t>Fuente: INEGI | Encuesta Nacional de Ocupación y Empleo (ENOE), microdatos T2 2025 y T2 2026</w:t>
      </w:r>
    </w:p>
    <w:p>
      <w:pPr>
        <w:spacing w:before="20" w:after="20"/>
      </w:pPr>
      <w:r>
        <w:rPr>
          <w:rFonts w:ascii="Calibri" w:hAnsi="Calibri"/>
          <w:b w:val="0"/>
          <w:i/>
          <w:sz w:val="18"/>
        </w:rPr>
        <w:t>Cálculos propios con la metodología de INEGI: población de 15 años y más, factor de expansión trimestral</w:t>
      </w:r>
    </w:p>
    <w:p>
      <w:pPr>
        <w:spacing w:before="20" w:after="20"/>
      </w:pPr>
      <w:r>
        <w:rPr>
          <w:rFonts w:ascii="Calibri" w:hAnsi="Calibri"/>
          <w:b w:val="0"/>
          <w:i/>
          <w:sz w:val="18"/>
        </w:rPr>
        <w:t>Jalisco (CVE 14) · Series originales (sin ajuste estacional), periodicidad trimestral</w:t>
      </w:r>
    </w:p>
    <w:p>
      <w:pPr>
        <w:spacing w:before="20" w:after="20"/>
      </w:pPr>
      <w:r>
        <w:rPr>
          <w:rFonts w:ascii="Calibri" w:hAnsi="Calibri"/>
          <w:b w:val="0"/>
          <w:i/>
          <w:sz w:val="18"/>
        </w:rPr>
        <w:t>Proyecto de Aplicación Profesional — Economía, ITESO · 2026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