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sz w:val="26"/>
        </w:rPr>
        <w:t>Tasa de Desocupación — Jalisco. 2° Trimestre 2026</w:t>
      </w:r>
    </w:p>
    <w:p>
      <w:pPr>
        <w:spacing w:before="0" w:after="80"/>
      </w:pPr>
      <w:r>
        <w:rPr>
          <w:rFonts w:ascii="Calibri" w:hAnsi="Calibri"/>
          <w:b w:val="0"/>
          <w:i/>
          <w:sz w:val="18"/>
        </w:rPr>
        <w:t>Series originales (sin ajuste estacional), periodicidad trimestral.</w:t>
      </w: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Análisis Anual</w:t>
      </w:r>
      <w:r>
        <w:rPr>
          <w:rFonts w:ascii="Calibri" w:hAnsi="Calibri"/>
          <w:b w:val="0"/>
          <w:i w:val="0"/>
          <w:sz w:val="18"/>
        </w:rPr>
        <w:t xml:space="preserve">  —  Último trimestre disponible vs mismo trimestre del año anterior</w:t>
      </w:r>
    </w:p>
    <w:p>
      <w:pPr>
        <w:keepNext/>
        <w:spacing w:before="60" w:after="60"/>
      </w:pPr>
      <w:r>
        <w:rPr>
          <w:rFonts w:ascii="Calibri" w:hAnsi="Calibri"/>
          <w:b/>
          <w:i w:val="0"/>
          <w:sz w:val="20"/>
        </w:rPr>
        <w:t>Comparativo Jalisco vs Nacional — T2 2026: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1984"/>
        <w:gridCol w:w="1984"/>
        <w:gridCol w:w="2551"/>
      </w:tblGrid>
      <w:tr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Período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Jalisco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Nacional</w:t>
            </w:r>
          </w:p>
        </w:tc>
        <w:tc>
          <w:tcPr>
            <w:tcW w:type="dxa" w:w="255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Diferencia (pp)</w:t>
            </w:r>
          </w:p>
        </w:tc>
      </w:tr>
      <w:tr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T2 2025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2.71%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2.66%</w:t>
            </w:r>
          </w:p>
        </w:tc>
        <w:tc>
          <w:tcPr>
            <w:tcW w:type="dxa" w:w="255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+0.05</w:t>
            </w:r>
          </w:p>
        </w:tc>
      </w:tr>
      <w:tr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T2 2026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2.43%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2.65%</w:t>
            </w:r>
          </w:p>
        </w:tc>
        <w:tc>
          <w:tcPr>
            <w:tcW w:type="dxa" w:w="255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−0.22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Var. pp</w:t>
            </w:r>
          </w:p>
        </w:tc>
        <w:tc>
          <w:tcPr>
            <w:tcW w:type="dxa" w:w="198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−0.28</w:t>
            </w:r>
          </w:p>
        </w:tc>
        <w:tc>
          <w:tcPr>
            <w:tcW w:type="dxa" w:w="198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−0.01</w:t>
            </w:r>
          </w:p>
        </w:tc>
        <w:tc>
          <w:tcPr>
            <w:tcW w:type="dxa" w:w="255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0" w:after="80"/>
      </w:pP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Posicionamiento Nacional</w:t>
      </w:r>
      <w:r>
        <w:rPr>
          <w:rFonts w:ascii="Calibri" w:hAnsi="Calibri"/>
          <w:b w:val="0"/>
          <w:i w:val="0"/>
          <w:sz w:val="18"/>
        </w:rPr>
        <w:t xml:space="preserve">  —  TD de Jalisco vs entidades federativas — T2 2026</w:t>
      </w:r>
    </w:p>
    <w:p>
      <w:pPr>
        <w:keepNext/>
        <w:spacing w:before="60" w:after="60"/>
      </w:pPr>
      <w:r>
        <w:rPr>
          <w:rFonts w:ascii="Calibri" w:hAnsi="Calibri"/>
          <w:b/>
          <w:i w:val="0"/>
          <w:sz w:val="20"/>
        </w:rPr>
        <w:t>Top 5 entidades con menor TD (T2 2026):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4819"/>
        <w:gridCol w:w="2381"/>
      </w:tblGrid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Lugar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Estado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TD (%)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Oaxaca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0.80%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Guerrero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1.14%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Colima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1.58%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Morelos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1.68%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Yucatán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1.71%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…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…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…</w:t>
            </w:r>
          </w:p>
        </w:tc>
      </w:tr>
      <w:tr>
        <w:tc>
          <w:tcPr>
            <w:tcW w:type="dxa" w:w="113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4819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Jalisco ←</w:t>
            </w:r>
          </w:p>
        </w:tc>
        <w:tc>
          <w:tcPr>
            <w:tcW w:type="dxa" w:w="238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2.43%</w:t>
            </w:r>
          </w:p>
        </w:tc>
      </w:tr>
    </w:tbl>
    <w:p>
      <w:pPr>
        <w:spacing w:before="0" w:after="80"/>
      </w:pPr>
    </w:p>
    <w:p>
      <w:pPr>
        <w:keepNext/>
        <w:spacing w:before="60" w:after="60"/>
      </w:pPr>
      <w:r>
        <w:rPr>
          <w:rFonts w:ascii="Calibri" w:hAnsi="Calibri"/>
          <w:b/>
          <w:i w:val="0"/>
          <w:sz w:val="20"/>
        </w:rPr>
        <w:t>Top 5 entidades con mayor TD (T2 2026):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4819"/>
        <w:gridCol w:w="2381"/>
      </w:tblGrid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Lugar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Estado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TD (%)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Ciudad de México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4.18%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Tabasco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4.03%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Coahuila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3.74%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Tlaxcala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3.43%</w:t>
            </w:r>
          </w:p>
        </w:tc>
      </w:tr>
      <w:tr>
        <w:tc>
          <w:tcPr>
            <w:tcW w:type="dxa" w:w="113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Guanajuato</w:t>
            </w:r>
          </w:p>
        </w:tc>
        <w:tc>
          <w:tcPr>
            <w:tcW w:type="dxa" w:w="238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3.21%</w:t>
            </w:r>
          </w:p>
        </w:tc>
      </w:tr>
    </w:tbl>
    <w:p>
      <w:pPr>
        <w:spacing w:before="0" w:after="80"/>
      </w:pP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Comparativo Regional — Occidente / Centro-Bajío (T2 2026)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3118"/>
        <w:gridCol w:w="1701"/>
        <w:gridCol w:w="2381"/>
      </w:tblGrid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Lugar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Estado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TD (%)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vs Media (pp)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Colima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1.58%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−0.87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Michoacán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1.77%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−0.68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Nayarit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2.41%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−0.04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Jalisco ←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2.43%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−0.02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Zacatecas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2.44%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−0.01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Aguascalientes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2.62%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+0.17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San Luis Potosí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3.16%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+0.71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Guanajuato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3.21%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+0.76</w:t>
            </w:r>
          </w:p>
        </w:tc>
      </w:tr>
      <w:tr>
        <w:tc>
          <w:tcPr>
            <w:tcW w:type="dxa" w:w="113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118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Media regional</w:t>
            </w:r>
          </w:p>
        </w:tc>
        <w:tc>
          <w:tcPr>
            <w:tcW w:type="dxa" w:w="170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2.45%</w:t>
            </w:r>
          </w:p>
        </w:tc>
        <w:tc>
          <w:tcPr>
            <w:tcW w:type="dxa" w:w="238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0" w:after="80"/>
      </w:pP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Indicadores Complementarios del Mercado Laboral</w:t>
      </w:r>
      <w:r>
        <w:rPr>
          <w:rFonts w:ascii="Calibri" w:hAnsi="Calibri"/>
          <w:b w:val="0"/>
          <w:i w:val="0"/>
          <w:sz w:val="18"/>
        </w:rPr>
        <w:t xml:space="preserve">  —  Comparativo anual: T2 2026 vs T2 2025 — Jalisco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1247"/>
        <w:gridCol w:w="1247"/>
        <w:gridCol w:w="1247"/>
        <w:gridCol w:w="1474"/>
      </w:tblGrid>
      <w:tr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Indicador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T2 2025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T2 2026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Var. (pp)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Nacional T2 2026</w:t>
            </w:r>
          </w:p>
        </w:tc>
      </w:tr>
      <w:tr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Tasa de Desocupación (TD)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2.71%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2.43%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−0.28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2.65%</w:t>
            </w:r>
          </w:p>
        </w:tc>
      </w:tr>
      <w:tr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Tasa de Participación Económica (TPEA)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57.9%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56.4%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−1.5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59.1%</w:t>
            </w:r>
          </w:p>
        </w:tc>
      </w:tr>
      <w:tr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Tasa de Informalidad Laboral (TIL1)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45.3%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46.5%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+1.2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55.1%</w:t>
            </w:r>
          </w:p>
        </w:tc>
      </w:tr>
      <w:tr>
        <w:tc>
          <w:tcPr>
            <w:tcW w:type="dxa" w:w="3118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Tasa de Subocupación</w:t>
            </w:r>
          </w:p>
        </w:tc>
        <w:tc>
          <w:tcPr>
            <w:tcW w:type="dxa" w:w="1247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1.1%</w:t>
            </w:r>
          </w:p>
        </w:tc>
        <w:tc>
          <w:tcPr>
            <w:tcW w:type="dxa" w:w="1247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1.8%</w:t>
            </w:r>
          </w:p>
        </w:tc>
        <w:tc>
          <w:tcPr>
            <w:tcW w:type="dxa" w:w="1247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+0.7</w:t>
            </w:r>
          </w:p>
        </w:tc>
        <w:tc>
          <w:tcPr>
            <w:tcW w:type="dxa" w:w="147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6.9%</w:t>
            </w:r>
          </w:p>
        </w:tc>
      </w:tr>
    </w:tbl>
    <w:p>
      <w:pPr>
        <w:spacing w:before="0" w:after="80"/>
      </w:pP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Indicadores por Sexo — Jalisco T2 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1474"/>
        <w:gridCol w:w="1474"/>
        <w:gridCol w:w="1474"/>
        <w:gridCol w:w="1814"/>
      </w:tblGrid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Indicador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Total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Hombres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Mujeres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Brecha M−H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TD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2.43%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2.93%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1.65%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−1.28 pp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TPEA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56.4%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72.1%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42.3%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−29.8 pp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TIL1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46.5%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45.4%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48.3%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+2.9 pp</w:t>
            </w:r>
          </w:p>
        </w:tc>
      </w:tr>
      <w:tr>
        <w:tc>
          <w:tcPr>
            <w:tcW w:type="dxa" w:w="1984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Subocupación</w:t>
            </w:r>
          </w:p>
        </w:tc>
        <w:tc>
          <w:tcPr>
            <w:tcW w:type="dxa" w:w="147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1.8%</w:t>
            </w:r>
          </w:p>
        </w:tc>
        <w:tc>
          <w:tcPr>
            <w:tcW w:type="dxa" w:w="147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1.9%</w:t>
            </w:r>
          </w:p>
        </w:tc>
        <w:tc>
          <w:tcPr>
            <w:tcW w:type="dxa" w:w="147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1.5%</w:t>
            </w:r>
          </w:p>
        </w:tc>
        <w:tc>
          <w:tcPr>
            <w:tcW w:type="dxa" w:w="181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−0.4 pp</w:t>
            </w:r>
          </w:p>
        </w:tc>
      </w:tr>
    </w:tbl>
    <w:p>
      <w:pPr>
        <w:spacing w:before="0" w:after="80"/>
      </w:pPr>
    </w:p>
    <w:p>
      <w:pPr>
        <w:keepNext/>
        <w:spacing w:before="60" w:after="60"/>
      </w:pPr>
      <w:r>
        <w:rPr>
          <w:rFonts w:ascii="Calibri" w:hAnsi="Calibri"/>
          <w:b/>
          <w:i w:val="0"/>
          <w:sz w:val="20"/>
        </w:rPr>
        <w:t>Variación anual por sexo (T2 2025 → T2 2026, pp):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</w:tblGrid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Indicador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Hombres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Mujeres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TD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+0.05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−0.79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TPEA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−1.9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−1.0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TIL1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+1.0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+1.7</w:t>
            </w:r>
          </w:p>
        </w:tc>
      </w:tr>
      <w:tr>
        <w:tc>
          <w:tcPr>
            <w:tcW w:type="dxa" w:w="1984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Subocupación</w:t>
            </w:r>
          </w:p>
        </w:tc>
        <w:tc>
          <w:tcPr>
            <w:tcW w:type="dxa" w:w="170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+0.8</w:t>
            </w:r>
          </w:p>
        </w:tc>
        <w:tc>
          <w:tcPr>
            <w:tcW w:type="dxa" w:w="170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+0.4</w:t>
            </w: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rFonts w:ascii="Calibri" w:hAnsi="Calibri"/>
          <w:b w:val="0"/>
          <w:i/>
          <w:sz w:val="18"/>
        </w:rPr>
        <w:t>Las estimaciones por sexo tienen mayor error de muestreo; cautela con variaciones pequeñas.</w:t>
      </w: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Población Ocupada — Jalisco T2 2026</w:t>
      </w:r>
      <w:r>
        <w:rPr>
          <w:rFonts w:ascii="Calibri" w:hAnsi="Calibri"/>
          <w:b w:val="0"/>
          <w:i w:val="0"/>
          <w:sz w:val="18"/>
        </w:rPr>
        <w:t xml:space="preserve">  —  Personas y variación (absoluta y %)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8"/>
        <w:gridCol w:w="1247"/>
        <w:gridCol w:w="1550"/>
        <w:gridCol w:w="1550"/>
        <w:gridCol w:w="1550"/>
      </w:tblGrid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Concepto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T2 2026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vs T4 2025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vs T2 2025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vs T1 2026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Población ocupada total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3,822,914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−87,477 (−2.2%)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−52,020 (−1.3%)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−25,122 (−0.7%)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Formalidad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Formal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2,043,778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+47,830 (+2.4%)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−76,177 (−3.6%)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+66,356 (+3.4%)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Informal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1,779,136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−135,307 (−7.1%)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+24,157 (+1.4%)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−91,478 (−4.9%)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Sexo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Hombres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2,308,608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−43,996 (−1.9%)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−32,774 (−1.4%)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−50,386 (−2.1%)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Mujeres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1,514,306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−43,481 (−2.8%)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−19,246 (−1.3%)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+25,264 (+1.7%)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Actividad económica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Agropecuario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338,695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−21,238 (−5.9%)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+1,189 (+0.4%)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−2,300 (−0.7%)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Ind. extractiva y electricidad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10,835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+1,747 (+19.2%)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+2,629 (+32.0%)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−3,790 (−25.9%)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Manufactura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730,329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+20,020 (+2.8%)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−5,328 (−0.7%)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+5,984 (+0.8%)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Construcción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363,020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+17,004 (+4.9%)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+37,219 (+11.4%)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+23,654 (+7.0%)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Comercio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753,504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−52,840 (−6.6%)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−44,717 (−5.6%)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−39,447 (−5.0%)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Restaurantes y alojamiento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317,744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−28,919 (−8.3%)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−11,591 (−3.5%)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−10,977 (−3.3%)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Transportes y comunicaciones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186,269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−7,196 (−3.7%)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−17,966 (−8.8%)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−9,623 (−4.9%)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Serv. profesionales y financ.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305,117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−3,010 (−1.0%)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−1,674 (−0.5%)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+13,791 (+4.7%)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Servicios sociales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281,684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−11,452 (−3.9%)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−27,327 (−8.8%)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+1,226 (+0.4%)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Servicios diversos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430,109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+29,670 (+7.4%)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+29,074 (+7.2%)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−1,590 (−0.4%)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Gobierno y org. internac.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96,638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−25,359 (−20.8%)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−2,211 (−2.2%)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−7,613 (−7.3%)</w:t>
            </w:r>
          </w:p>
        </w:tc>
      </w:tr>
      <w:tr>
        <w:tc>
          <w:tcPr>
            <w:tcW w:type="dxa" w:w="2608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No especificado</w:t>
            </w:r>
          </w:p>
        </w:tc>
        <w:tc>
          <w:tcPr>
            <w:tcW w:type="dxa" w:w="1247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8,970</w:t>
            </w:r>
          </w:p>
        </w:tc>
        <w:tc>
          <w:tcPr>
            <w:tcW w:type="dxa" w:w="1550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−5,904 (−39.7%)</w:t>
            </w:r>
          </w:p>
        </w:tc>
        <w:tc>
          <w:tcPr>
            <w:tcW w:type="dxa" w:w="1550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−11,317 (−55.8%)</w:t>
            </w:r>
          </w:p>
        </w:tc>
        <w:tc>
          <w:tcPr>
            <w:tcW w:type="dxa" w:w="1550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+5,563 (+163.3%)</w:t>
            </w: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rFonts w:ascii="Calibri" w:hAnsi="Calibri"/>
          <w:b w:val="0"/>
          <w:i/>
          <w:sz w:val="18"/>
        </w:rPr>
        <w:t>Sectores con pocos casos (Ind. extractiva y electricidad, No especificado): variaciones poco confiables.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