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sz w:val="26"/>
        </w:rPr>
        <w:t>Tasa de Desocupación — Jalisco. 1° Trimestre 2026</w:t>
      </w:r>
    </w:p>
    <w:p>
      <w:pPr>
        <w:spacing w:before="0" w:after="80"/>
      </w:pPr>
      <w:r>
        <w:rPr>
          <w:rFonts w:ascii="Calibri" w:hAnsi="Calibri"/>
          <w:b w:val="0"/>
          <w:i/>
          <w:sz w:val="18"/>
        </w:rPr>
        <w:t>Series originales (sin ajuste estacional), periodicidad trimestral.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Análisis Anual</w:t>
      </w:r>
      <w:r>
        <w:rPr>
          <w:rFonts w:ascii="Calibri" w:hAnsi="Calibri"/>
          <w:b w:val="0"/>
          <w:i w:val="0"/>
          <w:sz w:val="18"/>
        </w:rPr>
        <w:t xml:space="preserve">  —  Último trimestre disponible vs mismo trimestre del año anterior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Comparativo Jalisco vs Nacional — T1 2026: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984"/>
        <w:gridCol w:w="1984"/>
        <w:gridCol w:w="2551"/>
      </w:tblGrid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Período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Jalisco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Diferencia (pp)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T1 2025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1.69%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2.46%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−0.77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T1 2026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1.60%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2.55%</w:t>
            </w:r>
          </w:p>
        </w:tc>
        <w:tc>
          <w:tcPr>
            <w:tcW w:type="dxa" w:w="255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−0.95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Var. pp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−0.09</w:t>
            </w:r>
          </w:p>
        </w:tc>
        <w:tc>
          <w:tcPr>
            <w:tcW w:type="dxa" w:w="198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+0.09</w:t>
            </w:r>
          </w:p>
        </w:tc>
        <w:tc>
          <w:tcPr>
            <w:tcW w:type="dxa" w:w="255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Posicionamiento Nacional</w:t>
      </w:r>
      <w:r>
        <w:rPr>
          <w:rFonts w:ascii="Calibri" w:hAnsi="Calibri"/>
          <w:b w:val="0"/>
          <w:i w:val="0"/>
          <w:sz w:val="18"/>
        </w:rPr>
        <w:t xml:space="preserve">  —  TD de Jalisco vs entidades federativas — T1 2026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menor TD (T1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Oaxaca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1.16%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Guerrero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1.40%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Hidalgo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1.51%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Yucatán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1.55%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1.60%</w:t>
            </w:r>
          </w:p>
        </w:tc>
      </w:tr>
    </w:tbl>
    <w:p>
      <w:pPr>
        <w:spacing w:before="0" w:after="8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Top 5 entidades con mayor TD (T1 2026):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Ciudad de México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3.98%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Tabasco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3.53%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Coahuila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3.39%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Durango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3.19%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3.15%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Comparativo Regional — Occidente / Centro-Bajío (T1 2026)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118"/>
        <w:gridCol w:w="1701"/>
        <w:gridCol w:w="2381"/>
      </w:tblGrid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Lugar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Estado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TD (%)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Media (pp)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Jalisco ←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1.60%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−0.70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Colima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1.68%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−0.62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Michoacán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1.77%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−0.53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Nayarit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2.04%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−0.26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Aguascalientes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2.16%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−0.14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Zacatecas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2.96%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+0.66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San Luis Potosí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3.02%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+0.72</w:t>
            </w:r>
          </w:p>
        </w:tc>
      </w:tr>
      <w:tr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Guanajuato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3.15%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+0.85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Media regional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2.30%</w:t>
            </w:r>
          </w:p>
        </w:tc>
        <w:tc>
          <w:tcPr>
            <w:tcW w:type="dxa" w:w="238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Complementarios del Mercado Laboral</w:t>
      </w:r>
      <w:r>
        <w:rPr>
          <w:rFonts w:ascii="Calibri" w:hAnsi="Calibri"/>
          <w:b w:val="0"/>
          <w:i w:val="0"/>
          <w:sz w:val="18"/>
        </w:rPr>
        <w:t xml:space="preserve">  —  Comparativo anual: T1 2026 vs T1 2025 — Jalisco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1247"/>
        <w:gridCol w:w="1247"/>
        <w:gridCol w:w="1247"/>
        <w:gridCol w:w="1474"/>
      </w:tblGrid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T1 2025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T1 2026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Var. (pp)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Nacional T1 2026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Desocupación (TD)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1.69%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1.60%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−0.09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2.55%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Participación Económica (TPEA)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58.2%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56.2%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−2.0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58.7%</w:t>
            </w:r>
          </w:p>
        </w:tc>
      </w:tr>
      <w:tr>
        <w:tc>
          <w:tcPr>
            <w:tcW w:type="dxa" w:w="311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Informalidad Laboral (TIL1)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46.9%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48.6%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+1.7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54.8%</w:t>
            </w:r>
          </w:p>
        </w:tc>
      </w:tr>
      <w:tr>
        <w:tc>
          <w:tcPr>
            <w:tcW w:type="dxa" w:w="311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Tasa de Subocupación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2.8%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+1.2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6.6%</w:t>
            </w:r>
          </w:p>
        </w:tc>
      </w:tr>
    </w:tbl>
    <w:p>
      <w:pPr>
        <w:spacing w:before="0" w:after="80"/>
      </w:pP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Indicadores por Sexo — Jalisco T1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474"/>
        <w:gridCol w:w="1474"/>
        <w:gridCol w:w="1474"/>
        <w:gridCol w:w="1814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Brecha M−H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1.60%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1.81%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1.27%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−0.54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56.2%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72.2%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41.6%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−30.6 pp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48.6%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47.9%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49.7%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+1.8 pp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2.8%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2.8%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2.7%</w:t>
            </w:r>
          </w:p>
        </w:tc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−0.1 pp</w:t>
            </w:r>
          </w:p>
        </w:tc>
      </w:tr>
    </w:tbl>
    <w:p>
      <w:pPr>
        <w:spacing w:before="0" w:after="8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0"/>
        </w:rPr>
        <w:t>Variación anual por sexo (T1 2025 → T1 2026, pp):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</w:tblGrid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Indicador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Hombres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Mujeres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TD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+0.16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−0.48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TPEA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−2.3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−2.2</w:t>
            </w:r>
          </w:p>
        </w:tc>
      </w:tr>
      <w:tr>
        <w:tc>
          <w:tcPr>
            <w:tcW w:type="dxa" w:w="1984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TIL1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+1.3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+2.2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Subocupación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+1.1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+1.3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Las estimaciones por sexo tienen mayor error de muestreo; cautela con variaciones pequeñas.</w:t>
      </w:r>
    </w:p>
    <w:p>
      <w:pPr>
        <w:keepNext/>
        <w:spacing w:before="80" w:after="80"/>
        <w:pBdr>
          <w:bottom w:val="single" w:sz="6" w:space="1" w:color="888888"/>
        </w:pBdr>
      </w:pPr>
    </w:p>
    <w:p>
      <w:pPr>
        <w:keepNext/>
        <w:spacing w:before="160" w:after="40"/>
      </w:pPr>
      <w:r>
        <w:rPr>
          <w:rFonts w:ascii="Calibri" w:hAnsi="Calibri"/>
          <w:b/>
          <w:i w:val="0"/>
          <w:sz w:val="20"/>
        </w:rPr>
        <w:t>Población Ocupada — Jalisco T1 2026</w:t>
      </w:r>
      <w:r>
        <w:rPr>
          <w:rFonts w:ascii="Calibri" w:hAnsi="Calibri"/>
          <w:b w:val="0"/>
          <w:i w:val="0"/>
          <w:sz w:val="18"/>
        </w:rPr>
        <w:t xml:space="preserve">  —  Personas y variación (absoluta y %)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1247"/>
        <w:gridCol w:w="2324"/>
        <w:gridCol w:w="2324"/>
      </w:tblGrid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Concepto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T1 2026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T4 2025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vs T1 2025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Población ocupada total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3,848,036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−62,355 (−1.6%)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−76,719 (−2.0%)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Formalidad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1,977,422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−18,526 (−0.9%)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−105,067 (−5.0%)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Informal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1,870,614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−43,829 (−2.3%)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+28,348 (+1.5%)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Sexo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Hombres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2,358,994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+6,390 (+0.3%)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+4,392 (+0.2%)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Mujeres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1,489,042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−68,745 (−4.4%)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−81,111 (−5.2%)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Actividad económica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Agropecuario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340,995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−18,938 (−5.3%)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+70,688 (+26.2%)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Ind. extractiva y electricidad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14,625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+5,537 (+60.9%)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+2,738 (+23.0%)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Manufactura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724,345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+14,036 (+2.0%)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+18,186 (+2.6%)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Construcción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339,366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−6,650 (−1.9%)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−29,053 (−7.9%)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Comercio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792,951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−13,393 (−1.7%)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+21,707 (+2.8%)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Restaurantes y alojamiento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328,721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−17,942 (−5.2%)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−43,488 (−11.7%)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Transportes y comunicaciones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195,892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+2,427 (+1.3%)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−11,755 (−5.7%)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Serv. profesionales y financ.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291,326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−16,801 (−5.5%)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−61,666 (−17.5%)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sociales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280,458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−12,678 (−4.3%)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−48,423 (−14.7%)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Servicios diversos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431,699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+31,260 (+7.8%)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+28,917 (+7.2%)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Gobierno y org. internac.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104,251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−17,746 (−14.5%)</w:t>
            </w:r>
          </w:p>
        </w:tc>
        <w:tc>
          <w:tcPr>
            <w:tcW w:type="dxa" w:w="2324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−7,649 (−6.8%)</w:t>
            </w:r>
          </w:p>
        </w:tc>
      </w:tr>
      <w:tr>
        <w:tc>
          <w:tcPr>
            <w:tcW w:type="dxa" w:w="2608"/>
          </w:tcPr>
          <w:p>
            <w:pPr>
              <w:keepNext w:val="0"/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No especificado</w:t>
            </w:r>
          </w:p>
        </w:tc>
        <w:tc>
          <w:tcPr>
            <w:tcW w:type="dxa" w:w="1247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3,407</w:t>
            </w:r>
          </w:p>
        </w:tc>
        <w:tc>
          <w:tcPr>
            <w:tcW w:type="dxa" w:w="232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−11,467 (−77.1%)</w:t>
            </w:r>
          </w:p>
        </w:tc>
        <w:tc>
          <w:tcPr>
            <w:tcW w:type="dxa" w:w="2324"/>
          </w:tcPr>
          <w:p>
            <w:pPr>
              <w:keepNext w:val="0"/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−16,921 (−83.2%)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b w:val="0"/>
          <w:i/>
          <w:sz w:val="18"/>
        </w:rPr>
        <w:t>Sectores con pocos casos (Ind. extractiva y electricidad, No especificado): variaciones poco confiables.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