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sz w:val="26"/>
        </w:rPr>
        <w:t>Tasa de Desocupación — Jalisco. 2° Trimestre 2026</w:t>
      </w:r>
    </w:p>
    <w:p>
      <w:pPr>
        <w:spacing w:before="0" w:after="80"/>
      </w:pPr>
      <w:r>
        <w:rPr>
          <w:rFonts w:ascii="Calibri" w:hAnsi="Calibri"/>
          <w:b w:val="0"/>
          <w:i/>
          <w:sz w:val="18"/>
        </w:rPr>
        <w:t>Series originales (sin ajuste estacional), periodicidad trimestral.</w:t>
      </w: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Análisis Anual</w:t>
      </w:r>
      <w:r>
        <w:rPr>
          <w:rFonts w:ascii="Calibri" w:hAnsi="Calibri"/>
          <w:b w:val="0"/>
          <w:i w:val="0"/>
          <w:sz w:val="18"/>
        </w:rPr>
        <w:t xml:space="preserve">  —  Último trimestre disponible vs mismo trimestre del año anterior</w:t>
      </w:r>
    </w:p>
    <w:p>
      <w:pPr>
        <w:spacing w:before="60" w:after="100"/>
      </w:pPr>
      <w:r>
        <w:rPr>
          <w:rFonts w:ascii="Calibri" w:hAnsi="Calibri"/>
          <w:b w:val="0"/>
          <w:i w:val="0"/>
          <w:sz w:val="20"/>
        </w:rPr>
        <w:t xml:space="preserve">La TD es el porcentaje de la población económicamente activa que no tiene trabajo y lo busca; una variación negativa es favorable. En el T2 2026 Jalisco registró </w:t>
      </w:r>
      <w:r>
        <w:rPr>
          <w:rFonts w:ascii="Calibri" w:hAnsi="Calibri"/>
          <w:b/>
          <w:i w:val="0"/>
          <w:sz w:val="20"/>
        </w:rPr>
        <w:t>2.43%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alibri" w:hAnsi="Calibri"/>
          <w:b/>
          <w:i w:val="0"/>
          <w:sz w:val="20"/>
        </w:rPr>
        <w:t>−0.28 pp</w:t>
      </w:r>
      <w:r>
        <w:rPr>
          <w:rFonts w:ascii="Calibri" w:hAnsi="Calibri"/>
          <w:b w:val="0"/>
          <w:i w:val="0"/>
          <w:sz w:val="20"/>
        </w:rPr>
        <w:t xml:space="preserve"> frente al T2 2025) y se ubicó </w:t>
      </w:r>
      <w:r>
        <w:rPr>
          <w:rFonts w:ascii="Calibri" w:hAnsi="Calibri"/>
          <w:b/>
          <w:i w:val="0"/>
          <w:sz w:val="20"/>
        </w:rPr>
        <w:t>0.22 pp por debajo</w:t>
      </w:r>
      <w:r>
        <w:rPr>
          <w:rFonts w:ascii="Calibri" w:hAnsi="Calibri"/>
          <w:b w:val="0"/>
          <w:i w:val="0"/>
          <w:sz w:val="20"/>
        </w:rPr>
        <w:t xml:space="preserve"> del promedio nacional (2.65%).</w:t>
      </w: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Comparativo Jalisco vs Nacional — T2 2026: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1984"/>
        <w:gridCol w:w="1984"/>
        <w:gridCol w:w="2551"/>
      </w:tblGrid>
      <w:tr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Período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Jalisco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Nacional</w:t>
            </w:r>
          </w:p>
        </w:tc>
        <w:tc>
          <w:tcPr>
            <w:tcW w:type="dxa" w:w="255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Diferencia (pp)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T2 2025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2.71%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2.66%</w:t>
            </w:r>
          </w:p>
        </w:tc>
        <w:tc>
          <w:tcPr>
            <w:tcW w:type="dxa" w:w="255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+0.05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T2 2026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2.65%</w:t>
            </w:r>
          </w:p>
        </w:tc>
        <w:tc>
          <w:tcPr>
            <w:tcW w:type="dxa" w:w="255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−0.22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Var. pp</w:t>
            </w:r>
          </w:p>
        </w:tc>
        <w:tc>
          <w:tcPr>
            <w:tcW w:type="dxa" w:w="198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−0.28</w:t>
            </w:r>
          </w:p>
        </w:tc>
        <w:tc>
          <w:tcPr>
            <w:tcW w:type="dxa" w:w="198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−0.01</w:t>
            </w:r>
          </w:p>
        </w:tc>
        <w:tc>
          <w:tcPr>
            <w:tcW w:type="dxa" w:w="255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Posicionamiento Nacional</w:t>
      </w:r>
      <w:r>
        <w:rPr>
          <w:rFonts w:ascii="Calibri" w:hAnsi="Calibri"/>
          <w:b w:val="0"/>
          <w:i w:val="0"/>
          <w:sz w:val="18"/>
        </w:rPr>
        <w:t xml:space="preserve">  —  TD de Jalisco vs entidades federativas — T2 2026</w:t>
      </w:r>
    </w:p>
    <w:p>
      <w:pPr>
        <w:spacing w:before="60" w:after="100"/>
      </w:pPr>
      <w:r>
        <w:rPr>
          <w:rFonts w:ascii="Calibri" w:hAnsi="Calibri"/>
          <w:b w:val="0"/>
          <w:i w:val="0"/>
          <w:sz w:val="20"/>
        </w:rPr>
        <w:t xml:space="preserve">Las 32 entidades se ordenan de menor a mayor TD (lugar 1 = menor desocupación). Jalisco ocupa el </w:t>
      </w:r>
      <w:r>
        <w:rPr>
          <w:rFonts w:ascii="Calibri" w:hAnsi="Calibri"/>
          <w:b/>
          <w:i w:val="0"/>
          <w:sz w:val="20"/>
        </w:rPr>
        <w:t>lugar 15 de 32</w:t>
      </w:r>
      <w:r>
        <w:rPr>
          <w:rFonts w:ascii="Calibri" w:hAnsi="Calibri"/>
          <w:b w:val="0"/>
          <w:i w:val="0"/>
          <w:sz w:val="20"/>
        </w:rPr>
        <w:t>, en la parte media de la tabla. Una TD baja no siempre indica un mejor mercado laboral: las cinco entidades con menor TD tienen una informalidad promedio de 66.0% (nacional: 55.1%).</w:t>
      </w: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Top 5 entidades con menor TD (T2 2026):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4819"/>
        <w:gridCol w:w="2381"/>
      </w:tblGrid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Lugar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Estado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TD (%)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Oaxaca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0.80%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Guerrero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1.14%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Colima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1.58%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Morelos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1.68%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Yucatán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1.71%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…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…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…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4819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Jalisco ←</w:t>
            </w:r>
          </w:p>
        </w:tc>
        <w:tc>
          <w:tcPr>
            <w:tcW w:type="dxa" w:w="238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</w:tr>
    </w:tbl>
    <w:p>
      <w:pPr>
        <w:spacing w:before="0" w:after="80"/>
      </w:pP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Top 5 entidades con mayor TD (T2 2026):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4819"/>
        <w:gridCol w:w="2381"/>
      </w:tblGrid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Lugar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Estado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TD (%)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Ciudad de México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4.18%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Tabasco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4.03%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Coahuila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3.74%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Tlaxcala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3.43%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Guanajuato</w:t>
            </w:r>
          </w:p>
        </w:tc>
        <w:tc>
          <w:tcPr>
            <w:tcW w:type="dxa" w:w="238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3.21%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Comparativo Regional — Occidente / Centro-Bajío (T2 2026)</w:t>
      </w:r>
    </w:p>
    <w:p>
      <w:pPr>
        <w:keepNext/>
        <w:spacing w:before="60" w:after="100"/>
      </w:pPr>
      <w:r>
        <w:rPr>
          <w:rFonts w:ascii="Calibri" w:hAnsi="Calibri"/>
          <w:b w:val="0"/>
          <w:i w:val="0"/>
          <w:sz w:val="20"/>
        </w:rPr>
        <w:t xml:space="preserve">Compara a Jalisco con las 8 entidades de la región; la última columna es la distancia a la media regional (negativo = menor desocupación que la media). Jalisco ocupa el </w:t>
      </w:r>
      <w:r>
        <w:rPr>
          <w:rFonts w:ascii="Calibri" w:hAnsi="Calibri"/>
          <w:b/>
          <w:i w:val="0"/>
          <w:sz w:val="20"/>
        </w:rPr>
        <w:t>4° lugar</w:t>
      </w:r>
      <w:r>
        <w:rPr>
          <w:rFonts w:ascii="Calibri" w:hAnsi="Calibri"/>
          <w:b w:val="0"/>
          <w:i w:val="0"/>
          <w:sz w:val="20"/>
        </w:rPr>
        <w:t xml:space="preserve"> con menor TD y está </w:t>
      </w:r>
      <w:r>
        <w:rPr>
          <w:rFonts w:ascii="Calibri" w:hAnsi="Calibri"/>
          <w:b/>
          <w:i w:val="0"/>
          <w:sz w:val="20"/>
        </w:rPr>
        <w:t>prácticamente en la media</w:t>
      </w:r>
      <w:r>
        <w:rPr>
          <w:rFonts w:ascii="Calibri" w:hAnsi="Calibri"/>
          <w:b w:val="0"/>
          <w:i w:val="0"/>
          <w:sz w:val="20"/>
        </w:rPr>
        <w:t xml:space="preserve"> (2.45%).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3118"/>
        <w:gridCol w:w="1701"/>
        <w:gridCol w:w="2381"/>
      </w:tblGrid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Lugar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Estado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TD (%)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Media (pp)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Colima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1.58%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−0.87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Michoacán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1.77%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−0.68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Nayarit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2.41%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−0.04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Jalisco ←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−0.02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Zacatecas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2.44%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−0.01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Aguascalientes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2.62%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+0.17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San Luis Potosí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3.16%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+0.71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Guanajuato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3.21%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+0.76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118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Media regional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2.45%</w:t>
            </w:r>
          </w:p>
        </w:tc>
        <w:tc>
          <w:tcPr>
            <w:tcW w:type="dxa" w:w="238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Indicadores Complementarios del Mercado Laboral</w:t>
      </w:r>
      <w:r>
        <w:rPr>
          <w:rFonts w:ascii="Calibri" w:hAnsi="Calibri"/>
          <w:b w:val="0"/>
          <w:i w:val="0"/>
          <w:sz w:val="18"/>
        </w:rPr>
        <w:t xml:space="preserve">  —  Comparativo anual: T2 2026 vs T2 2025 — Jalisco</w:t>
      </w:r>
    </w:p>
    <w:p>
      <w:pPr>
        <w:keepNext/>
        <w:spacing w:before="60" w:after="100"/>
      </w:pPr>
      <w:r>
        <w:rPr>
          <w:rFonts w:ascii="Calibri" w:hAnsi="Calibri"/>
          <w:b w:val="0"/>
          <w:i w:val="0"/>
          <w:sz w:val="20"/>
        </w:rPr>
        <w:t xml:space="preserve">Complementan la lectura de la TD: la TPEA indica qué parte de la población de 15 años y más trabaja o busca trabajo; la TIL1, qué parte de los ocupados es informal, y la subocupación, qué parte de los ocupados necesita trabajar más horas. Frente al T2 2025: </w:t>
      </w:r>
      <w:r>
        <w:rPr>
          <w:rFonts w:ascii="Calibri" w:hAnsi="Calibri"/>
          <w:b/>
          <w:i w:val="0"/>
          <w:sz w:val="20"/>
        </w:rPr>
        <w:t>TD −0.28 pp, TPEA −1.5 pp, TIL1 +1.2 pp, Subocupación +0.7 pp</w:t>
      </w:r>
      <w:r>
        <w:rPr>
          <w:rFonts w:ascii="Calibri" w:hAnsi="Calibri"/>
          <w:b w:val="0"/>
          <w:i w:val="0"/>
          <w:sz w:val="20"/>
        </w:rPr>
        <w:t>. La baja de la TD coincide con una menor participación: parte de la mejora puede deberse a que menos personas buscan empleo, no solo a más contratación. La informalidad se mantiene 8.6 pp por debajo del promedio nacional.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1247"/>
        <w:gridCol w:w="1247"/>
        <w:gridCol w:w="1247"/>
        <w:gridCol w:w="1474"/>
      </w:tblGrid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Indicador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T2 2025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T2 2026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Var. (pp)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Nacional T2 2026</w:t>
            </w:r>
          </w:p>
        </w:tc>
      </w:tr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Desocupación (TD)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2.71%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−0.28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2.65%</w:t>
            </w:r>
          </w:p>
        </w:tc>
      </w:tr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Participación Económica (TPEA)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57.9%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56.4%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−1.5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59.1%</w:t>
            </w:r>
          </w:p>
        </w:tc>
      </w:tr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Informalidad Laboral (TIL1)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45.3%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46.5%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+1.2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55.1%</w:t>
            </w:r>
          </w:p>
        </w:tc>
      </w:tr>
      <w:tr>
        <w:tc>
          <w:tcPr>
            <w:tcW w:type="dxa" w:w="3118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Subocupación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1.1%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1.8%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+0.7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6.9%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Indicadores por Sexo — Jalisco T2 2026</w:t>
      </w:r>
    </w:p>
    <w:p>
      <w:pPr>
        <w:keepNext/>
        <w:spacing w:before="60" w:after="100"/>
      </w:pPr>
      <w:r>
        <w:rPr>
          <w:rFonts w:ascii="Calibri" w:hAnsi="Calibri"/>
          <w:b w:val="0"/>
          <w:i w:val="0"/>
          <w:sz w:val="20"/>
        </w:rPr>
        <w:t>La brecha M−H es la tasa de las mujeres menos la de los hombres (negativo = menor en mujeres). La TD de las mujeres (</w:t>
      </w:r>
      <w:r>
        <w:rPr>
          <w:rFonts w:ascii="Calibri" w:hAnsi="Calibri"/>
          <w:b/>
          <w:i w:val="0"/>
          <w:sz w:val="20"/>
        </w:rPr>
        <w:t>1.65%</w:t>
      </w:r>
      <w:r>
        <w:rPr>
          <w:rFonts w:ascii="Calibri" w:hAnsi="Calibri"/>
          <w:b w:val="0"/>
          <w:i w:val="0"/>
          <w:sz w:val="20"/>
        </w:rPr>
        <w:t>) es menor que la de los hombres (</w:t>
      </w:r>
      <w:r>
        <w:rPr>
          <w:rFonts w:ascii="Calibri" w:hAnsi="Calibri"/>
          <w:b/>
          <w:i w:val="0"/>
          <w:sz w:val="20"/>
        </w:rPr>
        <w:t>2.93%</w:t>
      </w:r>
      <w:r>
        <w:rPr>
          <w:rFonts w:ascii="Calibri" w:hAnsi="Calibri"/>
          <w:b w:val="0"/>
          <w:i w:val="0"/>
          <w:sz w:val="20"/>
        </w:rPr>
        <w:t xml:space="preserve">), pero su participación es </w:t>
      </w:r>
      <w:r>
        <w:rPr>
          <w:rFonts w:ascii="Calibri" w:hAnsi="Calibri"/>
          <w:b/>
          <w:i w:val="0"/>
          <w:sz w:val="20"/>
        </w:rPr>
        <w:t>29.8 pp menor</w:t>
      </w:r>
      <w:r>
        <w:rPr>
          <w:rFonts w:ascii="Calibri" w:hAnsi="Calibri"/>
          <w:b w:val="0"/>
          <w:i w:val="0"/>
          <w:sz w:val="20"/>
        </w:rPr>
        <w:t xml:space="preserve"> (42.3% vs 72.1%): la TD de cada grupo debe leerse junto con su participación.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1474"/>
        <w:gridCol w:w="1474"/>
        <w:gridCol w:w="1474"/>
        <w:gridCol w:w="1814"/>
      </w:tblGrid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Indicador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Hombres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Mujeres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Brecha M−H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TD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2.43%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2.93%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1.65%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−1.28 pp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TPEA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56.4%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72.1%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42.3%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−29.8 pp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TIL1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46.5%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45.4%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48.3%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+2.9 pp</w:t>
            </w:r>
          </w:p>
        </w:tc>
      </w:tr>
      <w:tr>
        <w:tc>
          <w:tcPr>
            <w:tcW w:type="dxa" w:w="1984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Subocupación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1.8%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1.9%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1.5%</w:t>
            </w:r>
          </w:p>
        </w:tc>
        <w:tc>
          <w:tcPr>
            <w:tcW w:type="dxa" w:w="181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−0.4 pp</w:t>
            </w:r>
          </w:p>
        </w:tc>
      </w:tr>
    </w:tbl>
    <w:p>
      <w:pPr>
        <w:spacing w:before="0" w:after="80"/>
      </w:pPr>
    </w:p>
    <w:p>
      <w:pPr>
        <w:spacing w:before="60" w:after="60"/>
      </w:pPr>
      <w:r>
        <w:rPr>
          <w:rFonts w:ascii="Calibri" w:hAnsi="Calibri"/>
          <w:b/>
          <w:i w:val="0"/>
          <w:sz w:val="20"/>
        </w:rPr>
        <w:t>Variación anual por sexo (T2 2025 → T2 2026, pp):</w:t>
      </w:r>
    </w:p>
    <w:p>
      <w:pPr>
        <w:keepNext/>
        <w:spacing w:before="0" w:after="60"/>
      </w:pPr>
      <w:r>
        <w:rPr>
          <w:rFonts w:ascii="Calibri" w:hAnsi="Calibri"/>
          <w:b w:val="0"/>
          <w:i w:val="0"/>
          <w:sz w:val="20"/>
        </w:rPr>
        <w:t xml:space="preserve">Cambio en puntos porcentuales frente al T2 2025 (positivo = aumento). La TD de las mujeres </w:t>
      </w:r>
      <w:r>
        <w:rPr>
          <w:rFonts w:ascii="Calibri" w:hAnsi="Calibri"/>
          <w:b/>
          <w:i w:val="0"/>
          <w:sz w:val="20"/>
        </w:rPr>
        <w:t>bajó 0.79 pp</w:t>
      </w:r>
      <w:r>
        <w:rPr>
          <w:rFonts w:ascii="Calibri" w:hAnsi="Calibri"/>
          <w:b w:val="0"/>
          <w:i w:val="0"/>
          <w:sz w:val="20"/>
        </w:rPr>
        <w:t xml:space="preserve"> y la de los hombres </w:t>
      </w:r>
      <w:r>
        <w:rPr>
          <w:rFonts w:ascii="Calibri" w:hAnsi="Calibri"/>
          <w:b/>
          <w:i w:val="0"/>
          <w:sz w:val="20"/>
        </w:rPr>
        <w:t>subió 0.05 pp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</w:tblGrid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Indicador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Hombres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Mujeres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TD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+0.05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−0.79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TPEA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−1.9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−1.0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TIL1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+1.0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+1.7</w:t>
            </w:r>
          </w:p>
        </w:tc>
      </w:tr>
      <w:tr>
        <w:tc>
          <w:tcPr>
            <w:tcW w:type="dxa" w:w="1984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Subocupación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+0.8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+0.4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rFonts w:ascii="Calibri" w:hAnsi="Calibri"/>
          <w:b w:val="0"/>
          <w:i/>
          <w:sz w:val="18"/>
        </w:rPr>
        <w:t>Las estimaciones por sexo tienen mayor error de muestreo; cautela con variaciones pequeñas.</w:t>
      </w: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Población Ocupada — Jalisco T2 2026</w:t>
      </w:r>
      <w:r>
        <w:rPr>
          <w:rFonts w:ascii="Calibri" w:hAnsi="Calibri"/>
          <w:b w:val="0"/>
          <w:i w:val="0"/>
          <w:sz w:val="18"/>
        </w:rPr>
        <w:t xml:space="preserve">  —  Personas y variación (absoluta y %)</w:t>
      </w:r>
    </w:p>
    <w:p>
      <w:pPr>
        <w:keepNext/>
        <w:spacing w:before="60" w:after="100"/>
      </w:pPr>
      <w:r>
        <w:rPr>
          <w:rFonts w:ascii="Calibri" w:hAnsi="Calibri"/>
          <w:b w:val="0"/>
          <w:i w:val="0"/>
          <w:sz w:val="20"/>
        </w:rPr>
        <w:t xml:space="preserve">Personas ocupadas y su cambio respecto al cierre del año anterior (T4 2025), al mismo trimestre del año anterior (T2 2025; la comparación más limpia porque elimina el efecto estacional) y al trimestre anterior (T1 2026). En el último año la población ocupada </w:t>
      </w:r>
      <w:r>
        <w:rPr>
          <w:rFonts w:ascii="Calibri" w:hAnsi="Calibri"/>
          <w:b/>
          <w:i w:val="0"/>
          <w:sz w:val="20"/>
        </w:rPr>
        <w:t>disminuyó en 52,020 personas (−1.3%)</w:t>
      </w:r>
      <w:r>
        <w:rPr>
          <w:rFonts w:ascii="Calibri" w:hAnsi="Calibri"/>
          <w:b w:val="0"/>
          <w:i w:val="0"/>
          <w:sz w:val="20"/>
        </w:rPr>
        <w:t>. Por actividad, los mayores aumentos anuales fueron en Construcción (+37,219) y Servicios diversos (+29,074); las mayores caídas, en Comercio (−44,717) y Servicios sociales (−27,327).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8"/>
        <w:gridCol w:w="1247"/>
        <w:gridCol w:w="1550"/>
        <w:gridCol w:w="1550"/>
        <w:gridCol w:w="1550"/>
      </w:tblGrid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Concepto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T2 2026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T4 2025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T2 2025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T1 2026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Población ocupada total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3,822,914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−87,477 (−2.2%)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−52,020 (−1.3%)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−25,122 (−0.7%)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Formalidad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Formal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2,043,778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+47,830 (+2.4%)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−76,177 (−3.6%)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+66,356 (+3.4%)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Informal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1,779,136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−135,307 (−7.1%)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+24,157 (+1.4%)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−91,478 (−4.9%)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Sexo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Hombres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2,308,608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−43,996 (−1.9%)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−32,774 (−1.4%)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−50,386 (−2.1%)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Mujeres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1,514,306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−43,481 (−2.8%)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−19,246 (−1.3%)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+25,264 (+1.7%)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Actividad económica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Agropecuario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338,695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−21,238 (−5.9%)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+1,189 (+0.4%)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−2,300 (−0.7%)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Ind. extractiva y electricidad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10,835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+1,747 (+19.2%)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+2,629 (+32.0%)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−3,790 (−25.9%)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Manufactura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730,329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+20,020 (+2.8%)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−5,328 (−0.7%)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+5,984 (+0.8%)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Construcción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363,020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+17,004 (+4.9%)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+37,219 (+11.4%)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+23,654 (+7.0%)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Comercio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753,504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−52,840 (−6.6%)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−44,717 (−5.6%)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−39,447 (−5.0%)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Restaurantes y alojamiento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317,744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−28,919 (−8.3%)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−11,591 (−3.5%)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−10,977 (−3.3%)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Transportes y comunicaciones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186,269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−7,196 (−3.7%)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−17,966 (−8.8%)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−9,623 (−4.9%)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Serv. profesionales y financ.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305,117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−3,010 (−1.0%)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−1,674 (−0.5%)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+13,791 (+4.7%)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Servicios sociales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281,684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−11,452 (−3.9%)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−27,327 (−8.8%)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+1,226 (+0.4%)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Servicios diversos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430,109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+29,670 (+7.4%)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+29,074 (+7.2%)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−1,590 (−0.4%)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Gobierno y org. internac.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96,638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−25,359 (−20.8%)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−2,211 (−2.2%)</w:t>
            </w:r>
          </w:p>
        </w:tc>
        <w:tc>
          <w:tcPr>
            <w:tcW w:type="dxa" w:w="1550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−7,613 (−7.3%)</w:t>
            </w:r>
          </w:p>
        </w:tc>
      </w:tr>
      <w:tr>
        <w:tc>
          <w:tcPr>
            <w:tcW w:type="dxa" w:w="2608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No especificado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8,970</w:t>
            </w:r>
          </w:p>
        </w:tc>
        <w:tc>
          <w:tcPr>
            <w:tcW w:type="dxa" w:w="1550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−5,904 (−39.7%)</w:t>
            </w:r>
          </w:p>
        </w:tc>
        <w:tc>
          <w:tcPr>
            <w:tcW w:type="dxa" w:w="1550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−11,317 (−55.8%)</w:t>
            </w:r>
          </w:p>
        </w:tc>
        <w:tc>
          <w:tcPr>
            <w:tcW w:type="dxa" w:w="1550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+5,563 (+163.3%)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rFonts w:ascii="Calibri" w:hAnsi="Calibri"/>
          <w:b w:val="0"/>
          <w:i/>
          <w:sz w:val="18"/>
        </w:rPr>
        <w:t>Sectores con pocos casos (Ind. extractiva y electricidad, No especificado): variaciones poco confiables.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