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1F9" w:rsidRDefault="005B31F9" w:rsidP="005B31F9">
      <w:r>
        <w:t>1.1过程工业</w:t>
      </w:r>
    </w:p>
    <w:p w:rsidR="005B31F9" w:rsidRPr="005B31F9" w:rsidRDefault="005B31F9" w:rsidP="005B31F9">
      <w:pPr>
        <w:rPr>
          <w:rFonts w:hint="eastAsia"/>
        </w:rPr>
      </w:pPr>
      <w:r>
        <w:t>过程工业(</w:t>
      </w:r>
      <w:proofErr w:type="spellStart"/>
      <w:r>
        <w:t>processindustry</w:t>
      </w:r>
      <w:proofErr w:type="spellEnd"/>
      <w:r>
        <w:t>)是指以自然资源为主要原材料，通过不同的物理与化学过程，连续不断地将原材料转变成产品的工业。</w:t>
      </w:r>
    </w:p>
    <w:p w:rsidR="005B31F9" w:rsidRDefault="005B31F9" w:rsidP="005B31F9">
      <w:r>
        <w:t>1.2过程工程</w:t>
      </w:r>
    </w:p>
    <w:p w:rsidR="005B31F9" w:rsidRPr="005B31F9" w:rsidRDefault="005B31F9" w:rsidP="005B31F9">
      <w:pPr>
        <w:pStyle w:val="10"/>
        <w:adjustRightInd w:val="0"/>
        <w:snapToGrid w:val="0"/>
        <w:spacing w:line="240" w:lineRule="auto"/>
        <w:ind w:firstLineChars="200" w:firstLine="300"/>
        <w:rPr>
          <w:rFonts w:ascii="黑体" w:eastAsia="黑体" w:hAnsi="黑体" w:cs="黑体" w:hint="eastAsia"/>
          <w:b w:val="0"/>
          <w:bCs w:val="0"/>
          <w:snapToGrid w:val="0"/>
          <w:color w:val="000000" w:themeColor="text1"/>
          <w:sz w:val="15"/>
          <w:szCs w:val="15"/>
        </w:rPr>
      </w:pPr>
      <m:oMathPara>
        <m:oMath>
          <m:func>
            <m:funcPr>
              <m:ctrlPr>
                <w:rPr>
                  <w:rFonts w:ascii="Cambria Math" w:eastAsia="黑体" w:hAnsi="Cambria Math" w:cs="黑体" w:hint="eastAsia"/>
                  <w:b w:val="0"/>
                  <w:bCs w:val="0"/>
                  <w:iCs/>
                  <w:snapToGrid w:val="0"/>
                  <w:color w:val="000000" w:themeColor="text1"/>
                  <w:sz w:val="15"/>
                  <w:szCs w:val="15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黑体" w:hAnsi="Cambria Math" w:cs="黑体" w:hint="eastAsia"/>
                      <w:b w:val="0"/>
                      <w:bCs w:val="0"/>
                      <w:iCs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黑体" w:hint="eastAsia"/>
                      <w:snapToGrid w:val="0"/>
                      <w:color w:val="000000" w:themeColor="text1"/>
                      <w:sz w:val="15"/>
                      <w:szCs w:val="15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黑体" w:hAnsi="Cambria Math" w:cs="黑体"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  <m:t>I,X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黑体" w:hAnsi="Cambria Math" w:cs="黑体"/>
                  <w:snapToGrid w:val="0"/>
                  <w:color w:val="000000" w:themeColor="text1"/>
                  <w:sz w:val="15"/>
                  <w:szCs w:val="15"/>
                </w:rPr>
                <m:t>φ</m:t>
              </m:r>
            </m:e>
          </m:func>
          <m:r>
            <m:rPr>
              <m:sty m:val="b"/>
            </m:rPr>
            <w:rPr>
              <w:rFonts w:ascii="Cambria Math" w:eastAsia="黑体" w:hAnsi="Cambria Math" w:cs="黑体" w:hint="eastAsia"/>
              <w:snapToGrid w:val="0"/>
              <w:color w:val="000000" w:themeColor="text1"/>
              <w:sz w:val="15"/>
              <w:szCs w:val="15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黑体" w:hAnsi="Cambria Math" w:cs="黑体" w:hint="eastAsia"/>
                  <w:b w:val="0"/>
                  <w:bCs w:val="0"/>
                  <w:iCs/>
                  <w:snapToGrid w:val="0"/>
                  <w:color w:val="000000" w:themeColor="text1"/>
                  <w:sz w:val="15"/>
                  <w:szCs w:val="15"/>
                  <w:lang w:eastAsia="zh-CN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黑体" w:hAnsi="Cambria Math" w:cs="黑体"/>
                  <w:snapToGrid w:val="0"/>
                  <w:color w:val="000000" w:themeColor="text1"/>
                  <w:sz w:val="15"/>
                  <w:szCs w:val="15"/>
                  <w:lang w:eastAsia="zh-C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黑体" w:hAnsi="Cambria Math" w:cs="黑体" w:hint="eastAsia"/>
                      <w:b w:val="0"/>
                      <w:bCs w:val="0"/>
                      <w:iCs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黑体"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黑体"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黑体" w:hAnsi="Cambria Math" w:cs="黑体" w:hint="eastAsia"/>
                  <w:snapToGrid w:val="0"/>
                  <w:color w:val="000000" w:themeColor="text1"/>
                  <w:sz w:val="15"/>
                  <w:szCs w:val="15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黑体" w:hint="eastAsia"/>
                      <w:b w:val="0"/>
                      <w:bCs w:val="0"/>
                      <w:iCs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黑体"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黑体"/>
                      <w:snapToGrid w:val="0"/>
                      <w:color w:val="000000" w:themeColor="text1"/>
                      <w:sz w:val="15"/>
                      <w:szCs w:val="15"/>
                      <w:lang w:eastAsia="zh-CN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黑体" w:hAnsi="Cambria Math" w:cs="黑体" w:hint="eastAsia"/>
                  <w:snapToGrid w:val="0"/>
                  <w:color w:val="000000" w:themeColor="text1"/>
                  <w:sz w:val="15"/>
                  <w:szCs w:val="15"/>
                  <w:lang w:eastAsia="zh-CN"/>
                </w:rPr>
                <m:t>)</m:t>
              </m:r>
            </m:e>
          </m:nary>
        </m:oMath>
      </m:oMathPara>
    </w:p>
    <w:p w:rsidR="005B31F9" w:rsidRDefault="005B31F9" w:rsidP="005B31F9">
      <w:r>
        <w:t>1.2.1从化学工程到过程工程</w:t>
      </w:r>
    </w:p>
    <w:p w:rsidR="005B31F9" w:rsidRDefault="005B31F9" w:rsidP="005B31F9">
      <w:r>
        <w:t>18世纪后期，工业革命降临北欧，大大促进了硫酸、烧碱、肥皂、玻璃和染料等化学品的生产，随着这些工业的发展，化学科学的一些基本概念也同时被确立，Lavoisier在1789年出版的《化学基本论述》中明确提出了质量守恒原则。</w:t>
      </w:r>
    </w:p>
    <w:p w:rsidR="005B31F9" w:rsidRPr="005B31F9" w:rsidRDefault="005B31F9" w:rsidP="005B31F9">
      <w:pPr>
        <w:rPr>
          <w:rFonts w:hint="eastAsia"/>
        </w:rPr>
      </w:pPr>
    </w:p>
    <w:sectPr w:rsidR="005B31F9" w:rsidRPr="005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F9"/>
    <w:rsid w:val="005B31F9"/>
    <w:rsid w:val="00A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EAAE"/>
  <w15:chartTrackingRefBased/>
  <w15:docId w15:val="{408A52E6-444D-844C-96DB-3DE99B59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文本 (10)"/>
    <w:basedOn w:val="a"/>
    <w:link w:val="100"/>
    <w:qFormat/>
    <w:rsid w:val="005B31F9"/>
    <w:pPr>
      <w:spacing w:line="343" w:lineRule="auto"/>
      <w:ind w:firstLine="360"/>
      <w:jc w:val="left"/>
    </w:pPr>
    <w:rPr>
      <w:rFonts w:ascii="Times New Roman" w:eastAsia="Times New Roman" w:hAnsi="Times New Roman" w:cs="Times New Roman"/>
      <w:b/>
      <w:bCs/>
      <w:color w:val="000000"/>
      <w:kern w:val="0"/>
      <w:sz w:val="16"/>
      <w:szCs w:val="16"/>
      <w:lang w:eastAsia="en-US" w:bidi="en-US"/>
    </w:rPr>
  </w:style>
  <w:style w:type="character" w:customStyle="1" w:styleId="100">
    <w:name w:val="正文文本 (10)_"/>
    <w:basedOn w:val="a0"/>
    <w:link w:val="10"/>
    <w:qFormat/>
    <w:rsid w:val="005B31F9"/>
    <w:rPr>
      <w:rFonts w:ascii="Times New Roman" w:eastAsia="Times New Roman" w:hAnsi="Times New Roman" w:cs="Times New Roman"/>
      <w:b/>
      <w:bCs/>
      <w:color w:val="000000"/>
      <w:kern w:val="0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zhongqing04</dc:creator>
  <cp:keywords/>
  <dc:description/>
  <cp:lastModifiedBy>zhongqing04</cp:lastModifiedBy>
  <cp:revision>1</cp:revision>
  <dcterms:created xsi:type="dcterms:W3CDTF">2023-07-07T09:16:00Z</dcterms:created>
  <dcterms:modified xsi:type="dcterms:W3CDTF">2023-07-07T09:21:00Z</dcterms:modified>
</cp:coreProperties>
</file>