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20" w:lineRule="auto"/>
        <w:rPr>
          <w:color w:val="666666"/>
          <w:sz w:val="30"/>
          <w:szCs w:val="30"/>
        </w:rPr>
      </w:pPr>
      <w:r w:rsidDel="00000000" w:rsidR="00000000" w:rsidRPr="00000000">
        <w:rPr>
          <w:color w:val="666666"/>
          <w:sz w:val="30"/>
          <w:szCs w:val="30"/>
          <w:rtl w:val="0"/>
        </w:rPr>
        <w:t xml:space="preserve">Module 3: 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Final Summative Assessment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steps: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  <w:tab/>
        <w:t xml:space="preserve">Select two related datasets (i.e. that share a common column and could be joined).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Suggested sources include: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a.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https://open.canada.ca/en/open-data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b.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https://data.ontario.ca/en/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c. </w:t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https://open.toronto.ca/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d.</w:t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https://stats.oecd.org/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e.</w:t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https://datasetsearch.research.google.com/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f.  </w:t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g.</w:t>
        <w:tab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https://ec.europa.eu/eurostat/home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h.</w:t>
        <w:tab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i.  </w:t>
        <w:tab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https://data.nasdaq.com/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j.  </w:t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https://dataverse-harvard-edu.myaccess.library.utoronto.ca/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k. </w:t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l.  </w:t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https://www150.statcan.gc.ca/n1/en/type/data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180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m.  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http://www.icpsr.umich.edu.myaccess.library.utoronto.ca/web/pages/ICPSR/index.html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n.</w:t>
        <w:tab/>
        <w:t xml:space="preserve">Student’s own data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  <w:tab/>
        <w:t xml:space="preserve">Create an RMarkdown document in an RProject.</w:t>
      </w:r>
    </w:p>
    <w:p w:rsidR="00000000" w:rsidDel="00000000" w:rsidP="00000000" w:rsidRDefault="00000000" w:rsidRPr="00000000" w14:paraId="0000001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  <w:tab/>
        <w:t xml:space="preserve">Import dataset.</w:t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4.</w:t>
        <w:tab/>
        <w:t xml:space="preserve">Join 2 datasets.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5.</w:t>
        <w:tab/>
        <w:t xml:space="preserve">Create 2 and present summary tables.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6.</w:t>
        <w:tab/>
        <w:t xml:space="preserve">Create 2 data visualizations.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7.</w:t>
        <w:tab/>
        <w:t xml:space="preserve">Write about findings.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8.</w:t>
        <w:tab/>
        <w:t xml:space="preserve">Knit the report to PDF.</w:t>
      </w:r>
    </w:p>
    <w:p w:rsidR="00000000" w:rsidDel="00000000" w:rsidP="00000000" w:rsidRDefault="00000000" w:rsidRPr="00000000" w14:paraId="0000001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9.</w:t>
        <w:tab/>
        <w:t xml:space="preserve">Create a shiny application out of one summary table or data visualization.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Guidelines</w:t>
      </w:r>
    </w:p>
    <w:p w:rsidR="00000000" w:rsidDel="00000000" w:rsidP="00000000" w:rsidRDefault="00000000" w:rsidRPr="00000000" w14:paraId="0000001E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A.</w:t>
        <w:tab/>
        <w:t xml:space="preserve">Write code that is reproducible and human-readable.</w:t>
      </w:r>
    </w:p>
    <w:p w:rsidR="00000000" w:rsidDel="00000000" w:rsidP="00000000" w:rsidRDefault="00000000" w:rsidRPr="00000000" w14:paraId="0000001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B.</w:t>
        <w:tab/>
        <w:t xml:space="preserve">Customize your tables and plots.</w:t>
      </w:r>
    </w:p>
    <w:p w:rsidR="00000000" w:rsidDel="00000000" w:rsidP="00000000" w:rsidRDefault="00000000" w:rsidRPr="00000000" w14:paraId="00000020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C.   Create a PDF report that does not include code and presents your results in a professional manner.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Notes for instructor:</w:t>
      </w:r>
    </w:p>
    <w:p w:rsidR="00000000" w:rsidDel="00000000" w:rsidP="00000000" w:rsidRDefault="00000000" w:rsidRPr="00000000" w14:paraId="00000023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</w:t>
        <w:tab/>
        <w:t xml:space="preserve">To prevent all the project work falling at the end of the week, the project steps above ideally would be be completed: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1.</w:t>
        <w:tab/>
        <w:t xml:space="preserve">After Module 0 and before Module 2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2.</w:t>
        <w:tab/>
        <w:t xml:space="preserve">After Module 2 and before Module 5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3.</w:t>
        <w:tab/>
        <w:t xml:space="preserve">After Module 5 and before Module 7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4.</w:t>
        <w:tab/>
        <w:t xml:space="preserve">After Module 5 and before Module 7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5.</w:t>
        <w:tab/>
        <w:t xml:space="preserve">After Module 5 and before Module 7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6.</w:t>
        <w:tab/>
        <w:t xml:space="preserve">After Module 7 and before Module 8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7.</w:t>
        <w:tab/>
        <w:t xml:space="preserve">After Module 7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8.</w:t>
        <w:tab/>
        <w:t xml:space="preserve">After Module 7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9.</w:t>
        <w:tab/>
        <w:t xml:space="preserve">After Module 8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-   </w:t>
        <w:tab/>
        <w:t xml:space="preserve">Some stages should be checked and approved before the student has progressed too far. Specifically, Step 1 should be checked before the students begin Step 4, and the document from Step 2 should be test-knitted before the student begins Step 3.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60" w:lineRule="auto"/>
    </w:pPr>
    <w:rPr>
      <w:color w:val="741b47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40" w:lineRule="auto"/>
    </w:pPr>
    <w:rPr>
      <w:color w:val="b45f06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40" w:before="120" w:lineRule="auto"/>
    </w:pPr>
    <w:rPr>
      <w:color w:val="5761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rchive.ics.uci.edu/ml/datasets.php" TargetMode="External"/><Relationship Id="rId10" Type="http://schemas.openxmlformats.org/officeDocument/2006/relationships/hyperlink" Target="https://datasetsearch.research.google.com/" TargetMode="External"/><Relationship Id="rId13" Type="http://schemas.openxmlformats.org/officeDocument/2006/relationships/hyperlink" Target="https://www.kaggle.com/datasets" TargetMode="External"/><Relationship Id="rId12" Type="http://schemas.openxmlformats.org/officeDocument/2006/relationships/hyperlink" Target="https://ec.europa.eu/eurostat/h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ts.oecd.org/" TargetMode="External"/><Relationship Id="rId15" Type="http://schemas.openxmlformats.org/officeDocument/2006/relationships/hyperlink" Target="https://dataverse-harvard-edu.myaccess.library.utoronto.ca/" TargetMode="External"/><Relationship Id="rId14" Type="http://schemas.openxmlformats.org/officeDocument/2006/relationships/hyperlink" Target="https://data.nasdaq.com/" TargetMode="External"/><Relationship Id="rId17" Type="http://schemas.openxmlformats.org/officeDocument/2006/relationships/hyperlink" Target="https://www150.statcan.gc.ca/n1/en/type/data" TargetMode="External"/><Relationship Id="rId16" Type="http://schemas.openxmlformats.org/officeDocument/2006/relationships/hyperlink" Target="https://data.worldbank.org/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icpsr.umich.edu.myaccess.library.utoronto.ca/web/pages/ICPSR/index.html" TargetMode="External"/><Relationship Id="rId6" Type="http://schemas.openxmlformats.org/officeDocument/2006/relationships/hyperlink" Target="https://open.canada.ca/en/open-data" TargetMode="External"/><Relationship Id="rId18" Type="http://schemas.openxmlformats.org/officeDocument/2006/relationships/hyperlink" Target="http://www.icpsr.umich.edu.myaccess.library.utoronto.ca/web/pages/ICPSR/index.html" TargetMode="External"/><Relationship Id="rId7" Type="http://schemas.openxmlformats.org/officeDocument/2006/relationships/hyperlink" Target="https://data.ontario.ca/en/" TargetMode="External"/><Relationship Id="rId8" Type="http://schemas.openxmlformats.org/officeDocument/2006/relationships/hyperlink" Target="https://open.toronto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