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Event Monitoring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Introduction: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In IBM Integration Bus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event monitoring plays a crucial role in tracking the execution of integration flows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Message flows can be configured to emit events. The events can be read and used by other applications for transaction monitoring and auditing, and business process monitoring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 and we can store it in Database.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Process: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ab/>
        <w:t>Create an application with HTTP Nodes.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r>
        <w:drawing>
          <wp:inline distT="0" distB="0" distL="114300" distR="114300">
            <wp:extent cx="5271135" cy="50831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Open the HTTPInput Node properties and provide the Path suffix Url and Input message parsing as JSON.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1610" cy="1080135"/>
            <wp:effectExtent l="0" t="0" r="152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Go to monitoring tab and edit the event.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53305" cy="70421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the Event Payload tab add the x-path expression of your Input data.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69715" cy="4992370"/>
            <wp:effectExtent l="0" t="0" r="698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49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Enable the include bitstream data in payload and select the Encoding option as hex Binary from the given drop down.</w:t>
      </w:r>
    </w:p>
    <w:p>
      <w:r>
        <w:drawing>
          <wp:inline distT="0" distB="0" distL="114300" distR="114300">
            <wp:extent cx="4791075" cy="689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 to correlation tab select the Specify Location for Correlator option.And provide the x-path expression and click on  OK.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124450" cy="781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Configuration on MQ: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MQ create a Subscription , in that give the queue name in which logs will be store.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597471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Now go to the Node Yaml file and enable the Monitoring property.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126873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shd w:val="clear" w:fill="FFFFFE"/>
        <w:spacing w:before="240" w:after="240" w:line="360" w:lineRule="auto"/>
        <w:jc w:val="both"/>
        <w:rPr>
          <w:rtl w:val="0"/>
        </w:rPr>
      </w:pPr>
    </w:p>
    <w:p>
      <w:pPr>
        <w:numPr>
          <w:numId w:val="0"/>
        </w:numPr>
        <w:shd w:val="clear" w:fill="FFFFFE"/>
        <w:spacing w:before="24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Now run the below mentioned commands in console</w:t>
      </w:r>
    </w:p>
    <w:p>
      <w:pPr>
        <w:shd w:val="clear" w:fill="FFFFFE"/>
        <w:spacing w:before="240" w:after="24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sdt>
        <w:sdtPr>
          <w:rPr>
            <w:rFonts w:hint="default" w:ascii="Times New Roman" w:hAnsi="Times New Roman" w:cs="Times New Roman"/>
            <w:sz w:val="24"/>
            <w:szCs w:val="24"/>
          </w:rPr>
          <w:tag w:val="goog_rdk_0"/>
          <w:id w:val="5"/>
        </w:sdtPr>
        <w:sdtEndPr>
          <w:rPr>
            <w:rFonts w:hint="default" w:ascii="Times New Roman" w:hAnsi="Times New Roman" w:cs="Times New Roman"/>
            <w:sz w:val="24"/>
            <w:szCs w:val="24"/>
          </w:rPr>
        </w:sdtEndPr>
        <w:sdtContent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>→ mqsichangeflowmonitoring Broker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Name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-e Server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Name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-k 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Applicationname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-f 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messageflow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-c active</w:t>
          </w:r>
        </w:sdtContent>
      </w:sdt>
    </w:p>
    <w:p>
      <w:pPr>
        <w:shd w:val="clear" w:fill="FFFFFE"/>
        <w:spacing w:before="240" w:after="24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sdt>
        <w:sdtPr>
          <w:rPr>
            <w:rFonts w:hint="default" w:ascii="Times New Roman" w:hAnsi="Times New Roman" w:cs="Times New Roman"/>
            <w:sz w:val="24"/>
            <w:szCs w:val="24"/>
          </w:rPr>
          <w:tag w:val="goog_rdk_1"/>
          <w:id w:val="6"/>
        </w:sdtPr>
        <w:sdtEndPr>
          <w:rPr>
            <w:rFonts w:hint="default" w:ascii="Times New Roman" w:hAnsi="Times New Roman" w:cs="Times New Roman"/>
            <w:sz w:val="24"/>
            <w:szCs w:val="24"/>
          </w:rPr>
        </w:sdtEndPr>
        <w:sdtContent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>→mqsireportflowmonitoring Broker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Name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-e Server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Name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-k 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Applicationname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-f 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  <w:lang w:val="en-US"/>
            </w:rPr>
            <w:t>messageflow</w:t>
          </w:r>
          <w:r>
            <w:rPr>
              <w:rFonts w:hint="default" w:ascii="Times New Roman" w:hAnsi="Times New Roman" w:eastAsia="Arial Unicode MS" w:cs="Times New Roman"/>
              <w:sz w:val="24"/>
              <w:szCs w:val="24"/>
              <w:rtl w:val="0"/>
            </w:rPr>
            <w:t xml:space="preserve"> </w:t>
          </w:r>
        </w:sdtContent>
      </w:sdt>
    </w:p>
    <w:p>
      <w:pPr>
        <w:numPr>
          <w:ilvl w:val="0"/>
          <w:numId w:val="1"/>
        </w:numPr>
        <w:shd w:val="clear" w:fill="FFFFFE"/>
        <w:spacing w:before="240" w:after="0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Stop and Start your Node to apply the changes</w:t>
      </w:r>
    </w:p>
    <w:p>
      <w:pPr>
        <w:numPr>
          <w:ilvl w:val="0"/>
          <w:numId w:val="1"/>
        </w:numPr>
        <w:shd w:val="clear" w:fill="FFFFFE"/>
        <w:spacing w:before="0" w:after="0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Deploy the message flow </w:t>
      </w:r>
    </w:p>
    <w:p>
      <w:pPr>
        <w:numPr>
          <w:numId w:val="0"/>
        </w:numPr>
        <w:shd w:val="clear" w:fill="FFFFFE"/>
        <w:spacing w:before="0" w:after="240"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Note: Whenever redeploy the flow you need to run the above commands.</w:t>
      </w:r>
    </w:p>
    <w:p>
      <w:pPr>
        <w:numPr>
          <w:numId w:val="0"/>
        </w:numPr>
        <w:shd w:val="clear" w:fill="FFFFFE"/>
        <w:spacing w:before="0" w:after="240" w:line="360" w:lineRule="auto"/>
        <w:ind w:left="360" w:leftChars="0"/>
        <w:jc w:val="both"/>
        <w:rPr>
          <w:rFonts w:hint="default"/>
          <w:rtl w:val="0"/>
          <w:lang w:val="en-US"/>
        </w:rPr>
      </w:pPr>
    </w:p>
    <w:p>
      <w:pPr>
        <w:numPr>
          <w:numId w:val="0"/>
        </w:numPr>
        <w:shd w:val="clear" w:fill="FFFFFE"/>
        <w:spacing w:before="0" w:after="240" w:line="360" w:lineRule="auto"/>
        <w:ind w:left="360" w:leftChars="0"/>
        <w:jc w:val="both"/>
      </w:pPr>
      <w:r>
        <w:drawing>
          <wp:inline distT="0" distB="0" distL="114300" distR="114300">
            <wp:extent cx="5266690" cy="100965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fill="FFFFFE"/>
        <w:spacing w:before="0" w:after="240" w:line="360" w:lineRule="auto"/>
        <w:ind w:left="360" w:leftChars="0"/>
        <w:jc w:val="both"/>
      </w:pPr>
      <w:r>
        <w:drawing>
          <wp:inline distT="0" distB="0" distL="114300" distR="114300">
            <wp:extent cx="5270500" cy="316039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Message will be stored in the given ,from that queue you can store it in database.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table in database.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CREATE TABLE "SYSTEM"."MONITORING" 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"TRANSACTIONID" VARCHAR2(20 BYTE), 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"EVENT_NAME" VARCHAR2(40 BYTE), 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"BROKER_NAME" VARCHAR2(50 BYTE), 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"EXECUTION_GROUP" VARCHAR2(30 BYTE), 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"MESSAGE_FLOW" VARCHAR2(40 BYTE), 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"PAYLOAD" BLOB, 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"EVENT_DATE" TIMESTAMP (6)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)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messageflow to insert the data into the database.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</w:pPr>
      <w:r>
        <w:drawing>
          <wp:inline distT="0" distB="0" distL="114300" distR="114300">
            <wp:extent cx="5267325" cy="3475990"/>
            <wp:effectExtent l="0" t="0" r="95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MQInput node give the same queue name as we used to store the event.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you browse the queue the message will look like this.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&lt;mon:event xmlns:mon="http://www.ibm.com/xmlns/monitoring/event/v2"&gt;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&lt;mon:eventPointData&gt;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&lt;mon:eventData mon:productVersion="12080" mon:profileVersion="11" mon:eventSourceAddress="HTTP Input.transaction.Start"&gt;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&lt;mon:eventIdentity mon:eventName="TS"/&gt;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&lt;mon:eventSequence mon:creationTime="2024-03-15T10:37:08.640341Z" mon:counter="1"/&gt;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&lt;mon:eventCorrelation mon:localTransactionId="tran_76987" mon:parentTransactionId="" mon:globalTransactionId=""/&gt;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&lt;/mon:eventData&gt;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&lt;mon:messageFlowData&gt;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&lt;mon:integrationNode mon:name="IIB" mon:hostName="DESKTOP-BL2IGCK"/&gt;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&lt;mon:integrationServer mon:name="server" mon:hostName="DESKTOP-BL2IGCK"/&gt;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&lt;mon:application mon:name="Event_Monitoring"/&gt;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&lt;mon:messageFlow mon:uniqueFlowName="IIB.server.Event_Monitoring.Events" mon:name="Events" mon:threadId="35676"/&gt;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&lt;mon:node mon:nodeLabel="HTTP Input" mon:nodeType="ComIbmWSInputNode"/&gt;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&lt;/mon:messageFlowData&gt;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&lt;/mon:eventPointData&gt;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&lt;mon:applicationData xmlns=""&gt;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&lt;mon:complexContent mon:elementName="Data"&gt;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&lt;Employee&gt;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&lt;Emp_Name&gt;Heena&lt;/Emp_Name&gt;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&lt;Emp_id&gt;827&lt;/Emp_id&gt;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&lt;Location&gt;Nzb&lt;/Location&gt;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&lt;Salary&gt;76466&lt;/Salary&gt;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&lt;/Employee&gt;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&lt;/Data&gt;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&lt;/mon:complexContent&gt;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&lt;/mon:applicationData&gt;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&lt;mon:bitstreamData&gt;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&lt;mon: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mon:serializationEncoding="hexBinary" mon:dataCCSID="1208" mon:dataEncoding="546"&gt;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&lt;/mon:bitstream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&lt;/mon:bitstreamData&gt;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&lt;/mon:event&gt;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database node write the code to insert the data into the table.</w:t>
      </w:r>
    </w:p>
    <w:p>
      <w:pPr>
        <w:numPr>
          <w:numId w:val="0"/>
        </w:numPr>
        <w:shd w:val="clear" w:fill="FFFFFE"/>
        <w:spacing w:before="0" w:after="240" w:line="360" w:lineRule="auto"/>
        <w:jc w:val="both"/>
      </w:pPr>
      <w:r>
        <w:drawing>
          <wp:inline distT="0" distB="0" distL="114300" distR="114300">
            <wp:extent cx="5269865" cy="2486025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fill="FFFFFE"/>
        <w:spacing w:before="0" w:after="240" w:line="360" w:lineRule="auto"/>
        <w:jc w:val="both"/>
      </w:pP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675" cy="100520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fill="FFFFFE"/>
        <w:spacing w:before="0" w:after="240" w:line="360" w:lineRule="auto"/>
        <w:jc w:val="both"/>
        <w:rPr>
          <w:rFonts w:hint="default"/>
          <w:rtl w:val="0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060B9"/>
    <w:rsid w:val="038A635A"/>
    <w:rsid w:val="0542367D"/>
    <w:rsid w:val="06262826"/>
    <w:rsid w:val="0B553428"/>
    <w:rsid w:val="0F7F0EF9"/>
    <w:rsid w:val="10686C78"/>
    <w:rsid w:val="12E81295"/>
    <w:rsid w:val="15B371AA"/>
    <w:rsid w:val="1E2F1712"/>
    <w:rsid w:val="23792EBE"/>
    <w:rsid w:val="26686E14"/>
    <w:rsid w:val="28743212"/>
    <w:rsid w:val="2ABE0808"/>
    <w:rsid w:val="2B3B50FE"/>
    <w:rsid w:val="2F603644"/>
    <w:rsid w:val="30653DF6"/>
    <w:rsid w:val="39026893"/>
    <w:rsid w:val="39137E32"/>
    <w:rsid w:val="3DDD580C"/>
    <w:rsid w:val="3DF060B9"/>
    <w:rsid w:val="48233E37"/>
    <w:rsid w:val="4891671A"/>
    <w:rsid w:val="50E64646"/>
    <w:rsid w:val="51583680"/>
    <w:rsid w:val="5250749B"/>
    <w:rsid w:val="526B7CC5"/>
    <w:rsid w:val="53A169BD"/>
    <w:rsid w:val="53CB6987"/>
    <w:rsid w:val="57E73521"/>
    <w:rsid w:val="5D153EC6"/>
    <w:rsid w:val="5D242E5C"/>
    <w:rsid w:val="649672C7"/>
    <w:rsid w:val="64DF660A"/>
    <w:rsid w:val="651D3EF1"/>
    <w:rsid w:val="688E5DFE"/>
    <w:rsid w:val="68D27805"/>
    <w:rsid w:val="754A4EFB"/>
    <w:rsid w:val="7C671AA5"/>
    <w:rsid w:val="7D435F90"/>
    <w:rsid w:val="7EFD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2024-03-20T09:15:00Z</dcterms:created>
  <dc:creator>WPS_1701758458</dc:creator>
  <cp:lastModifiedBy>WPS_1701758458</cp:lastModifiedBy>
  <dcterms:modified xsi:type="dcterms:W3CDTF">2024-03-22T12:17:06Z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3318A68D69BE45C7AF529F2365843295_11</vt:lpwstr>
  </property>
</Properties>
</file>